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1" w:name="_GoBack"/>
      <w:bookmarkEnd w:id="21"/>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72"/>
        </w:tabs>
      </w:pPr>
      <w:r>
        <w:fldChar w:fldCharType="begin"/>
      </w:r>
      <w:r>
        <w:instrText xml:space="preserve">TOC \o "2-2" \h \z \u</w:instrText>
      </w:r>
      <w:r>
        <w:fldChar w:fldCharType="separate"/>
      </w:r>
      <w:r>
        <w:fldChar w:fldCharType="begin"/>
      </w:r>
      <w:r>
        <w:instrText xml:space="preserve"> HYPERLINK \l _Toc16888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_Toc16888 \h </w:instrText>
      </w:r>
      <w:r>
        <w:fldChar w:fldCharType="separate"/>
      </w:r>
      <w:r>
        <w:t>1</w:t>
      </w:r>
      <w:r>
        <w:fldChar w:fldCharType="end"/>
      </w:r>
      <w:r>
        <w:fldChar w:fldCharType="end"/>
      </w:r>
    </w:p>
    <w:p>
      <w:pPr>
        <w:pStyle w:val="4"/>
        <w:tabs>
          <w:tab w:val="right" w:leader="dot" w:pos="14572"/>
        </w:tabs>
      </w:pPr>
      <w:r>
        <w:fldChar w:fldCharType="begin"/>
      </w:r>
      <w:r>
        <w:instrText xml:space="preserve"> HYPERLINK \l _Toc14715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_Toc14715 \h </w:instrText>
      </w:r>
      <w:r>
        <w:fldChar w:fldCharType="separate"/>
      </w:r>
      <w:r>
        <w:t>3</w:t>
      </w:r>
      <w:r>
        <w:fldChar w:fldCharType="end"/>
      </w:r>
      <w:r>
        <w:fldChar w:fldCharType="end"/>
      </w:r>
    </w:p>
    <w:p>
      <w:pPr>
        <w:pStyle w:val="4"/>
        <w:tabs>
          <w:tab w:val="right" w:leader="dot" w:pos="14572"/>
        </w:tabs>
      </w:pPr>
      <w:r>
        <w:fldChar w:fldCharType="begin"/>
      </w:r>
      <w:r>
        <w:instrText xml:space="preserve"> HYPERLINK \l _Toc30444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_Toc30444 \h </w:instrText>
      </w:r>
      <w:r>
        <w:fldChar w:fldCharType="separate"/>
      </w:r>
      <w:r>
        <w:t>6</w:t>
      </w:r>
      <w:r>
        <w:fldChar w:fldCharType="end"/>
      </w:r>
      <w:r>
        <w:fldChar w:fldCharType="end"/>
      </w:r>
    </w:p>
    <w:p>
      <w:pPr>
        <w:pStyle w:val="4"/>
        <w:tabs>
          <w:tab w:val="right" w:leader="dot" w:pos="14572"/>
        </w:tabs>
      </w:pPr>
      <w:r>
        <w:fldChar w:fldCharType="begin"/>
      </w:r>
      <w:r>
        <w:instrText xml:space="preserve"> HYPERLINK \l _Toc13019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_Toc13019 \h </w:instrText>
      </w:r>
      <w:r>
        <w:fldChar w:fldCharType="separate"/>
      </w:r>
      <w:r>
        <w:t>8</w:t>
      </w:r>
      <w:r>
        <w:fldChar w:fldCharType="end"/>
      </w:r>
      <w:r>
        <w:fldChar w:fldCharType="end"/>
      </w:r>
    </w:p>
    <w:p>
      <w:pPr>
        <w:pStyle w:val="4"/>
        <w:tabs>
          <w:tab w:val="right" w:leader="dot" w:pos="14572"/>
        </w:tabs>
      </w:pPr>
      <w:r>
        <w:fldChar w:fldCharType="begin"/>
      </w:r>
      <w:r>
        <w:instrText xml:space="preserve"> HYPERLINK \l _Toc16825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_Toc16825 \h </w:instrText>
      </w:r>
      <w:r>
        <w:fldChar w:fldCharType="separate"/>
      </w:r>
      <w:r>
        <w:t>11</w:t>
      </w:r>
      <w:r>
        <w:fldChar w:fldCharType="end"/>
      </w:r>
      <w:r>
        <w:fldChar w:fldCharType="end"/>
      </w:r>
    </w:p>
    <w:p>
      <w:pPr>
        <w:pStyle w:val="4"/>
        <w:tabs>
          <w:tab w:val="right" w:leader="dot" w:pos="14572"/>
        </w:tabs>
      </w:pPr>
      <w:r>
        <w:fldChar w:fldCharType="begin"/>
      </w:r>
      <w:r>
        <w:instrText xml:space="preserve"> HYPERLINK \l _Toc11977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_Toc11977 \h </w:instrText>
      </w:r>
      <w:r>
        <w:fldChar w:fldCharType="separate"/>
      </w:r>
      <w:r>
        <w:t>13</w:t>
      </w:r>
      <w:r>
        <w:fldChar w:fldCharType="end"/>
      </w:r>
      <w:r>
        <w:fldChar w:fldCharType="end"/>
      </w:r>
    </w:p>
    <w:p>
      <w:pPr>
        <w:pStyle w:val="4"/>
        <w:tabs>
          <w:tab w:val="right" w:leader="dot" w:pos="14572"/>
        </w:tabs>
      </w:pPr>
      <w:r>
        <w:fldChar w:fldCharType="begin"/>
      </w:r>
      <w:r>
        <w:instrText xml:space="preserve"> HYPERLINK \l _Toc13708 </w:instrText>
      </w:r>
      <w:r>
        <w:fldChar w:fldCharType="separate"/>
      </w:r>
      <w:r>
        <w:rPr>
          <w:rFonts w:ascii="方正小标宋_GBK" w:hAnsi="方正小标宋_GBK" w:eastAsia="方正小标宋_GBK" w:cs="方正小标宋_GBK"/>
        </w:rPr>
        <w:t>部门预算政府性基金预算财政拨款支出表</w:t>
      </w:r>
      <w:r>
        <w:tab/>
      </w:r>
      <w:r>
        <w:fldChar w:fldCharType="begin"/>
      </w:r>
      <w:r>
        <w:instrText xml:space="preserve"> PAGEREF _Toc13708 \h </w:instrText>
      </w:r>
      <w:r>
        <w:fldChar w:fldCharType="separate"/>
      </w:r>
      <w:r>
        <w:t>15</w:t>
      </w:r>
      <w:r>
        <w:fldChar w:fldCharType="end"/>
      </w:r>
      <w:r>
        <w:fldChar w:fldCharType="end"/>
      </w:r>
    </w:p>
    <w:p>
      <w:pPr>
        <w:pStyle w:val="4"/>
        <w:tabs>
          <w:tab w:val="right" w:leader="dot" w:pos="14572"/>
        </w:tabs>
      </w:pPr>
      <w:r>
        <w:fldChar w:fldCharType="begin"/>
      </w:r>
      <w:r>
        <w:instrText xml:space="preserve"> HYPERLINK \l _Toc9886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_Toc9886 \h </w:instrText>
      </w:r>
      <w:r>
        <w:fldChar w:fldCharType="separate"/>
      </w:r>
      <w:r>
        <w:t>16</w:t>
      </w:r>
      <w:r>
        <w:fldChar w:fldCharType="end"/>
      </w:r>
      <w:r>
        <w:fldChar w:fldCharType="end"/>
      </w:r>
    </w:p>
    <w:p>
      <w:pPr>
        <w:pStyle w:val="4"/>
        <w:tabs>
          <w:tab w:val="right" w:leader="dot" w:pos="14572"/>
        </w:tabs>
      </w:pPr>
      <w:r>
        <w:fldChar w:fldCharType="begin"/>
      </w:r>
      <w:r>
        <w:instrText xml:space="preserve"> HYPERLINK \l _Toc13769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_Toc13769 \h </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_Toc4899 </w:instrText>
      </w:r>
      <w:r>
        <w:fldChar w:fldCharType="separate"/>
      </w:r>
      <w:r>
        <w:rPr>
          <w:rFonts w:ascii="黑体" w:hAnsi="黑体" w:eastAsia="黑体" w:cs="黑体"/>
        </w:rPr>
        <w:t>一、部门职责及机构设置情况</w:t>
      </w:r>
      <w:r>
        <w:tab/>
      </w:r>
      <w:r>
        <w:fldChar w:fldCharType="begin"/>
      </w:r>
      <w:r>
        <w:instrText xml:space="preserve"> PAGEREF _Toc4899 \h </w:instrText>
      </w:r>
      <w:r>
        <w:fldChar w:fldCharType="separate"/>
      </w:r>
      <w:r>
        <w:t>18</w:t>
      </w:r>
      <w:r>
        <w:fldChar w:fldCharType="end"/>
      </w:r>
      <w:r>
        <w:fldChar w:fldCharType="end"/>
      </w:r>
    </w:p>
    <w:p>
      <w:pPr>
        <w:pStyle w:val="2"/>
        <w:tabs>
          <w:tab w:val="right" w:leader="dot" w:pos="14572"/>
        </w:tabs>
      </w:pPr>
      <w:r>
        <w:fldChar w:fldCharType="begin"/>
      </w:r>
      <w:r>
        <w:instrText xml:space="preserve"> HYPERLINK \l _Toc30595 </w:instrText>
      </w:r>
      <w:r>
        <w:fldChar w:fldCharType="separate"/>
      </w:r>
      <w:r>
        <w:rPr>
          <w:rFonts w:ascii="黑体" w:hAnsi="黑体" w:eastAsia="黑体" w:cs="黑体"/>
        </w:rPr>
        <w:t>二、部门预算安排的总体情况</w:t>
      </w:r>
      <w:r>
        <w:tab/>
      </w:r>
      <w:r>
        <w:fldChar w:fldCharType="begin"/>
      </w:r>
      <w:r>
        <w:instrText xml:space="preserve"> PAGEREF _Toc30595 \h </w:instrText>
      </w:r>
      <w:r>
        <w:fldChar w:fldCharType="separate"/>
      </w:r>
      <w:r>
        <w:t>20</w:t>
      </w:r>
      <w:r>
        <w:fldChar w:fldCharType="end"/>
      </w:r>
      <w:r>
        <w:fldChar w:fldCharType="end"/>
      </w:r>
    </w:p>
    <w:p>
      <w:pPr>
        <w:pStyle w:val="2"/>
        <w:tabs>
          <w:tab w:val="right" w:leader="dot" w:pos="14572"/>
        </w:tabs>
      </w:pPr>
      <w:r>
        <w:fldChar w:fldCharType="begin"/>
      </w:r>
      <w:r>
        <w:instrText xml:space="preserve"> HYPERLINK \l _Toc11133 </w:instrText>
      </w:r>
      <w:r>
        <w:fldChar w:fldCharType="separate"/>
      </w:r>
      <w:r>
        <w:rPr>
          <w:rFonts w:ascii="黑体" w:hAnsi="黑体" w:eastAsia="黑体" w:cs="黑体"/>
        </w:rPr>
        <w:t>三、机关运行经费安排情况</w:t>
      </w:r>
      <w:r>
        <w:tab/>
      </w:r>
      <w:r>
        <w:fldChar w:fldCharType="begin"/>
      </w:r>
      <w:r>
        <w:instrText xml:space="preserve"> PAGEREF _Toc11133 \h </w:instrText>
      </w:r>
      <w:r>
        <w:fldChar w:fldCharType="separate"/>
      </w:r>
      <w:r>
        <w:t>21</w:t>
      </w:r>
      <w:r>
        <w:fldChar w:fldCharType="end"/>
      </w:r>
      <w:r>
        <w:fldChar w:fldCharType="end"/>
      </w:r>
    </w:p>
    <w:p>
      <w:pPr>
        <w:pStyle w:val="2"/>
        <w:tabs>
          <w:tab w:val="right" w:leader="dot" w:pos="14572"/>
        </w:tabs>
      </w:pPr>
      <w:r>
        <w:fldChar w:fldCharType="begin"/>
      </w:r>
      <w:r>
        <w:instrText xml:space="preserve"> HYPERLINK \l _Toc16239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_Toc16239 \h </w:instrText>
      </w:r>
      <w:r>
        <w:fldChar w:fldCharType="separate"/>
      </w:r>
      <w:r>
        <w:t>21</w:t>
      </w:r>
      <w:r>
        <w:fldChar w:fldCharType="end"/>
      </w:r>
      <w:r>
        <w:fldChar w:fldCharType="end"/>
      </w:r>
    </w:p>
    <w:p>
      <w:pPr>
        <w:pStyle w:val="2"/>
        <w:tabs>
          <w:tab w:val="right" w:leader="dot" w:pos="14572"/>
        </w:tabs>
      </w:pPr>
      <w:r>
        <w:fldChar w:fldCharType="begin"/>
      </w:r>
      <w:r>
        <w:instrText xml:space="preserve"> HYPERLINK \l _Toc14954 </w:instrText>
      </w:r>
      <w:r>
        <w:fldChar w:fldCharType="separate"/>
      </w:r>
      <w:r>
        <w:rPr>
          <w:rFonts w:hint="eastAsia" w:ascii="黑体" w:hAnsi="黑体" w:eastAsia="黑体" w:cs="黑体"/>
        </w:rPr>
        <w:t>五、委托业务费单独说明</w:t>
      </w:r>
      <w:r>
        <w:rPr>
          <w:rFonts w:ascii="黑体" w:hAnsi="黑体" w:eastAsia="黑体" w:cs="黑体"/>
        </w:rPr>
        <w:t>及增减变化原因</w:t>
      </w:r>
      <w:r>
        <w:tab/>
      </w:r>
      <w:r>
        <w:fldChar w:fldCharType="begin"/>
      </w:r>
      <w:r>
        <w:instrText xml:space="preserve"> PAGEREF _Toc14954 \h </w:instrText>
      </w:r>
      <w:r>
        <w:fldChar w:fldCharType="separate"/>
      </w:r>
      <w:r>
        <w:t>21</w:t>
      </w:r>
      <w:r>
        <w:fldChar w:fldCharType="end"/>
      </w:r>
      <w:r>
        <w:fldChar w:fldCharType="end"/>
      </w:r>
    </w:p>
    <w:p>
      <w:pPr>
        <w:pStyle w:val="2"/>
        <w:tabs>
          <w:tab w:val="right" w:leader="dot" w:pos="14572"/>
        </w:tabs>
      </w:pPr>
      <w:r>
        <w:fldChar w:fldCharType="begin"/>
      </w:r>
      <w:r>
        <w:instrText xml:space="preserve"> HYPERLINK \l _Toc4528 </w:instrText>
      </w:r>
      <w:r>
        <w:fldChar w:fldCharType="separate"/>
      </w:r>
      <w:r>
        <w:rPr>
          <w:rFonts w:hint="eastAsia" w:ascii="黑体" w:hAnsi="黑体" w:eastAsia="黑体" w:cs="黑体"/>
          <w:lang w:eastAsia="zh-CN"/>
        </w:rPr>
        <w:t>六</w:t>
      </w:r>
      <w:r>
        <w:rPr>
          <w:rFonts w:ascii="黑体" w:hAnsi="黑体" w:eastAsia="黑体" w:cs="黑体"/>
        </w:rPr>
        <w:t>、部门整体绩效目标</w:t>
      </w:r>
      <w:r>
        <w:tab/>
      </w:r>
      <w:r>
        <w:fldChar w:fldCharType="begin"/>
      </w:r>
      <w:r>
        <w:instrText xml:space="preserve"> PAGEREF _Toc4528 \h </w:instrText>
      </w:r>
      <w:r>
        <w:fldChar w:fldCharType="separate"/>
      </w:r>
      <w:r>
        <w:t>21</w:t>
      </w:r>
      <w:r>
        <w:fldChar w:fldCharType="end"/>
      </w:r>
      <w:r>
        <w:fldChar w:fldCharType="end"/>
      </w:r>
    </w:p>
    <w:p>
      <w:pPr>
        <w:pStyle w:val="2"/>
        <w:tabs>
          <w:tab w:val="right" w:leader="dot" w:pos="14572"/>
        </w:tabs>
      </w:pPr>
      <w:r>
        <w:fldChar w:fldCharType="begin"/>
      </w:r>
      <w:r>
        <w:instrText xml:space="preserve"> HYPERLINK \l _Toc11566 </w:instrText>
      </w:r>
      <w:r>
        <w:fldChar w:fldCharType="separate"/>
      </w:r>
      <w:r>
        <w:rPr>
          <w:rFonts w:hint="eastAsia" w:ascii="黑体" w:hAnsi="黑体" w:eastAsia="黑体" w:cs="黑体"/>
          <w:lang w:eastAsia="zh-CN"/>
        </w:rPr>
        <w:t>七</w:t>
      </w:r>
      <w:r>
        <w:rPr>
          <w:rFonts w:ascii="黑体" w:hAnsi="黑体" w:eastAsia="黑体" w:cs="黑体"/>
        </w:rPr>
        <w:t>、部门主管专项资金预算安排情况及绩效目标</w:t>
      </w:r>
      <w:r>
        <w:tab/>
      </w:r>
      <w:r>
        <w:fldChar w:fldCharType="begin"/>
      </w:r>
      <w:r>
        <w:instrText xml:space="preserve"> PAGEREF _Toc11566 \h </w:instrText>
      </w:r>
      <w:r>
        <w:fldChar w:fldCharType="separate"/>
      </w:r>
      <w:r>
        <w:t>25</w:t>
      </w:r>
      <w:r>
        <w:fldChar w:fldCharType="end"/>
      </w:r>
      <w:r>
        <w:fldChar w:fldCharType="end"/>
      </w:r>
    </w:p>
    <w:p>
      <w:pPr>
        <w:pStyle w:val="2"/>
        <w:tabs>
          <w:tab w:val="right" w:leader="dot" w:pos="14572"/>
        </w:tabs>
      </w:pPr>
      <w:r>
        <w:fldChar w:fldCharType="begin"/>
      </w:r>
      <w:r>
        <w:instrText xml:space="preserve"> HYPERLINK \l _Toc18679 </w:instrText>
      </w:r>
      <w:r>
        <w:fldChar w:fldCharType="separate"/>
      </w:r>
      <w:r>
        <w:rPr>
          <w:rFonts w:hint="eastAsia" w:ascii="黑体" w:hAnsi="黑体" w:eastAsia="黑体" w:cs="黑体"/>
          <w:lang w:eastAsia="zh-CN"/>
        </w:rPr>
        <w:t>八</w:t>
      </w:r>
      <w:r>
        <w:rPr>
          <w:rFonts w:ascii="黑体" w:hAnsi="黑体" w:eastAsia="黑体" w:cs="黑体"/>
        </w:rPr>
        <w:t>、部门项目预算安排情况及绩效目标</w:t>
      </w:r>
      <w:r>
        <w:tab/>
      </w:r>
      <w:r>
        <w:fldChar w:fldCharType="begin"/>
      </w:r>
      <w:r>
        <w:instrText xml:space="preserve"> PAGEREF _Toc18679 \h </w:instrText>
      </w:r>
      <w:r>
        <w:fldChar w:fldCharType="separate"/>
      </w:r>
      <w:r>
        <w:t>26</w:t>
      </w:r>
      <w:r>
        <w:fldChar w:fldCharType="end"/>
      </w:r>
      <w:r>
        <w:fldChar w:fldCharType="end"/>
      </w:r>
    </w:p>
    <w:p>
      <w:pPr>
        <w:pStyle w:val="2"/>
        <w:tabs>
          <w:tab w:val="right" w:leader="dot" w:pos="14572"/>
        </w:tabs>
      </w:pPr>
      <w:r>
        <w:fldChar w:fldCharType="begin"/>
      </w:r>
      <w:r>
        <w:instrText xml:space="preserve"> HYPERLINK \l _Toc29761 </w:instrText>
      </w:r>
      <w:r>
        <w:fldChar w:fldCharType="separate"/>
      </w:r>
      <w:r>
        <w:rPr>
          <w:rFonts w:hint="eastAsia" w:ascii="黑体" w:hAnsi="黑体" w:eastAsia="黑体" w:cs="黑体"/>
          <w:lang w:eastAsia="zh-CN"/>
        </w:rPr>
        <w:t>九</w:t>
      </w:r>
      <w:r>
        <w:rPr>
          <w:rFonts w:ascii="黑体" w:hAnsi="黑体" w:eastAsia="黑体" w:cs="黑体"/>
        </w:rPr>
        <w:t>、政府采购预算情况</w:t>
      </w:r>
      <w:r>
        <w:tab/>
      </w:r>
      <w:r>
        <w:fldChar w:fldCharType="begin"/>
      </w:r>
      <w:r>
        <w:instrText xml:space="preserve"> PAGEREF _Toc29761 \h </w:instrText>
      </w:r>
      <w:r>
        <w:fldChar w:fldCharType="separate"/>
      </w:r>
      <w:r>
        <w:t>54</w:t>
      </w:r>
      <w:r>
        <w:fldChar w:fldCharType="end"/>
      </w:r>
      <w:r>
        <w:fldChar w:fldCharType="end"/>
      </w:r>
    </w:p>
    <w:p>
      <w:pPr>
        <w:pStyle w:val="2"/>
        <w:tabs>
          <w:tab w:val="right" w:leader="dot" w:pos="14572"/>
        </w:tabs>
      </w:pPr>
      <w:r>
        <w:fldChar w:fldCharType="begin"/>
      </w:r>
      <w:r>
        <w:instrText xml:space="preserve"> HYPERLINK \l _Toc23076 </w:instrText>
      </w:r>
      <w:r>
        <w:fldChar w:fldCharType="separate"/>
      </w:r>
      <w:r>
        <w:rPr>
          <w:rFonts w:hint="eastAsia" w:ascii="黑体" w:hAnsi="黑体" w:eastAsia="黑体" w:cs="黑体"/>
          <w:lang w:eastAsia="zh-CN"/>
        </w:rPr>
        <w:t>十</w:t>
      </w:r>
      <w:r>
        <w:rPr>
          <w:rFonts w:ascii="黑体" w:hAnsi="黑体" w:eastAsia="黑体" w:cs="黑体"/>
        </w:rPr>
        <w:t>、国有资产信息</w:t>
      </w:r>
      <w:r>
        <w:tab/>
      </w:r>
      <w:r>
        <w:fldChar w:fldCharType="begin"/>
      </w:r>
      <w:r>
        <w:instrText xml:space="preserve"> PAGEREF _Toc23076 \h </w:instrText>
      </w:r>
      <w:r>
        <w:fldChar w:fldCharType="separate"/>
      </w:r>
      <w:r>
        <w:t>54</w:t>
      </w:r>
      <w:r>
        <w:fldChar w:fldCharType="end"/>
      </w:r>
      <w:r>
        <w:fldChar w:fldCharType="end"/>
      </w:r>
    </w:p>
    <w:p>
      <w:pPr>
        <w:pStyle w:val="2"/>
        <w:tabs>
          <w:tab w:val="right" w:leader="dot" w:pos="14572"/>
        </w:tabs>
      </w:pPr>
      <w:r>
        <w:fldChar w:fldCharType="begin"/>
      </w:r>
      <w:r>
        <w:instrText xml:space="preserve"> HYPERLINK \l _Toc1576 </w:instrText>
      </w:r>
      <w:r>
        <w:fldChar w:fldCharType="separate"/>
      </w:r>
      <w:r>
        <w:rPr>
          <w:rFonts w:ascii="黑体" w:hAnsi="黑体" w:eastAsia="黑体" w:cs="黑体"/>
        </w:rPr>
        <w:t>十</w:t>
      </w:r>
      <w:r>
        <w:rPr>
          <w:rFonts w:hint="eastAsia" w:ascii="黑体" w:hAnsi="黑体" w:eastAsia="黑体" w:cs="黑体"/>
          <w:lang w:eastAsia="zh-CN"/>
        </w:rPr>
        <w:t>一</w:t>
      </w:r>
      <w:r>
        <w:rPr>
          <w:rFonts w:ascii="黑体" w:hAnsi="黑体" w:eastAsia="黑体" w:cs="黑体"/>
        </w:rPr>
        <w:t>、名词解释</w:t>
      </w:r>
      <w:r>
        <w:tab/>
      </w:r>
      <w:r>
        <w:fldChar w:fldCharType="begin"/>
      </w:r>
      <w:r>
        <w:instrText xml:space="preserve"> PAGEREF _Toc1576 \h </w:instrText>
      </w:r>
      <w:r>
        <w:fldChar w:fldCharType="separate"/>
      </w:r>
      <w:r>
        <w:t>55</w:t>
      </w:r>
      <w:r>
        <w:fldChar w:fldCharType="end"/>
      </w:r>
      <w:r>
        <w:fldChar w:fldCharType="end"/>
      </w:r>
    </w:p>
    <w:p>
      <w:pPr>
        <w:pStyle w:val="2"/>
        <w:tabs>
          <w:tab w:val="right" w:leader="dot" w:pos="14572"/>
        </w:tabs>
      </w:pPr>
      <w:r>
        <w:fldChar w:fldCharType="begin"/>
      </w:r>
      <w:r>
        <w:instrText xml:space="preserve"> HYPERLINK \l _Toc27201 </w:instrText>
      </w:r>
      <w:r>
        <w:fldChar w:fldCharType="separate"/>
      </w:r>
      <w:r>
        <w:rPr>
          <w:rFonts w:ascii="黑体" w:hAnsi="黑体" w:eastAsia="黑体" w:cs="黑体"/>
        </w:rPr>
        <w:t>十</w:t>
      </w:r>
      <w:r>
        <w:rPr>
          <w:rFonts w:hint="eastAsia" w:ascii="黑体" w:hAnsi="黑体" w:eastAsia="黑体" w:cs="黑体"/>
          <w:lang w:eastAsia="zh-CN"/>
        </w:rPr>
        <w:t>二</w:t>
      </w:r>
      <w:r>
        <w:rPr>
          <w:rFonts w:ascii="黑体" w:hAnsi="黑体" w:eastAsia="黑体" w:cs="黑体"/>
        </w:rPr>
        <w:t>、其他需要说明的事项</w:t>
      </w:r>
      <w:r>
        <w:tab/>
      </w:r>
      <w:r>
        <w:fldChar w:fldCharType="begin"/>
      </w:r>
      <w:r>
        <w:instrText xml:space="preserve"> PAGEREF _Toc27201 \h </w:instrText>
      </w:r>
      <w:r>
        <w:fldChar w:fldCharType="separate"/>
      </w:r>
      <w:r>
        <w:t>56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16888"/>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303隆尧县发展和改革局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6311.44</w:t>
            </w:r>
          </w:p>
        </w:tc>
        <w:tc>
          <w:tcPr>
            <w:tcW w:w="4535" w:type="dxa"/>
            <w:vAlign w:val="center"/>
          </w:tcPr>
          <w:p>
            <w:pPr>
              <w:pStyle w:val="13"/>
            </w:pPr>
            <w:r>
              <w:t>一、一般公共服务支出</w:t>
            </w:r>
          </w:p>
        </w:tc>
        <w:tc>
          <w:tcPr>
            <w:tcW w:w="2126" w:type="dxa"/>
            <w:vAlign w:val="center"/>
          </w:tcPr>
          <w:p>
            <w:pPr>
              <w:pStyle w:val="12"/>
            </w:pPr>
            <w:r>
              <w:t>451.41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2238.33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r>
              <w:t>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r>
              <w:t>3537.64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6311.44</w:t>
            </w:r>
          </w:p>
        </w:tc>
        <w:tc>
          <w:tcPr>
            <w:tcW w:w="4535" w:type="dxa"/>
            <w:vAlign w:val="center"/>
          </w:tcPr>
          <w:p>
            <w:pPr>
              <w:pStyle w:val="15"/>
            </w:pPr>
            <w:r>
              <w:t>本年支出合计</w:t>
            </w:r>
          </w:p>
        </w:tc>
        <w:tc>
          <w:tcPr>
            <w:tcW w:w="2126" w:type="dxa"/>
            <w:vAlign w:val="center"/>
          </w:tcPr>
          <w:p>
            <w:pPr>
              <w:pStyle w:val="16"/>
            </w:pPr>
            <w:r>
              <w:t>6941.44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630.00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6941.44</w:t>
            </w:r>
          </w:p>
        </w:tc>
        <w:tc>
          <w:tcPr>
            <w:tcW w:w="4535" w:type="dxa"/>
            <w:vAlign w:val="center"/>
          </w:tcPr>
          <w:p>
            <w:pPr>
              <w:pStyle w:val="15"/>
            </w:pPr>
            <w:r>
              <w:t>支出总计</w:t>
            </w:r>
          </w:p>
        </w:tc>
        <w:tc>
          <w:tcPr>
            <w:tcW w:w="2126" w:type="dxa"/>
            <w:vAlign w:val="center"/>
          </w:tcPr>
          <w:p>
            <w:pPr>
              <w:pStyle w:val="16"/>
            </w:pPr>
            <w:r>
              <w:t>6941.44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14715"/>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303隆尧县发展和改革局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6941.44</w:t>
            </w:r>
          </w:p>
        </w:tc>
        <w:tc>
          <w:tcPr>
            <w:tcW w:w="1134" w:type="dxa"/>
            <w:vAlign w:val="center"/>
          </w:tcPr>
          <w:p>
            <w:pPr>
              <w:pStyle w:val="16"/>
            </w:pPr>
            <w:r>
              <w:t>6311.44</w:t>
            </w:r>
          </w:p>
        </w:tc>
        <w:tc>
          <w:tcPr>
            <w:tcW w:w="1134" w:type="dxa"/>
            <w:vAlign w:val="center"/>
          </w:tcPr>
          <w:p>
            <w:pPr>
              <w:pStyle w:val="16"/>
            </w:pPr>
            <w:r>
              <w:t>6311.44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451.41</w:t>
            </w:r>
          </w:p>
        </w:tc>
        <w:tc>
          <w:tcPr>
            <w:tcW w:w="1134" w:type="dxa"/>
            <w:vAlign w:val="center"/>
          </w:tcPr>
          <w:p>
            <w:pPr>
              <w:pStyle w:val="12"/>
            </w:pPr>
            <w:r>
              <w:t>451.41</w:t>
            </w:r>
          </w:p>
        </w:tc>
        <w:tc>
          <w:tcPr>
            <w:tcW w:w="1134" w:type="dxa"/>
            <w:vAlign w:val="center"/>
          </w:tcPr>
          <w:p>
            <w:pPr>
              <w:pStyle w:val="12"/>
            </w:pPr>
            <w:r>
              <w:t>451.41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20104</w:t>
            </w:r>
          </w:p>
        </w:tc>
        <w:tc>
          <w:tcPr>
            <w:tcW w:w="1559" w:type="dxa"/>
            <w:vAlign w:val="center"/>
          </w:tcPr>
          <w:p>
            <w:pPr>
              <w:pStyle w:val="13"/>
            </w:pPr>
            <w:r>
              <w:t>发展与改革事务</w:t>
            </w:r>
          </w:p>
        </w:tc>
        <w:tc>
          <w:tcPr>
            <w:tcW w:w="1134" w:type="dxa"/>
            <w:vAlign w:val="center"/>
          </w:tcPr>
          <w:p>
            <w:pPr>
              <w:pStyle w:val="12"/>
            </w:pPr>
            <w:r>
              <w:t>451.41</w:t>
            </w:r>
          </w:p>
        </w:tc>
        <w:tc>
          <w:tcPr>
            <w:tcW w:w="1134" w:type="dxa"/>
            <w:vAlign w:val="center"/>
          </w:tcPr>
          <w:p>
            <w:pPr>
              <w:pStyle w:val="12"/>
            </w:pPr>
            <w:r>
              <w:t>451.41</w:t>
            </w:r>
          </w:p>
        </w:tc>
        <w:tc>
          <w:tcPr>
            <w:tcW w:w="1134" w:type="dxa"/>
            <w:vAlign w:val="center"/>
          </w:tcPr>
          <w:p>
            <w:pPr>
              <w:pStyle w:val="12"/>
            </w:pPr>
            <w:r>
              <w:t>451.41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2010401</w:t>
            </w:r>
          </w:p>
        </w:tc>
        <w:tc>
          <w:tcPr>
            <w:tcW w:w="1559" w:type="dxa"/>
            <w:vAlign w:val="center"/>
          </w:tcPr>
          <w:p>
            <w:pPr>
              <w:pStyle w:val="13"/>
            </w:pPr>
            <w:r>
              <w:t>行政运行</w:t>
            </w:r>
          </w:p>
        </w:tc>
        <w:tc>
          <w:tcPr>
            <w:tcW w:w="1134" w:type="dxa"/>
            <w:vAlign w:val="center"/>
          </w:tcPr>
          <w:p>
            <w:pPr>
              <w:pStyle w:val="12"/>
            </w:pPr>
            <w:r>
              <w:t>359.68</w:t>
            </w:r>
          </w:p>
        </w:tc>
        <w:tc>
          <w:tcPr>
            <w:tcW w:w="1134" w:type="dxa"/>
            <w:vAlign w:val="center"/>
          </w:tcPr>
          <w:p>
            <w:pPr>
              <w:pStyle w:val="12"/>
            </w:pPr>
            <w:r>
              <w:t>359.68</w:t>
            </w:r>
          </w:p>
        </w:tc>
        <w:tc>
          <w:tcPr>
            <w:tcW w:w="1134" w:type="dxa"/>
            <w:vAlign w:val="center"/>
          </w:tcPr>
          <w:p>
            <w:pPr>
              <w:pStyle w:val="12"/>
            </w:pPr>
            <w:r>
              <w:t>359.68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2010404</w:t>
            </w:r>
          </w:p>
        </w:tc>
        <w:tc>
          <w:tcPr>
            <w:tcW w:w="1559" w:type="dxa"/>
            <w:vAlign w:val="center"/>
          </w:tcPr>
          <w:p>
            <w:pPr>
              <w:pStyle w:val="13"/>
            </w:pPr>
            <w:r>
              <w:t>战略规划与实施</w:t>
            </w:r>
          </w:p>
        </w:tc>
        <w:tc>
          <w:tcPr>
            <w:tcW w:w="1134" w:type="dxa"/>
            <w:vAlign w:val="center"/>
          </w:tcPr>
          <w:p>
            <w:pPr>
              <w:pStyle w:val="12"/>
            </w:pPr>
            <w:r>
              <w:t>6.50</w:t>
            </w:r>
          </w:p>
        </w:tc>
        <w:tc>
          <w:tcPr>
            <w:tcW w:w="1134" w:type="dxa"/>
            <w:vAlign w:val="center"/>
          </w:tcPr>
          <w:p>
            <w:pPr>
              <w:pStyle w:val="12"/>
            </w:pPr>
            <w:r>
              <w:t>6.50</w:t>
            </w:r>
          </w:p>
        </w:tc>
        <w:tc>
          <w:tcPr>
            <w:tcW w:w="1134" w:type="dxa"/>
            <w:vAlign w:val="center"/>
          </w:tcPr>
          <w:p>
            <w:pPr>
              <w:pStyle w:val="12"/>
            </w:pPr>
            <w:r>
              <w:t>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2010499</w:t>
            </w:r>
          </w:p>
        </w:tc>
        <w:tc>
          <w:tcPr>
            <w:tcW w:w="1559" w:type="dxa"/>
            <w:vAlign w:val="center"/>
          </w:tcPr>
          <w:p>
            <w:pPr>
              <w:pStyle w:val="13"/>
            </w:pPr>
            <w:r>
              <w:t>其他发展与改革事务支出</w:t>
            </w:r>
          </w:p>
        </w:tc>
        <w:tc>
          <w:tcPr>
            <w:tcW w:w="1134" w:type="dxa"/>
            <w:vAlign w:val="center"/>
          </w:tcPr>
          <w:p>
            <w:pPr>
              <w:pStyle w:val="12"/>
            </w:pPr>
            <w:r>
              <w:t>85.22</w:t>
            </w:r>
          </w:p>
        </w:tc>
        <w:tc>
          <w:tcPr>
            <w:tcW w:w="1134" w:type="dxa"/>
            <w:vAlign w:val="center"/>
          </w:tcPr>
          <w:p>
            <w:pPr>
              <w:pStyle w:val="12"/>
            </w:pPr>
            <w:r>
              <w:t>85.22</w:t>
            </w:r>
          </w:p>
        </w:tc>
        <w:tc>
          <w:tcPr>
            <w:tcW w:w="1134" w:type="dxa"/>
            <w:vAlign w:val="center"/>
          </w:tcPr>
          <w:p>
            <w:pPr>
              <w:pStyle w:val="12"/>
            </w:pPr>
            <w:r>
              <w:t>85.22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37.93</w:t>
            </w:r>
          </w:p>
        </w:tc>
        <w:tc>
          <w:tcPr>
            <w:tcW w:w="1134" w:type="dxa"/>
            <w:vAlign w:val="center"/>
          </w:tcPr>
          <w:p>
            <w:pPr>
              <w:pStyle w:val="12"/>
            </w:pPr>
            <w:r>
              <w:t>37.93</w:t>
            </w:r>
          </w:p>
        </w:tc>
        <w:tc>
          <w:tcPr>
            <w:tcW w:w="1134" w:type="dxa"/>
            <w:vAlign w:val="center"/>
          </w:tcPr>
          <w:p>
            <w:pPr>
              <w:pStyle w:val="12"/>
            </w:pPr>
            <w:r>
              <w:t>37.93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37.93</w:t>
            </w:r>
          </w:p>
        </w:tc>
        <w:tc>
          <w:tcPr>
            <w:tcW w:w="1134" w:type="dxa"/>
            <w:vAlign w:val="center"/>
          </w:tcPr>
          <w:p>
            <w:pPr>
              <w:pStyle w:val="12"/>
            </w:pPr>
            <w:r>
              <w:t>37.93</w:t>
            </w:r>
          </w:p>
        </w:tc>
        <w:tc>
          <w:tcPr>
            <w:tcW w:w="1134" w:type="dxa"/>
            <w:vAlign w:val="center"/>
          </w:tcPr>
          <w:p>
            <w:pPr>
              <w:pStyle w:val="12"/>
            </w:pPr>
            <w:r>
              <w:t>37.93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37.93</w:t>
            </w:r>
          </w:p>
        </w:tc>
        <w:tc>
          <w:tcPr>
            <w:tcW w:w="1134" w:type="dxa"/>
            <w:vAlign w:val="center"/>
          </w:tcPr>
          <w:p>
            <w:pPr>
              <w:pStyle w:val="12"/>
            </w:pPr>
            <w:r>
              <w:t>37.93</w:t>
            </w:r>
          </w:p>
        </w:tc>
        <w:tc>
          <w:tcPr>
            <w:tcW w:w="1134" w:type="dxa"/>
            <w:vAlign w:val="center"/>
          </w:tcPr>
          <w:p>
            <w:pPr>
              <w:pStyle w:val="12"/>
            </w:pPr>
            <w:r>
              <w:t>37.93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17.64</w:t>
            </w:r>
          </w:p>
        </w:tc>
        <w:tc>
          <w:tcPr>
            <w:tcW w:w="1134" w:type="dxa"/>
            <w:vAlign w:val="center"/>
          </w:tcPr>
          <w:p>
            <w:pPr>
              <w:pStyle w:val="12"/>
            </w:pPr>
            <w:r>
              <w:t>17.64</w:t>
            </w:r>
          </w:p>
        </w:tc>
        <w:tc>
          <w:tcPr>
            <w:tcW w:w="1134" w:type="dxa"/>
            <w:vAlign w:val="center"/>
          </w:tcPr>
          <w:p>
            <w:pPr>
              <w:pStyle w:val="12"/>
            </w:pPr>
            <w:r>
              <w:t>17.64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17.64</w:t>
            </w:r>
          </w:p>
        </w:tc>
        <w:tc>
          <w:tcPr>
            <w:tcW w:w="1134" w:type="dxa"/>
            <w:vAlign w:val="center"/>
          </w:tcPr>
          <w:p>
            <w:pPr>
              <w:pStyle w:val="12"/>
            </w:pPr>
            <w:r>
              <w:t>17.64</w:t>
            </w:r>
          </w:p>
        </w:tc>
        <w:tc>
          <w:tcPr>
            <w:tcW w:w="1134" w:type="dxa"/>
            <w:vAlign w:val="center"/>
          </w:tcPr>
          <w:p>
            <w:pPr>
              <w:pStyle w:val="12"/>
            </w:pPr>
            <w:r>
              <w:t>17.64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17.64</w:t>
            </w:r>
          </w:p>
        </w:tc>
        <w:tc>
          <w:tcPr>
            <w:tcW w:w="1134" w:type="dxa"/>
            <w:vAlign w:val="center"/>
          </w:tcPr>
          <w:p>
            <w:pPr>
              <w:pStyle w:val="12"/>
            </w:pPr>
            <w:r>
              <w:t>17.64</w:t>
            </w:r>
          </w:p>
        </w:tc>
        <w:tc>
          <w:tcPr>
            <w:tcW w:w="1134" w:type="dxa"/>
            <w:vAlign w:val="center"/>
          </w:tcPr>
          <w:p>
            <w:pPr>
              <w:pStyle w:val="12"/>
            </w:pPr>
            <w:r>
              <w:t>17.64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2238.33</w:t>
            </w:r>
          </w:p>
        </w:tc>
        <w:tc>
          <w:tcPr>
            <w:tcW w:w="1134" w:type="dxa"/>
            <w:vAlign w:val="center"/>
          </w:tcPr>
          <w:p>
            <w:pPr>
              <w:pStyle w:val="12"/>
            </w:pPr>
            <w:r>
              <w:t>2238.33</w:t>
            </w:r>
          </w:p>
        </w:tc>
        <w:tc>
          <w:tcPr>
            <w:tcW w:w="1134" w:type="dxa"/>
            <w:vAlign w:val="center"/>
          </w:tcPr>
          <w:p>
            <w:pPr>
              <w:pStyle w:val="12"/>
            </w:pPr>
            <w:r>
              <w:t>2238.33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1538.33</w:t>
            </w:r>
          </w:p>
        </w:tc>
        <w:tc>
          <w:tcPr>
            <w:tcW w:w="1134" w:type="dxa"/>
            <w:vAlign w:val="center"/>
          </w:tcPr>
          <w:p>
            <w:pPr>
              <w:pStyle w:val="12"/>
            </w:pPr>
            <w:r>
              <w:t>1538.33</w:t>
            </w:r>
          </w:p>
        </w:tc>
        <w:tc>
          <w:tcPr>
            <w:tcW w:w="1134" w:type="dxa"/>
            <w:vAlign w:val="center"/>
          </w:tcPr>
          <w:p>
            <w:pPr>
              <w:pStyle w:val="12"/>
            </w:pPr>
            <w:r>
              <w:t>1538.33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1538.33</w:t>
            </w:r>
          </w:p>
        </w:tc>
        <w:tc>
          <w:tcPr>
            <w:tcW w:w="1134" w:type="dxa"/>
            <w:vAlign w:val="center"/>
          </w:tcPr>
          <w:p>
            <w:pPr>
              <w:pStyle w:val="12"/>
            </w:pPr>
            <w:r>
              <w:t>1538.33</w:t>
            </w:r>
          </w:p>
        </w:tc>
        <w:tc>
          <w:tcPr>
            <w:tcW w:w="1134" w:type="dxa"/>
            <w:vAlign w:val="center"/>
          </w:tcPr>
          <w:p>
            <w:pPr>
              <w:pStyle w:val="12"/>
            </w:pPr>
            <w:r>
              <w:t>1538.33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21110</w:t>
            </w:r>
          </w:p>
        </w:tc>
        <w:tc>
          <w:tcPr>
            <w:tcW w:w="1559" w:type="dxa"/>
            <w:vAlign w:val="center"/>
          </w:tcPr>
          <w:p>
            <w:pPr>
              <w:pStyle w:val="13"/>
            </w:pPr>
            <w:r>
              <w:t>能源节约利用</w:t>
            </w:r>
          </w:p>
        </w:tc>
        <w:tc>
          <w:tcPr>
            <w:tcW w:w="1134" w:type="dxa"/>
            <w:vAlign w:val="center"/>
          </w:tcPr>
          <w:p>
            <w:pPr>
              <w:pStyle w:val="12"/>
            </w:pPr>
            <w:r>
              <w:t>700.00</w:t>
            </w:r>
          </w:p>
        </w:tc>
        <w:tc>
          <w:tcPr>
            <w:tcW w:w="1134" w:type="dxa"/>
            <w:vAlign w:val="center"/>
          </w:tcPr>
          <w:p>
            <w:pPr>
              <w:pStyle w:val="12"/>
            </w:pPr>
            <w:r>
              <w:t>700.00</w:t>
            </w:r>
          </w:p>
        </w:tc>
        <w:tc>
          <w:tcPr>
            <w:tcW w:w="1134" w:type="dxa"/>
            <w:vAlign w:val="center"/>
          </w:tcPr>
          <w:p>
            <w:pPr>
              <w:pStyle w:val="12"/>
            </w:pPr>
            <w:r>
              <w:t>700.00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2111001</w:t>
            </w:r>
          </w:p>
        </w:tc>
        <w:tc>
          <w:tcPr>
            <w:tcW w:w="1559" w:type="dxa"/>
            <w:vAlign w:val="center"/>
          </w:tcPr>
          <w:p>
            <w:pPr>
              <w:pStyle w:val="13"/>
            </w:pPr>
            <w:r>
              <w:t>能源节约利用</w:t>
            </w:r>
          </w:p>
        </w:tc>
        <w:tc>
          <w:tcPr>
            <w:tcW w:w="1134" w:type="dxa"/>
            <w:vAlign w:val="center"/>
          </w:tcPr>
          <w:p>
            <w:pPr>
              <w:pStyle w:val="12"/>
            </w:pPr>
            <w:r>
              <w:t>700.00</w:t>
            </w:r>
          </w:p>
        </w:tc>
        <w:tc>
          <w:tcPr>
            <w:tcW w:w="1134" w:type="dxa"/>
            <w:vAlign w:val="center"/>
          </w:tcPr>
          <w:p>
            <w:pPr>
              <w:pStyle w:val="12"/>
            </w:pPr>
            <w:r>
              <w:t>700.00</w:t>
            </w:r>
          </w:p>
        </w:tc>
        <w:tc>
          <w:tcPr>
            <w:tcW w:w="1134" w:type="dxa"/>
            <w:vAlign w:val="center"/>
          </w:tcPr>
          <w:p>
            <w:pPr>
              <w:pStyle w:val="12"/>
            </w:pPr>
            <w:r>
              <w:t>700.00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215</w:t>
            </w:r>
          </w:p>
        </w:tc>
        <w:tc>
          <w:tcPr>
            <w:tcW w:w="1559" w:type="dxa"/>
            <w:vAlign w:val="center"/>
          </w:tcPr>
          <w:p>
            <w:pPr>
              <w:pStyle w:val="13"/>
            </w:pPr>
            <w:r>
              <w:t>资源勘探工业信息等支出</w:t>
            </w:r>
          </w:p>
        </w:tc>
        <w:tc>
          <w:tcPr>
            <w:tcW w:w="1134" w:type="dxa"/>
            <w:vAlign w:val="center"/>
          </w:tcPr>
          <w:p>
            <w:pPr>
              <w:pStyle w:val="12"/>
            </w:pPr>
            <w:r>
              <w:t>630.00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21598</w:t>
            </w:r>
          </w:p>
        </w:tc>
        <w:tc>
          <w:tcPr>
            <w:tcW w:w="1559" w:type="dxa"/>
            <w:vAlign w:val="center"/>
          </w:tcPr>
          <w:p>
            <w:pPr>
              <w:pStyle w:val="13"/>
            </w:pPr>
            <w:r>
              <w:t>超长期特别国债安排的支出</w:t>
            </w:r>
          </w:p>
        </w:tc>
        <w:tc>
          <w:tcPr>
            <w:tcW w:w="1134" w:type="dxa"/>
            <w:vAlign w:val="center"/>
          </w:tcPr>
          <w:p>
            <w:pPr>
              <w:pStyle w:val="12"/>
            </w:pPr>
            <w:r>
              <w:t>630.00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2159802</w:t>
            </w:r>
          </w:p>
        </w:tc>
        <w:tc>
          <w:tcPr>
            <w:tcW w:w="1559" w:type="dxa"/>
            <w:vAlign w:val="center"/>
          </w:tcPr>
          <w:p>
            <w:pPr>
              <w:pStyle w:val="13"/>
            </w:pPr>
            <w:r>
              <w:t>制造业</w:t>
            </w:r>
          </w:p>
        </w:tc>
        <w:tc>
          <w:tcPr>
            <w:tcW w:w="1134" w:type="dxa"/>
            <w:vAlign w:val="center"/>
          </w:tcPr>
          <w:p>
            <w:pPr>
              <w:pStyle w:val="12"/>
            </w:pPr>
            <w:r>
              <w:t>630.00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28.49</w:t>
            </w:r>
          </w:p>
        </w:tc>
        <w:tc>
          <w:tcPr>
            <w:tcW w:w="1134" w:type="dxa"/>
            <w:vAlign w:val="center"/>
          </w:tcPr>
          <w:p>
            <w:pPr>
              <w:pStyle w:val="12"/>
            </w:pPr>
            <w:r>
              <w:t>28.49</w:t>
            </w:r>
          </w:p>
        </w:tc>
        <w:tc>
          <w:tcPr>
            <w:tcW w:w="1134" w:type="dxa"/>
            <w:vAlign w:val="center"/>
          </w:tcPr>
          <w:p>
            <w:pPr>
              <w:pStyle w:val="12"/>
            </w:pPr>
            <w:r>
              <w:t>28.49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28.49</w:t>
            </w:r>
          </w:p>
        </w:tc>
        <w:tc>
          <w:tcPr>
            <w:tcW w:w="1134" w:type="dxa"/>
            <w:vAlign w:val="center"/>
          </w:tcPr>
          <w:p>
            <w:pPr>
              <w:pStyle w:val="12"/>
            </w:pPr>
            <w:r>
              <w:t>28.49</w:t>
            </w:r>
          </w:p>
        </w:tc>
        <w:tc>
          <w:tcPr>
            <w:tcW w:w="1134" w:type="dxa"/>
            <w:vAlign w:val="center"/>
          </w:tcPr>
          <w:p>
            <w:pPr>
              <w:pStyle w:val="12"/>
            </w:pPr>
            <w:r>
              <w:t>28.49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28.49</w:t>
            </w:r>
          </w:p>
        </w:tc>
        <w:tc>
          <w:tcPr>
            <w:tcW w:w="1134" w:type="dxa"/>
            <w:vAlign w:val="center"/>
          </w:tcPr>
          <w:p>
            <w:pPr>
              <w:pStyle w:val="12"/>
            </w:pPr>
            <w:r>
              <w:t>28.49</w:t>
            </w:r>
          </w:p>
        </w:tc>
        <w:tc>
          <w:tcPr>
            <w:tcW w:w="1134" w:type="dxa"/>
            <w:vAlign w:val="center"/>
          </w:tcPr>
          <w:p>
            <w:pPr>
              <w:pStyle w:val="12"/>
            </w:pPr>
            <w:r>
              <w:t>28.49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222</w:t>
            </w:r>
          </w:p>
        </w:tc>
        <w:tc>
          <w:tcPr>
            <w:tcW w:w="1559" w:type="dxa"/>
            <w:vAlign w:val="center"/>
          </w:tcPr>
          <w:p>
            <w:pPr>
              <w:pStyle w:val="13"/>
            </w:pPr>
            <w:r>
              <w:t>粮油物资储备支出</w:t>
            </w:r>
          </w:p>
        </w:tc>
        <w:tc>
          <w:tcPr>
            <w:tcW w:w="1134" w:type="dxa"/>
            <w:vAlign w:val="center"/>
          </w:tcPr>
          <w:p>
            <w:pPr>
              <w:pStyle w:val="12"/>
            </w:pPr>
            <w:r>
              <w:t>3537.64</w:t>
            </w:r>
          </w:p>
        </w:tc>
        <w:tc>
          <w:tcPr>
            <w:tcW w:w="1134" w:type="dxa"/>
            <w:vAlign w:val="center"/>
          </w:tcPr>
          <w:p>
            <w:pPr>
              <w:pStyle w:val="12"/>
            </w:pPr>
            <w:r>
              <w:t>3537.64</w:t>
            </w:r>
          </w:p>
        </w:tc>
        <w:tc>
          <w:tcPr>
            <w:tcW w:w="1134" w:type="dxa"/>
            <w:vAlign w:val="center"/>
          </w:tcPr>
          <w:p>
            <w:pPr>
              <w:pStyle w:val="12"/>
            </w:pPr>
            <w:r>
              <w:t>3537.64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22201</w:t>
            </w:r>
          </w:p>
        </w:tc>
        <w:tc>
          <w:tcPr>
            <w:tcW w:w="1559" w:type="dxa"/>
            <w:vAlign w:val="center"/>
          </w:tcPr>
          <w:p>
            <w:pPr>
              <w:pStyle w:val="13"/>
            </w:pPr>
            <w:r>
              <w:t>粮油物资事务</w:t>
            </w:r>
          </w:p>
        </w:tc>
        <w:tc>
          <w:tcPr>
            <w:tcW w:w="1134" w:type="dxa"/>
            <w:vAlign w:val="center"/>
          </w:tcPr>
          <w:p>
            <w:pPr>
              <w:pStyle w:val="12"/>
            </w:pPr>
            <w:r>
              <w:t>2000.20</w:t>
            </w:r>
          </w:p>
        </w:tc>
        <w:tc>
          <w:tcPr>
            <w:tcW w:w="1134" w:type="dxa"/>
            <w:vAlign w:val="center"/>
          </w:tcPr>
          <w:p>
            <w:pPr>
              <w:pStyle w:val="12"/>
            </w:pPr>
            <w:r>
              <w:t>2000.20</w:t>
            </w:r>
          </w:p>
        </w:tc>
        <w:tc>
          <w:tcPr>
            <w:tcW w:w="1134" w:type="dxa"/>
            <w:vAlign w:val="center"/>
          </w:tcPr>
          <w:p>
            <w:pPr>
              <w:pStyle w:val="12"/>
            </w:pPr>
            <w:r>
              <w:t>2000.20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2220199</w:t>
            </w:r>
          </w:p>
        </w:tc>
        <w:tc>
          <w:tcPr>
            <w:tcW w:w="1559" w:type="dxa"/>
            <w:vAlign w:val="center"/>
          </w:tcPr>
          <w:p>
            <w:pPr>
              <w:pStyle w:val="13"/>
            </w:pPr>
            <w:r>
              <w:t>其他粮油物资事务支出</w:t>
            </w:r>
          </w:p>
        </w:tc>
        <w:tc>
          <w:tcPr>
            <w:tcW w:w="1134" w:type="dxa"/>
            <w:vAlign w:val="center"/>
          </w:tcPr>
          <w:p>
            <w:pPr>
              <w:pStyle w:val="12"/>
            </w:pPr>
            <w:r>
              <w:t>2000.20</w:t>
            </w:r>
          </w:p>
        </w:tc>
        <w:tc>
          <w:tcPr>
            <w:tcW w:w="1134" w:type="dxa"/>
            <w:vAlign w:val="center"/>
          </w:tcPr>
          <w:p>
            <w:pPr>
              <w:pStyle w:val="12"/>
            </w:pPr>
            <w:r>
              <w:t>2000.20</w:t>
            </w:r>
          </w:p>
        </w:tc>
        <w:tc>
          <w:tcPr>
            <w:tcW w:w="1134" w:type="dxa"/>
            <w:vAlign w:val="center"/>
          </w:tcPr>
          <w:p>
            <w:pPr>
              <w:pStyle w:val="12"/>
            </w:pPr>
            <w:r>
              <w:t>2000.20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22204</w:t>
            </w:r>
          </w:p>
        </w:tc>
        <w:tc>
          <w:tcPr>
            <w:tcW w:w="1559" w:type="dxa"/>
            <w:vAlign w:val="center"/>
          </w:tcPr>
          <w:p>
            <w:pPr>
              <w:pStyle w:val="13"/>
            </w:pPr>
            <w:r>
              <w:t>粮油储备</w:t>
            </w:r>
          </w:p>
        </w:tc>
        <w:tc>
          <w:tcPr>
            <w:tcW w:w="1134" w:type="dxa"/>
            <w:vAlign w:val="center"/>
          </w:tcPr>
          <w:p>
            <w:pPr>
              <w:pStyle w:val="12"/>
            </w:pPr>
            <w:r>
              <w:t>1537.44</w:t>
            </w:r>
          </w:p>
        </w:tc>
        <w:tc>
          <w:tcPr>
            <w:tcW w:w="1134" w:type="dxa"/>
            <w:vAlign w:val="center"/>
          </w:tcPr>
          <w:p>
            <w:pPr>
              <w:pStyle w:val="12"/>
            </w:pPr>
            <w:r>
              <w:t>1537.44</w:t>
            </w:r>
          </w:p>
        </w:tc>
        <w:tc>
          <w:tcPr>
            <w:tcW w:w="1134" w:type="dxa"/>
            <w:vAlign w:val="center"/>
          </w:tcPr>
          <w:p>
            <w:pPr>
              <w:pStyle w:val="12"/>
            </w:pPr>
            <w:r>
              <w:t>1537.44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2220401</w:t>
            </w:r>
          </w:p>
        </w:tc>
        <w:tc>
          <w:tcPr>
            <w:tcW w:w="1559" w:type="dxa"/>
            <w:vAlign w:val="center"/>
          </w:tcPr>
          <w:p>
            <w:pPr>
              <w:pStyle w:val="13"/>
            </w:pPr>
            <w:r>
              <w:t>储备粮油补贴</w:t>
            </w:r>
          </w:p>
        </w:tc>
        <w:tc>
          <w:tcPr>
            <w:tcW w:w="1134" w:type="dxa"/>
            <w:vAlign w:val="center"/>
          </w:tcPr>
          <w:p>
            <w:pPr>
              <w:pStyle w:val="12"/>
            </w:pPr>
            <w:r>
              <w:t>37.44</w:t>
            </w:r>
          </w:p>
        </w:tc>
        <w:tc>
          <w:tcPr>
            <w:tcW w:w="1134" w:type="dxa"/>
            <w:vAlign w:val="center"/>
          </w:tcPr>
          <w:p>
            <w:pPr>
              <w:pStyle w:val="12"/>
            </w:pPr>
            <w:r>
              <w:t>37.44</w:t>
            </w:r>
          </w:p>
        </w:tc>
        <w:tc>
          <w:tcPr>
            <w:tcW w:w="1134" w:type="dxa"/>
            <w:vAlign w:val="center"/>
          </w:tcPr>
          <w:p>
            <w:pPr>
              <w:pStyle w:val="12"/>
            </w:pPr>
            <w:r>
              <w:t>37.44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2220403</w:t>
            </w:r>
          </w:p>
        </w:tc>
        <w:tc>
          <w:tcPr>
            <w:tcW w:w="1559" w:type="dxa"/>
            <w:vAlign w:val="center"/>
          </w:tcPr>
          <w:p>
            <w:pPr>
              <w:pStyle w:val="13"/>
            </w:pPr>
            <w:r>
              <w:t>储备粮（油）库建设</w:t>
            </w:r>
          </w:p>
        </w:tc>
        <w:tc>
          <w:tcPr>
            <w:tcW w:w="1134" w:type="dxa"/>
            <w:vAlign w:val="center"/>
          </w:tcPr>
          <w:p>
            <w:pPr>
              <w:pStyle w:val="12"/>
            </w:pPr>
            <w:r>
              <w:t>1500.00</w:t>
            </w:r>
          </w:p>
        </w:tc>
        <w:tc>
          <w:tcPr>
            <w:tcW w:w="1134" w:type="dxa"/>
            <w:vAlign w:val="center"/>
          </w:tcPr>
          <w:p>
            <w:pPr>
              <w:pStyle w:val="12"/>
            </w:pPr>
            <w:r>
              <w:t>1500.00</w:t>
            </w:r>
          </w:p>
        </w:tc>
        <w:tc>
          <w:tcPr>
            <w:tcW w:w="1134" w:type="dxa"/>
            <w:vAlign w:val="center"/>
          </w:tcPr>
          <w:p>
            <w:pPr>
              <w:pStyle w:val="12"/>
            </w:pPr>
            <w:r>
              <w:t>1500.00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30444"/>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303隆尧县发展和改革局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6941.44</w:t>
            </w:r>
          </w:p>
        </w:tc>
        <w:tc>
          <w:tcPr>
            <w:tcW w:w="1361" w:type="dxa"/>
            <w:vAlign w:val="center"/>
          </w:tcPr>
          <w:p>
            <w:pPr>
              <w:pStyle w:val="16"/>
            </w:pPr>
            <w:r>
              <w:t>443.75</w:t>
            </w:r>
          </w:p>
        </w:tc>
        <w:tc>
          <w:tcPr>
            <w:tcW w:w="1361" w:type="dxa"/>
            <w:vAlign w:val="center"/>
          </w:tcPr>
          <w:p>
            <w:pPr>
              <w:pStyle w:val="16"/>
            </w:pPr>
            <w:r>
              <w:t>6497.70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451.41</w:t>
            </w:r>
          </w:p>
        </w:tc>
        <w:tc>
          <w:tcPr>
            <w:tcW w:w="1361" w:type="dxa"/>
            <w:vAlign w:val="center"/>
          </w:tcPr>
          <w:p>
            <w:pPr>
              <w:pStyle w:val="12"/>
            </w:pPr>
            <w:r>
              <w:t>359.68</w:t>
            </w:r>
          </w:p>
        </w:tc>
        <w:tc>
          <w:tcPr>
            <w:tcW w:w="1361" w:type="dxa"/>
            <w:vAlign w:val="center"/>
          </w:tcPr>
          <w:p>
            <w:pPr>
              <w:pStyle w:val="12"/>
            </w:pPr>
            <w:r>
              <w:t>91.72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20104</w:t>
            </w:r>
          </w:p>
        </w:tc>
        <w:tc>
          <w:tcPr>
            <w:tcW w:w="4535" w:type="dxa"/>
            <w:vAlign w:val="center"/>
          </w:tcPr>
          <w:p>
            <w:pPr>
              <w:pStyle w:val="13"/>
            </w:pPr>
            <w:r>
              <w:t>发展与改革事务</w:t>
            </w:r>
          </w:p>
        </w:tc>
        <w:tc>
          <w:tcPr>
            <w:tcW w:w="1361" w:type="dxa"/>
            <w:vAlign w:val="center"/>
          </w:tcPr>
          <w:p>
            <w:pPr>
              <w:pStyle w:val="12"/>
            </w:pPr>
            <w:r>
              <w:t>451.41</w:t>
            </w:r>
          </w:p>
        </w:tc>
        <w:tc>
          <w:tcPr>
            <w:tcW w:w="1361" w:type="dxa"/>
            <w:vAlign w:val="center"/>
          </w:tcPr>
          <w:p>
            <w:pPr>
              <w:pStyle w:val="12"/>
            </w:pPr>
            <w:r>
              <w:t>359.68</w:t>
            </w:r>
          </w:p>
        </w:tc>
        <w:tc>
          <w:tcPr>
            <w:tcW w:w="1361" w:type="dxa"/>
            <w:vAlign w:val="center"/>
          </w:tcPr>
          <w:p>
            <w:pPr>
              <w:pStyle w:val="12"/>
            </w:pPr>
            <w:r>
              <w:t>91.72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2010401</w:t>
            </w:r>
          </w:p>
        </w:tc>
        <w:tc>
          <w:tcPr>
            <w:tcW w:w="4535" w:type="dxa"/>
            <w:vAlign w:val="center"/>
          </w:tcPr>
          <w:p>
            <w:pPr>
              <w:pStyle w:val="13"/>
            </w:pPr>
            <w:r>
              <w:t>行政运行</w:t>
            </w:r>
          </w:p>
        </w:tc>
        <w:tc>
          <w:tcPr>
            <w:tcW w:w="1361" w:type="dxa"/>
            <w:vAlign w:val="center"/>
          </w:tcPr>
          <w:p>
            <w:pPr>
              <w:pStyle w:val="12"/>
            </w:pPr>
            <w:r>
              <w:t>359.68</w:t>
            </w:r>
          </w:p>
        </w:tc>
        <w:tc>
          <w:tcPr>
            <w:tcW w:w="1361" w:type="dxa"/>
            <w:vAlign w:val="center"/>
          </w:tcPr>
          <w:p>
            <w:pPr>
              <w:pStyle w:val="12"/>
            </w:pPr>
            <w:r>
              <w:t>359.68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2010404</w:t>
            </w:r>
          </w:p>
        </w:tc>
        <w:tc>
          <w:tcPr>
            <w:tcW w:w="4535" w:type="dxa"/>
            <w:vAlign w:val="center"/>
          </w:tcPr>
          <w:p>
            <w:pPr>
              <w:pStyle w:val="13"/>
            </w:pPr>
            <w:r>
              <w:t>战略规划与实施</w:t>
            </w:r>
          </w:p>
        </w:tc>
        <w:tc>
          <w:tcPr>
            <w:tcW w:w="1361" w:type="dxa"/>
            <w:vAlign w:val="center"/>
          </w:tcPr>
          <w:p>
            <w:pPr>
              <w:pStyle w:val="12"/>
            </w:pPr>
            <w:r>
              <w:t>6.50</w:t>
            </w:r>
          </w:p>
        </w:tc>
        <w:tc>
          <w:tcPr>
            <w:tcW w:w="1361" w:type="dxa"/>
            <w:vAlign w:val="center"/>
          </w:tcPr>
          <w:p>
            <w:pPr>
              <w:pStyle w:val="12"/>
            </w:pPr>
          </w:p>
        </w:tc>
        <w:tc>
          <w:tcPr>
            <w:tcW w:w="1361" w:type="dxa"/>
            <w:vAlign w:val="center"/>
          </w:tcPr>
          <w:p>
            <w:pPr>
              <w:pStyle w:val="12"/>
            </w:pPr>
            <w:r>
              <w:t>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2010499</w:t>
            </w:r>
          </w:p>
        </w:tc>
        <w:tc>
          <w:tcPr>
            <w:tcW w:w="4535" w:type="dxa"/>
            <w:vAlign w:val="center"/>
          </w:tcPr>
          <w:p>
            <w:pPr>
              <w:pStyle w:val="13"/>
            </w:pPr>
            <w:r>
              <w:t>其他发展与改革事务支出</w:t>
            </w:r>
          </w:p>
        </w:tc>
        <w:tc>
          <w:tcPr>
            <w:tcW w:w="1361" w:type="dxa"/>
            <w:vAlign w:val="center"/>
          </w:tcPr>
          <w:p>
            <w:pPr>
              <w:pStyle w:val="12"/>
            </w:pPr>
            <w:r>
              <w:t>85.22</w:t>
            </w:r>
          </w:p>
        </w:tc>
        <w:tc>
          <w:tcPr>
            <w:tcW w:w="1361" w:type="dxa"/>
            <w:vAlign w:val="center"/>
          </w:tcPr>
          <w:p>
            <w:pPr>
              <w:pStyle w:val="12"/>
            </w:pPr>
          </w:p>
        </w:tc>
        <w:tc>
          <w:tcPr>
            <w:tcW w:w="1361" w:type="dxa"/>
            <w:vAlign w:val="center"/>
          </w:tcPr>
          <w:p>
            <w:pPr>
              <w:pStyle w:val="12"/>
            </w:pPr>
            <w:r>
              <w:t>85.22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37.93</w:t>
            </w:r>
          </w:p>
        </w:tc>
        <w:tc>
          <w:tcPr>
            <w:tcW w:w="1361" w:type="dxa"/>
            <w:vAlign w:val="center"/>
          </w:tcPr>
          <w:p>
            <w:pPr>
              <w:pStyle w:val="12"/>
            </w:pPr>
            <w:r>
              <w:t>37.93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37.93</w:t>
            </w:r>
          </w:p>
        </w:tc>
        <w:tc>
          <w:tcPr>
            <w:tcW w:w="1361" w:type="dxa"/>
            <w:vAlign w:val="center"/>
          </w:tcPr>
          <w:p>
            <w:pPr>
              <w:pStyle w:val="12"/>
            </w:pPr>
            <w:r>
              <w:t>37.93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37.93</w:t>
            </w:r>
          </w:p>
        </w:tc>
        <w:tc>
          <w:tcPr>
            <w:tcW w:w="1361" w:type="dxa"/>
            <w:vAlign w:val="center"/>
          </w:tcPr>
          <w:p>
            <w:pPr>
              <w:pStyle w:val="12"/>
            </w:pPr>
            <w:r>
              <w:t>37.93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17.64</w:t>
            </w:r>
          </w:p>
        </w:tc>
        <w:tc>
          <w:tcPr>
            <w:tcW w:w="1361" w:type="dxa"/>
            <w:vAlign w:val="center"/>
          </w:tcPr>
          <w:p>
            <w:pPr>
              <w:pStyle w:val="12"/>
            </w:pPr>
            <w:r>
              <w:t>17.64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17.64</w:t>
            </w:r>
          </w:p>
        </w:tc>
        <w:tc>
          <w:tcPr>
            <w:tcW w:w="1361" w:type="dxa"/>
            <w:vAlign w:val="center"/>
          </w:tcPr>
          <w:p>
            <w:pPr>
              <w:pStyle w:val="12"/>
            </w:pPr>
            <w:r>
              <w:t>17.64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17.64</w:t>
            </w:r>
          </w:p>
        </w:tc>
        <w:tc>
          <w:tcPr>
            <w:tcW w:w="1361" w:type="dxa"/>
            <w:vAlign w:val="center"/>
          </w:tcPr>
          <w:p>
            <w:pPr>
              <w:pStyle w:val="12"/>
            </w:pPr>
            <w:r>
              <w:t>17.64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2238.33</w:t>
            </w:r>
          </w:p>
        </w:tc>
        <w:tc>
          <w:tcPr>
            <w:tcW w:w="1361" w:type="dxa"/>
            <w:vAlign w:val="center"/>
          </w:tcPr>
          <w:p>
            <w:pPr>
              <w:pStyle w:val="12"/>
            </w:pPr>
          </w:p>
        </w:tc>
        <w:tc>
          <w:tcPr>
            <w:tcW w:w="1361" w:type="dxa"/>
            <w:vAlign w:val="center"/>
          </w:tcPr>
          <w:p>
            <w:pPr>
              <w:pStyle w:val="12"/>
            </w:pPr>
            <w:r>
              <w:t>2238.33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1538.33</w:t>
            </w:r>
          </w:p>
        </w:tc>
        <w:tc>
          <w:tcPr>
            <w:tcW w:w="1361" w:type="dxa"/>
            <w:vAlign w:val="center"/>
          </w:tcPr>
          <w:p>
            <w:pPr>
              <w:pStyle w:val="12"/>
            </w:pPr>
          </w:p>
        </w:tc>
        <w:tc>
          <w:tcPr>
            <w:tcW w:w="1361" w:type="dxa"/>
            <w:vAlign w:val="center"/>
          </w:tcPr>
          <w:p>
            <w:pPr>
              <w:pStyle w:val="12"/>
            </w:pPr>
            <w:r>
              <w:t>1538.33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1538.33</w:t>
            </w:r>
          </w:p>
        </w:tc>
        <w:tc>
          <w:tcPr>
            <w:tcW w:w="1361" w:type="dxa"/>
            <w:vAlign w:val="center"/>
          </w:tcPr>
          <w:p>
            <w:pPr>
              <w:pStyle w:val="12"/>
            </w:pPr>
          </w:p>
        </w:tc>
        <w:tc>
          <w:tcPr>
            <w:tcW w:w="1361" w:type="dxa"/>
            <w:vAlign w:val="center"/>
          </w:tcPr>
          <w:p>
            <w:pPr>
              <w:pStyle w:val="12"/>
            </w:pPr>
            <w:r>
              <w:t>1538.33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21110</w:t>
            </w:r>
          </w:p>
        </w:tc>
        <w:tc>
          <w:tcPr>
            <w:tcW w:w="4535" w:type="dxa"/>
            <w:vAlign w:val="center"/>
          </w:tcPr>
          <w:p>
            <w:pPr>
              <w:pStyle w:val="13"/>
            </w:pPr>
            <w:r>
              <w:t>能源节约利用</w:t>
            </w:r>
          </w:p>
        </w:tc>
        <w:tc>
          <w:tcPr>
            <w:tcW w:w="1361" w:type="dxa"/>
            <w:vAlign w:val="center"/>
          </w:tcPr>
          <w:p>
            <w:pPr>
              <w:pStyle w:val="12"/>
            </w:pPr>
            <w:r>
              <w:t>700.00</w:t>
            </w:r>
          </w:p>
        </w:tc>
        <w:tc>
          <w:tcPr>
            <w:tcW w:w="1361" w:type="dxa"/>
            <w:vAlign w:val="center"/>
          </w:tcPr>
          <w:p>
            <w:pPr>
              <w:pStyle w:val="12"/>
            </w:pPr>
          </w:p>
        </w:tc>
        <w:tc>
          <w:tcPr>
            <w:tcW w:w="1361" w:type="dxa"/>
            <w:vAlign w:val="center"/>
          </w:tcPr>
          <w:p>
            <w:pPr>
              <w:pStyle w:val="12"/>
            </w:pPr>
            <w:r>
              <w:t>700.00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2111001</w:t>
            </w:r>
          </w:p>
        </w:tc>
        <w:tc>
          <w:tcPr>
            <w:tcW w:w="4535" w:type="dxa"/>
            <w:vAlign w:val="center"/>
          </w:tcPr>
          <w:p>
            <w:pPr>
              <w:pStyle w:val="13"/>
            </w:pPr>
            <w:r>
              <w:t>能源节约利用</w:t>
            </w:r>
          </w:p>
        </w:tc>
        <w:tc>
          <w:tcPr>
            <w:tcW w:w="1361" w:type="dxa"/>
            <w:vAlign w:val="center"/>
          </w:tcPr>
          <w:p>
            <w:pPr>
              <w:pStyle w:val="12"/>
            </w:pPr>
            <w:r>
              <w:t>700.00</w:t>
            </w:r>
          </w:p>
        </w:tc>
        <w:tc>
          <w:tcPr>
            <w:tcW w:w="1361" w:type="dxa"/>
            <w:vAlign w:val="center"/>
          </w:tcPr>
          <w:p>
            <w:pPr>
              <w:pStyle w:val="12"/>
            </w:pPr>
          </w:p>
        </w:tc>
        <w:tc>
          <w:tcPr>
            <w:tcW w:w="1361" w:type="dxa"/>
            <w:vAlign w:val="center"/>
          </w:tcPr>
          <w:p>
            <w:pPr>
              <w:pStyle w:val="12"/>
            </w:pPr>
            <w:r>
              <w:t>700.00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215</w:t>
            </w:r>
          </w:p>
        </w:tc>
        <w:tc>
          <w:tcPr>
            <w:tcW w:w="4535" w:type="dxa"/>
            <w:vAlign w:val="center"/>
          </w:tcPr>
          <w:p>
            <w:pPr>
              <w:pStyle w:val="13"/>
            </w:pPr>
            <w:r>
              <w:t>资源勘探工业信息等支出</w:t>
            </w:r>
          </w:p>
        </w:tc>
        <w:tc>
          <w:tcPr>
            <w:tcW w:w="1361" w:type="dxa"/>
            <w:vAlign w:val="center"/>
          </w:tcPr>
          <w:p>
            <w:pPr>
              <w:pStyle w:val="12"/>
            </w:pPr>
            <w:r>
              <w:t>630.00</w:t>
            </w:r>
          </w:p>
        </w:tc>
        <w:tc>
          <w:tcPr>
            <w:tcW w:w="1361" w:type="dxa"/>
            <w:vAlign w:val="center"/>
          </w:tcPr>
          <w:p>
            <w:pPr>
              <w:pStyle w:val="12"/>
            </w:pPr>
          </w:p>
        </w:tc>
        <w:tc>
          <w:tcPr>
            <w:tcW w:w="1361" w:type="dxa"/>
            <w:vAlign w:val="center"/>
          </w:tcPr>
          <w:p>
            <w:pPr>
              <w:pStyle w:val="12"/>
            </w:pPr>
            <w:r>
              <w:t>630.00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21598</w:t>
            </w:r>
          </w:p>
        </w:tc>
        <w:tc>
          <w:tcPr>
            <w:tcW w:w="4535" w:type="dxa"/>
            <w:vAlign w:val="center"/>
          </w:tcPr>
          <w:p>
            <w:pPr>
              <w:pStyle w:val="13"/>
            </w:pPr>
            <w:r>
              <w:t>超长期特别国债安排的支出</w:t>
            </w:r>
          </w:p>
        </w:tc>
        <w:tc>
          <w:tcPr>
            <w:tcW w:w="1361" w:type="dxa"/>
            <w:vAlign w:val="center"/>
          </w:tcPr>
          <w:p>
            <w:pPr>
              <w:pStyle w:val="12"/>
            </w:pPr>
            <w:r>
              <w:t>630.00</w:t>
            </w:r>
          </w:p>
        </w:tc>
        <w:tc>
          <w:tcPr>
            <w:tcW w:w="1361" w:type="dxa"/>
            <w:vAlign w:val="center"/>
          </w:tcPr>
          <w:p>
            <w:pPr>
              <w:pStyle w:val="12"/>
            </w:pPr>
          </w:p>
        </w:tc>
        <w:tc>
          <w:tcPr>
            <w:tcW w:w="1361" w:type="dxa"/>
            <w:vAlign w:val="center"/>
          </w:tcPr>
          <w:p>
            <w:pPr>
              <w:pStyle w:val="12"/>
            </w:pPr>
            <w:r>
              <w:t>630.00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2159802</w:t>
            </w:r>
          </w:p>
        </w:tc>
        <w:tc>
          <w:tcPr>
            <w:tcW w:w="4535" w:type="dxa"/>
            <w:vAlign w:val="center"/>
          </w:tcPr>
          <w:p>
            <w:pPr>
              <w:pStyle w:val="13"/>
            </w:pPr>
            <w:r>
              <w:t>制造业</w:t>
            </w:r>
          </w:p>
        </w:tc>
        <w:tc>
          <w:tcPr>
            <w:tcW w:w="1361" w:type="dxa"/>
            <w:vAlign w:val="center"/>
          </w:tcPr>
          <w:p>
            <w:pPr>
              <w:pStyle w:val="12"/>
            </w:pPr>
            <w:r>
              <w:t>630.00</w:t>
            </w:r>
          </w:p>
        </w:tc>
        <w:tc>
          <w:tcPr>
            <w:tcW w:w="1361" w:type="dxa"/>
            <w:vAlign w:val="center"/>
          </w:tcPr>
          <w:p>
            <w:pPr>
              <w:pStyle w:val="12"/>
            </w:pPr>
          </w:p>
        </w:tc>
        <w:tc>
          <w:tcPr>
            <w:tcW w:w="1361" w:type="dxa"/>
            <w:vAlign w:val="center"/>
          </w:tcPr>
          <w:p>
            <w:pPr>
              <w:pStyle w:val="12"/>
            </w:pPr>
            <w:r>
              <w:t>630.00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28.49</w:t>
            </w:r>
          </w:p>
        </w:tc>
        <w:tc>
          <w:tcPr>
            <w:tcW w:w="1361" w:type="dxa"/>
            <w:vAlign w:val="center"/>
          </w:tcPr>
          <w:p>
            <w:pPr>
              <w:pStyle w:val="12"/>
            </w:pPr>
            <w:r>
              <w:t>28.49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28.49</w:t>
            </w:r>
          </w:p>
        </w:tc>
        <w:tc>
          <w:tcPr>
            <w:tcW w:w="1361" w:type="dxa"/>
            <w:vAlign w:val="center"/>
          </w:tcPr>
          <w:p>
            <w:pPr>
              <w:pStyle w:val="12"/>
            </w:pPr>
            <w:r>
              <w:t>28.49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28.49</w:t>
            </w:r>
          </w:p>
        </w:tc>
        <w:tc>
          <w:tcPr>
            <w:tcW w:w="1361" w:type="dxa"/>
            <w:vAlign w:val="center"/>
          </w:tcPr>
          <w:p>
            <w:pPr>
              <w:pStyle w:val="12"/>
            </w:pPr>
            <w:r>
              <w:t>28.49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222</w:t>
            </w:r>
          </w:p>
        </w:tc>
        <w:tc>
          <w:tcPr>
            <w:tcW w:w="4535" w:type="dxa"/>
            <w:vAlign w:val="center"/>
          </w:tcPr>
          <w:p>
            <w:pPr>
              <w:pStyle w:val="13"/>
            </w:pPr>
            <w:r>
              <w:t>粮油物资储备支出</w:t>
            </w:r>
          </w:p>
        </w:tc>
        <w:tc>
          <w:tcPr>
            <w:tcW w:w="1361" w:type="dxa"/>
            <w:vAlign w:val="center"/>
          </w:tcPr>
          <w:p>
            <w:pPr>
              <w:pStyle w:val="12"/>
            </w:pPr>
            <w:r>
              <w:t>3537.64</w:t>
            </w:r>
          </w:p>
        </w:tc>
        <w:tc>
          <w:tcPr>
            <w:tcW w:w="1361" w:type="dxa"/>
            <w:vAlign w:val="center"/>
          </w:tcPr>
          <w:p>
            <w:pPr>
              <w:pStyle w:val="12"/>
            </w:pPr>
          </w:p>
        </w:tc>
        <w:tc>
          <w:tcPr>
            <w:tcW w:w="1361" w:type="dxa"/>
            <w:vAlign w:val="center"/>
          </w:tcPr>
          <w:p>
            <w:pPr>
              <w:pStyle w:val="12"/>
            </w:pPr>
            <w:r>
              <w:t>3537.64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22201</w:t>
            </w:r>
          </w:p>
        </w:tc>
        <w:tc>
          <w:tcPr>
            <w:tcW w:w="4535" w:type="dxa"/>
            <w:vAlign w:val="center"/>
          </w:tcPr>
          <w:p>
            <w:pPr>
              <w:pStyle w:val="13"/>
            </w:pPr>
            <w:r>
              <w:t>粮油物资事务</w:t>
            </w:r>
          </w:p>
        </w:tc>
        <w:tc>
          <w:tcPr>
            <w:tcW w:w="1361" w:type="dxa"/>
            <w:vAlign w:val="center"/>
          </w:tcPr>
          <w:p>
            <w:pPr>
              <w:pStyle w:val="12"/>
            </w:pPr>
            <w:r>
              <w:t>2000.20</w:t>
            </w:r>
          </w:p>
        </w:tc>
        <w:tc>
          <w:tcPr>
            <w:tcW w:w="1361" w:type="dxa"/>
            <w:vAlign w:val="center"/>
          </w:tcPr>
          <w:p>
            <w:pPr>
              <w:pStyle w:val="12"/>
            </w:pPr>
          </w:p>
        </w:tc>
        <w:tc>
          <w:tcPr>
            <w:tcW w:w="1361" w:type="dxa"/>
            <w:vAlign w:val="center"/>
          </w:tcPr>
          <w:p>
            <w:pPr>
              <w:pStyle w:val="12"/>
            </w:pPr>
            <w:r>
              <w:t>2000.20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2220199</w:t>
            </w:r>
          </w:p>
        </w:tc>
        <w:tc>
          <w:tcPr>
            <w:tcW w:w="4535" w:type="dxa"/>
            <w:vAlign w:val="center"/>
          </w:tcPr>
          <w:p>
            <w:pPr>
              <w:pStyle w:val="13"/>
            </w:pPr>
            <w:r>
              <w:t>其他粮油物资事务支出</w:t>
            </w:r>
          </w:p>
        </w:tc>
        <w:tc>
          <w:tcPr>
            <w:tcW w:w="1361" w:type="dxa"/>
            <w:vAlign w:val="center"/>
          </w:tcPr>
          <w:p>
            <w:pPr>
              <w:pStyle w:val="12"/>
            </w:pPr>
            <w:r>
              <w:t>2000.20</w:t>
            </w:r>
          </w:p>
        </w:tc>
        <w:tc>
          <w:tcPr>
            <w:tcW w:w="1361" w:type="dxa"/>
            <w:vAlign w:val="center"/>
          </w:tcPr>
          <w:p>
            <w:pPr>
              <w:pStyle w:val="12"/>
            </w:pPr>
          </w:p>
        </w:tc>
        <w:tc>
          <w:tcPr>
            <w:tcW w:w="1361" w:type="dxa"/>
            <w:vAlign w:val="center"/>
          </w:tcPr>
          <w:p>
            <w:pPr>
              <w:pStyle w:val="12"/>
            </w:pPr>
            <w:r>
              <w:t>2000.20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22204</w:t>
            </w:r>
          </w:p>
        </w:tc>
        <w:tc>
          <w:tcPr>
            <w:tcW w:w="4535" w:type="dxa"/>
            <w:vAlign w:val="center"/>
          </w:tcPr>
          <w:p>
            <w:pPr>
              <w:pStyle w:val="13"/>
            </w:pPr>
            <w:r>
              <w:t>粮油储备</w:t>
            </w:r>
          </w:p>
        </w:tc>
        <w:tc>
          <w:tcPr>
            <w:tcW w:w="1361" w:type="dxa"/>
            <w:vAlign w:val="center"/>
          </w:tcPr>
          <w:p>
            <w:pPr>
              <w:pStyle w:val="12"/>
            </w:pPr>
            <w:r>
              <w:t>1537.44</w:t>
            </w:r>
          </w:p>
        </w:tc>
        <w:tc>
          <w:tcPr>
            <w:tcW w:w="1361" w:type="dxa"/>
            <w:vAlign w:val="center"/>
          </w:tcPr>
          <w:p>
            <w:pPr>
              <w:pStyle w:val="12"/>
            </w:pPr>
          </w:p>
        </w:tc>
        <w:tc>
          <w:tcPr>
            <w:tcW w:w="1361" w:type="dxa"/>
            <w:vAlign w:val="center"/>
          </w:tcPr>
          <w:p>
            <w:pPr>
              <w:pStyle w:val="12"/>
            </w:pPr>
            <w:r>
              <w:t>1537.44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2220401</w:t>
            </w:r>
          </w:p>
        </w:tc>
        <w:tc>
          <w:tcPr>
            <w:tcW w:w="4535" w:type="dxa"/>
            <w:vAlign w:val="center"/>
          </w:tcPr>
          <w:p>
            <w:pPr>
              <w:pStyle w:val="13"/>
            </w:pPr>
            <w:r>
              <w:t>储备粮油补贴</w:t>
            </w:r>
          </w:p>
        </w:tc>
        <w:tc>
          <w:tcPr>
            <w:tcW w:w="1361" w:type="dxa"/>
            <w:vAlign w:val="center"/>
          </w:tcPr>
          <w:p>
            <w:pPr>
              <w:pStyle w:val="12"/>
            </w:pPr>
            <w:r>
              <w:t>37.44</w:t>
            </w:r>
          </w:p>
        </w:tc>
        <w:tc>
          <w:tcPr>
            <w:tcW w:w="1361" w:type="dxa"/>
            <w:vAlign w:val="center"/>
          </w:tcPr>
          <w:p>
            <w:pPr>
              <w:pStyle w:val="12"/>
            </w:pPr>
          </w:p>
        </w:tc>
        <w:tc>
          <w:tcPr>
            <w:tcW w:w="1361" w:type="dxa"/>
            <w:vAlign w:val="center"/>
          </w:tcPr>
          <w:p>
            <w:pPr>
              <w:pStyle w:val="12"/>
            </w:pPr>
            <w:r>
              <w:t>37.44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2220403</w:t>
            </w:r>
          </w:p>
        </w:tc>
        <w:tc>
          <w:tcPr>
            <w:tcW w:w="4535" w:type="dxa"/>
            <w:vAlign w:val="center"/>
          </w:tcPr>
          <w:p>
            <w:pPr>
              <w:pStyle w:val="13"/>
            </w:pPr>
            <w:r>
              <w:t>储备粮（油）库建设</w:t>
            </w: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13019"/>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303隆尧县发展和改革局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6311.44</w:t>
            </w:r>
          </w:p>
        </w:tc>
        <w:tc>
          <w:tcPr>
            <w:tcW w:w="3402" w:type="dxa"/>
            <w:vAlign w:val="center"/>
          </w:tcPr>
          <w:p>
            <w:pPr>
              <w:pStyle w:val="13"/>
            </w:pPr>
            <w:r>
              <w:t>一、一般公共服务支出</w:t>
            </w:r>
          </w:p>
        </w:tc>
        <w:tc>
          <w:tcPr>
            <w:tcW w:w="1474" w:type="dxa"/>
            <w:vAlign w:val="center"/>
          </w:tcPr>
          <w:p>
            <w:pPr>
              <w:pStyle w:val="12"/>
            </w:pPr>
            <w:r>
              <w:t>451.41</w:t>
            </w:r>
          </w:p>
        </w:tc>
        <w:tc>
          <w:tcPr>
            <w:tcW w:w="1474" w:type="dxa"/>
            <w:vAlign w:val="center"/>
          </w:tcPr>
          <w:p>
            <w:pPr>
              <w:pStyle w:val="12"/>
            </w:pPr>
            <w:r>
              <w:t>451.41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37.93</w:t>
            </w:r>
          </w:p>
        </w:tc>
        <w:tc>
          <w:tcPr>
            <w:tcW w:w="1474" w:type="dxa"/>
            <w:vAlign w:val="center"/>
          </w:tcPr>
          <w:p>
            <w:pPr>
              <w:pStyle w:val="12"/>
            </w:pPr>
            <w:r>
              <w:t>37.93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17.64</w:t>
            </w:r>
          </w:p>
        </w:tc>
        <w:tc>
          <w:tcPr>
            <w:tcW w:w="1474" w:type="dxa"/>
            <w:vAlign w:val="center"/>
          </w:tcPr>
          <w:p>
            <w:pPr>
              <w:pStyle w:val="12"/>
            </w:pPr>
            <w:r>
              <w:t>17.64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2238.33</w:t>
            </w:r>
          </w:p>
        </w:tc>
        <w:tc>
          <w:tcPr>
            <w:tcW w:w="1474" w:type="dxa"/>
            <w:vAlign w:val="center"/>
          </w:tcPr>
          <w:p>
            <w:pPr>
              <w:pStyle w:val="12"/>
            </w:pPr>
            <w:r>
              <w:t>2238.33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r>
              <w:t>630.00</w:t>
            </w:r>
          </w:p>
        </w:tc>
        <w:tc>
          <w:tcPr>
            <w:tcW w:w="1474" w:type="dxa"/>
            <w:vAlign w:val="center"/>
          </w:tcPr>
          <w:p>
            <w:pPr>
              <w:pStyle w:val="12"/>
            </w:pPr>
          </w:p>
        </w:tc>
        <w:tc>
          <w:tcPr>
            <w:tcW w:w="1474" w:type="dxa"/>
            <w:vAlign w:val="center"/>
          </w:tcPr>
          <w:p>
            <w:pPr>
              <w:pStyle w:val="12"/>
            </w:pPr>
            <w:r>
              <w:t>630.00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28.49</w:t>
            </w:r>
          </w:p>
        </w:tc>
        <w:tc>
          <w:tcPr>
            <w:tcW w:w="1474" w:type="dxa"/>
            <w:vAlign w:val="center"/>
          </w:tcPr>
          <w:p>
            <w:pPr>
              <w:pStyle w:val="12"/>
            </w:pPr>
            <w:r>
              <w:t>28.49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r>
              <w:t>3537.64</w:t>
            </w:r>
          </w:p>
        </w:tc>
        <w:tc>
          <w:tcPr>
            <w:tcW w:w="1474" w:type="dxa"/>
            <w:vAlign w:val="center"/>
          </w:tcPr>
          <w:p>
            <w:pPr>
              <w:pStyle w:val="12"/>
            </w:pPr>
            <w:r>
              <w:t>3537.64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6311.44</w:t>
            </w:r>
          </w:p>
        </w:tc>
        <w:tc>
          <w:tcPr>
            <w:tcW w:w="3402" w:type="dxa"/>
            <w:vAlign w:val="center"/>
          </w:tcPr>
          <w:p>
            <w:pPr>
              <w:pStyle w:val="15"/>
            </w:pPr>
            <w:r>
              <w:t>本年支出合计</w:t>
            </w:r>
          </w:p>
        </w:tc>
        <w:tc>
          <w:tcPr>
            <w:tcW w:w="1474" w:type="dxa"/>
            <w:vAlign w:val="center"/>
          </w:tcPr>
          <w:p>
            <w:pPr>
              <w:pStyle w:val="16"/>
            </w:pPr>
            <w:r>
              <w:t>6941.44</w:t>
            </w:r>
          </w:p>
        </w:tc>
        <w:tc>
          <w:tcPr>
            <w:tcW w:w="1474" w:type="dxa"/>
            <w:vAlign w:val="center"/>
          </w:tcPr>
          <w:p>
            <w:pPr>
              <w:pStyle w:val="16"/>
            </w:pPr>
            <w:r>
              <w:t>6311.44</w:t>
            </w:r>
          </w:p>
        </w:tc>
        <w:tc>
          <w:tcPr>
            <w:tcW w:w="1474" w:type="dxa"/>
            <w:vAlign w:val="center"/>
          </w:tcPr>
          <w:p>
            <w:pPr>
              <w:pStyle w:val="16"/>
            </w:pPr>
            <w:r>
              <w:t>630.00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630.00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630.00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6941.44</w:t>
            </w:r>
          </w:p>
        </w:tc>
        <w:tc>
          <w:tcPr>
            <w:tcW w:w="3402" w:type="dxa"/>
            <w:vAlign w:val="center"/>
          </w:tcPr>
          <w:p>
            <w:pPr>
              <w:pStyle w:val="15"/>
            </w:pPr>
            <w:r>
              <w:t>支出总计</w:t>
            </w:r>
          </w:p>
        </w:tc>
        <w:tc>
          <w:tcPr>
            <w:tcW w:w="1474" w:type="dxa"/>
            <w:vAlign w:val="center"/>
          </w:tcPr>
          <w:p>
            <w:pPr>
              <w:pStyle w:val="16"/>
            </w:pPr>
            <w:r>
              <w:t>6941.44</w:t>
            </w:r>
          </w:p>
        </w:tc>
        <w:tc>
          <w:tcPr>
            <w:tcW w:w="1474" w:type="dxa"/>
            <w:vAlign w:val="center"/>
          </w:tcPr>
          <w:p>
            <w:pPr>
              <w:pStyle w:val="16"/>
            </w:pPr>
            <w:r>
              <w:t>6311.44</w:t>
            </w:r>
          </w:p>
        </w:tc>
        <w:tc>
          <w:tcPr>
            <w:tcW w:w="1474" w:type="dxa"/>
            <w:vAlign w:val="center"/>
          </w:tcPr>
          <w:p>
            <w:pPr>
              <w:pStyle w:val="16"/>
            </w:pPr>
            <w:r>
              <w:t>630.00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1682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6311.44</w:t>
            </w:r>
          </w:p>
        </w:tc>
        <w:tc>
          <w:tcPr>
            <w:tcW w:w="2551" w:type="dxa"/>
            <w:vAlign w:val="center"/>
          </w:tcPr>
          <w:p>
            <w:pPr>
              <w:pStyle w:val="16"/>
            </w:pPr>
            <w:r>
              <w:t>443.75</w:t>
            </w:r>
          </w:p>
        </w:tc>
        <w:tc>
          <w:tcPr>
            <w:tcW w:w="2551" w:type="dxa"/>
            <w:vAlign w:val="center"/>
          </w:tcPr>
          <w:p>
            <w:pPr>
              <w:pStyle w:val="16"/>
            </w:pPr>
            <w:r>
              <w:t>5867.70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451.41</w:t>
            </w:r>
          </w:p>
        </w:tc>
        <w:tc>
          <w:tcPr>
            <w:tcW w:w="2551" w:type="dxa"/>
            <w:vAlign w:val="center"/>
          </w:tcPr>
          <w:p>
            <w:pPr>
              <w:pStyle w:val="12"/>
            </w:pPr>
            <w:r>
              <w:t>359.68</w:t>
            </w:r>
          </w:p>
        </w:tc>
        <w:tc>
          <w:tcPr>
            <w:tcW w:w="2551" w:type="dxa"/>
            <w:vAlign w:val="center"/>
          </w:tcPr>
          <w:p>
            <w:pPr>
              <w:pStyle w:val="12"/>
            </w:pPr>
            <w:r>
              <w:t>91.72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20104</w:t>
            </w:r>
          </w:p>
        </w:tc>
        <w:tc>
          <w:tcPr>
            <w:tcW w:w="4535" w:type="dxa"/>
            <w:vAlign w:val="center"/>
          </w:tcPr>
          <w:p>
            <w:pPr>
              <w:pStyle w:val="13"/>
            </w:pPr>
            <w:r>
              <w:t>发展与改革事务</w:t>
            </w:r>
          </w:p>
        </w:tc>
        <w:tc>
          <w:tcPr>
            <w:tcW w:w="2551" w:type="dxa"/>
            <w:vAlign w:val="center"/>
          </w:tcPr>
          <w:p>
            <w:pPr>
              <w:pStyle w:val="12"/>
            </w:pPr>
            <w:r>
              <w:t>451.41</w:t>
            </w:r>
          </w:p>
        </w:tc>
        <w:tc>
          <w:tcPr>
            <w:tcW w:w="2551" w:type="dxa"/>
            <w:vAlign w:val="center"/>
          </w:tcPr>
          <w:p>
            <w:pPr>
              <w:pStyle w:val="12"/>
            </w:pPr>
            <w:r>
              <w:t>359.68</w:t>
            </w:r>
          </w:p>
        </w:tc>
        <w:tc>
          <w:tcPr>
            <w:tcW w:w="2551" w:type="dxa"/>
            <w:vAlign w:val="center"/>
          </w:tcPr>
          <w:p>
            <w:pPr>
              <w:pStyle w:val="12"/>
            </w:pPr>
            <w:r>
              <w:t>91.72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2010401</w:t>
            </w:r>
          </w:p>
        </w:tc>
        <w:tc>
          <w:tcPr>
            <w:tcW w:w="4535" w:type="dxa"/>
            <w:vAlign w:val="center"/>
          </w:tcPr>
          <w:p>
            <w:pPr>
              <w:pStyle w:val="13"/>
            </w:pPr>
            <w:r>
              <w:t>行政运行</w:t>
            </w:r>
          </w:p>
        </w:tc>
        <w:tc>
          <w:tcPr>
            <w:tcW w:w="2551" w:type="dxa"/>
            <w:vAlign w:val="center"/>
          </w:tcPr>
          <w:p>
            <w:pPr>
              <w:pStyle w:val="12"/>
            </w:pPr>
            <w:r>
              <w:t>359.68</w:t>
            </w:r>
          </w:p>
        </w:tc>
        <w:tc>
          <w:tcPr>
            <w:tcW w:w="2551" w:type="dxa"/>
            <w:vAlign w:val="center"/>
          </w:tcPr>
          <w:p>
            <w:pPr>
              <w:pStyle w:val="12"/>
            </w:pPr>
            <w:r>
              <w:t>359.68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2010404</w:t>
            </w:r>
          </w:p>
        </w:tc>
        <w:tc>
          <w:tcPr>
            <w:tcW w:w="4535" w:type="dxa"/>
            <w:vAlign w:val="center"/>
          </w:tcPr>
          <w:p>
            <w:pPr>
              <w:pStyle w:val="13"/>
            </w:pPr>
            <w:r>
              <w:t>战略规划与实施</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2010499</w:t>
            </w:r>
          </w:p>
        </w:tc>
        <w:tc>
          <w:tcPr>
            <w:tcW w:w="4535" w:type="dxa"/>
            <w:vAlign w:val="center"/>
          </w:tcPr>
          <w:p>
            <w:pPr>
              <w:pStyle w:val="13"/>
            </w:pPr>
            <w:r>
              <w:t>其他发展与改革事务支出</w:t>
            </w:r>
          </w:p>
        </w:tc>
        <w:tc>
          <w:tcPr>
            <w:tcW w:w="2551" w:type="dxa"/>
            <w:vAlign w:val="center"/>
          </w:tcPr>
          <w:p>
            <w:pPr>
              <w:pStyle w:val="12"/>
            </w:pPr>
            <w:r>
              <w:t>85.22</w:t>
            </w:r>
          </w:p>
        </w:tc>
        <w:tc>
          <w:tcPr>
            <w:tcW w:w="2551" w:type="dxa"/>
            <w:vAlign w:val="center"/>
          </w:tcPr>
          <w:p>
            <w:pPr>
              <w:pStyle w:val="12"/>
            </w:pPr>
          </w:p>
        </w:tc>
        <w:tc>
          <w:tcPr>
            <w:tcW w:w="2551" w:type="dxa"/>
            <w:vAlign w:val="center"/>
          </w:tcPr>
          <w:p>
            <w:pPr>
              <w:pStyle w:val="12"/>
            </w:pPr>
            <w:r>
              <w:t>85.22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37.93</w:t>
            </w:r>
          </w:p>
        </w:tc>
        <w:tc>
          <w:tcPr>
            <w:tcW w:w="2551" w:type="dxa"/>
            <w:vAlign w:val="center"/>
          </w:tcPr>
          <w:p>
            <w:pPr>
              <w:pStyle w:val="12"/>
            </w:pPr>
            <w:r>
              <w:t>37.93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37.93</w:t>
            </w:r>
          </w:p>
        </w:tc>
        <w:tc>
          <w:tcPr>
            <w:tcW w:w="2551" w:type="dxa"/>
            <w:vAlign w:val="center"/>
          </w:tcPr>
          <w:p>
            <w:pPr>
              <w:pStyle w:val="12"/>
            </w:pPr>
            <w:r>
              <w:t>37.93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37.93</w:t>
            </w:r>
          </w:p>
        </w:tc>
        <w:tc>
          <w:tcPr>
            <w:tcW w:w="2551" w:type="dxa"/>
            <w:vAlign w:val="center"/>
          </w:tcPr>
          <w:p>
            <w:pPr>
              <w:pStyle w:val="12"/>
            </w:pPr>
            <w:r>
              <w:t>37.93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17.64</w:t>
            </w:r>
          </w:p>
        </w:tc>
        <w:tc>
          <w:tcPr>
            <w:tcW w:w="2551" w:type="dxa"/>
            <w:vAlign w:val="center"/>
          </w:tcPr>
          <w:p>
            <w:pPr>
              <w:pStyle w:val="12"/>
            </w:pPr>
            <w:r>
              <w:t>17.64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17.64</w:t>
            </w:r>
          </w:p>
        </w:tc>
        <w:tc>
          <w:tcPr>
            <w:tcW w:w="2551" w:type="dxa"/>
            <w:vAlign w:val="center"/>
          </w:tcPr>
          <w:p>
            <w:pPr>
              <w:pStyle w:val="12"/>
            </w:pPr>
            <w:r>
              <w:t>17.64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17.64</w:t>
            </w:r>
          </w:p>
        </w:tc>
        <w:tc>
          <w:tcPr>
            <w:tcW w:w="2551" w:type="dxa"/>
            <w:vAlign w:val="center"/>
          </w:tcPr>
          <w:p>
            <w:pPr>
              <w:pStyle w:val="12"/>
            </w:pPr>
            <w:r>
              <w:t>17.64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2238.33</w:t>
            </w:r>
          </w:p>
        </w:tc>
        <w:tc>
          <w:tcPr>
            <w:tcW w:w="2551" w:type="dxa"/>
            <w:vAlign w:val="center"/>
          </w:tcPr>
          <w:p>
            <w:pPr>
              <w:pStyle w:val="12"/>
            </w:pPr>
          </w:p>
        </w:tc>
        <w:tc>
          <w:tcPr>
            <w:tcW w:w="2551" w:type="dxa"/>
            <w:vAlign w:val="center"/>
          </w:tcPr>
          <w:p>
            <w:pPr>
              <w:pStyle w:val="12"/>
            </w:pPr>
            <w:r>
              <w:t>2238.33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1538.33</w:t>
            </w:r>
          </w:p>
        </w:tc>
        <w:tc>
          <w:tcPr>
            <w:tcW w:w="2551" w:type="dxa"/>
            <w:vAlign w:val="center"/>
          </w:tcPr>
          <w:p>
            <w:pPr>
              <w:pStyle w:val="12"/>
            </w:pPr>
          </w:p>
        </w:tc>
        <w:tc>
          <w:tcPr>
            <w:tcW w:w="2551" w:type="dxa"/>
            <w:vAlign w:val="center"/>
          </w:tcPr>
          <w:p>
            <w:pPr>
              <w:pStyle w:val="12"/>
            </w:pPr>
            <w:r>
              <w:t>1538.33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1538.33</w:t>
            </w:r>
          </w:p>
        </w:tc>
        <w:tc>
          <w:tcPr>
            <w:tcW w:w="2551" w:type="dxa"/>
            <w:vAlign w:val="center"/>
          </w:tcPr>
          <w:p>
            <w:pPr>
              <w:pStyle w:val="12"/>
            </w:pPr>
          </w:p>
        </w:tc>
        <w:tc>
          <w:tcPr>
            <w:tcW w:w="2551" w:type="dxa"/>
            <w:vAlign w:val="center"/>
          </w:tcPr>
          <w:p>
            <w:pPr>
              <w:pStyle w:val="12"/>
            </w:pPr>
            <w:r>
              <w:t>1538.33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21110</w:t>
            </w:r>
          </w:p>
        </w:tc>
        <w:tc>
          <w:tcPr>
            <w:tcW w:w="4535" w:type="dxa"/>
            <w:vAlign w:val="center"/>
          </w:tcPr>
          <w:p>
            <w:pPr>
              <w:pStyle w:val="13"/>
            </w:pPr>
            <w:r>
              <w:t>能源节约利用</w:t>
            </w:r>
          </w:p>
        </w:tc>
        <w:tc>
          <w:tcPr>
            <w:tcW w:w="2551" w:type="dxa"/>
            <w:vAlign w:val="center"/>
          </w:tcPr>
          <w:p>
            <w:pPr>
              <w:pStyle w:val="12"/>
            </w:pPr>
            <w:r>
              <w:t>700.00</w:t>
            </w:r>
          </w:p>
        </w:tc>
        <w:tc>
          <w:tcPr>
            <w:tcW w:w="2551" w:type="dxa"/>
            <w:vAlign w:val="center"/>
          </w:tcPr>
          <w:p>
            <w:pPr>
              <w:pStyle w:val="12"/>
            </w:pPr>
          </w:p>
        </w:tc>
        <w:tc>
          <w:tcPr>
            <w:tcW w:w="2551" w:type="dxa"/>
            <w:vAlign w:val="center"/>
          </w:tcPr>
          <w:p>
            <w:pPr>
              <w:pStyle w:val="12"/>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2111001</w:t>
            </w:r>
          </w:p>
        </w:tc>
        <w:tc>
          <w:tcPr>
            <w:tcW w:w="4535" w:type="dxa"/>
            <w:vAlign w:val="center"/>
          </w:tcPr>
          <w:p>
            <w:pPr>
              <w:pStyle w:val="13"/>
            </w:pPr>
            <w:r>
              <w:t>能源节约利用</w:t>
            </w:r>
          </w:p>
        </w:tc>
        <w:tc>
          <w:tcPr>
            <w:tcW w:w="2551" w:type="dxa"/>
            <w:vAlign w:val="center"/>
          </w:tcPr>
          <w:p>
            <w:pPr>
              <w:pStyle w:val="12"/>
            </w:pPr>
            <w:r>
              <w:t>700.00</w:t>
            </w:r>
          </w:p>
        </w:tc>
        <w:tc>
          <w:tcPr>
            <w:tcW w:w="2551" w:type="dxa"/>
            <w:vAlign w:val="center"/>
          </w:tcPr>
          <w:p>
            <w:pPr>
              <w:pStyle w:val="12"/>
            </w:pPr>
          </w:p>
        </w:tc>
        <w:tc>
          <w:tcPr>
            <w:tcW w:w="2551" w:type="dxa"/>
            <w:vAlign w:val="center"/>
          </w:tcPr>
          <w:p>
            <w:pPr>
              <w:pStyle w:val="12"/>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28.49</w:t>
            </w:r>
          </w:p>
        </w:tc>
        <w:tc>
          <w:tcPr>
            <w:tcW w:w="2551" w:type="dxa"/>
            <w:vAlign w:val="center"/>
          </w:tcPr>
          <w:p>
            <w:pPr>
              <w:pStyle w:val="12"/>
            </w:pPr>
            <w:r>
              <w:t>28.49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28.49</w:t>
            </w:r>
          </w:p>
        </w:tc>
        <w:tc>
          <w:tcPr>
            <w:tcW w:w="2551" w:type="dxa"/>
            <w:vAlign w:val="center"/>
          </w:tcPr>
          <w:p>
            <w:pPr>
              <w:pStyle w:val="12"/>
            </w:pPr>
            <w:r>
              <w:t>28.49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28.49</w:t>
            </w:r>
          </w:p>
        </w:tc>
        <w:tc>
          <w:tcPr>
            <w:tcW w:w="2551" w:type="dxa"/>
            <w:vAlign w:val="center"/>
          </w:tcPr>
          <w:p>
            <w:pPr>
              <w:pStyle w:val="12"/>
            </w:pPr>
            <w:r>
              <w:t>28.49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222</w:t>
            </w:r>
          </w:p>
        </w:tc>
        <w:tc>
          <w:tcPr>
            <w:tcW w:w="4535" w:type="dxa"/>
            <w:vAlign w:val="center"/>
          </w:tcPr>
          <w:p>
            <w:pPr>
              <w:pStyle w:val="13"/>
            </w:pPr>
            <w:r>
              <w:t>粮油物资储备支出</w:t>
            </w:r>
          </w:p>
        </w:tc>
        <w:tc>
          <w:tcPr>
            <w:tcW w:w="2551" w:type="dxa"/>
            <w:vAlign w:val="center"/>
          </w:tcPr>
          <w:p>
            <w:pPr>
              <w:pStyle w:val="12"/>
            </w:pPr>
            <w:r>
              <w:t>3537.64</w:t>
            </w:r>
          </w:p>
        </w:tc>
        <w:tc>
          <w:tcPr>
            <w:tcW w:w="2551" w:type="dxa"/>
            <w:vAlign w:val="center"/>
          </w:tcPr>
          <w:p>
            <w:pPr>
              <w:pStyle w:val="12"/>
            </w:pPr>
          </w:p>
        </w:tc>
        <w:tc>
          <w:tcPr>
            <w:tcW w:w="2551" w:type="dxa"/>
            <w:vAlign w:val="center"/>
          </w:tcPr>
          <w:p>
            <w:pPr>
              <w:pStyle w:val="12"/>
            </w:pPr>
            <w:r>
              <w:t>3537.64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22201</w:t>
            </w:r>
          </w:p>
        </w:tc>
        <w:tc>
          <w:tcPr>
            <w:tcW w:w="4535" w:type="dxa"/>
            <w:vAlign w:val="center"/>
          </w:tcPr>
          <w:p>
            <w:pPr>
              <w:pStyle w:val="13"/>
            </w:pPr>
            <w:r>
              <w:t>粮油物资事务</w:t>
            </w:r>
          </w:p>
        </w:tc>
        <w:tc>
          <w:tcPr>
            <w:tcW w:w="2551" w:type="dxa"/>
            <w:vAlign w:val="center"/>
          </w:tcPr>
          <w:p>
            <w:pPr>
              <w:pStyle w:val="12"/>
            </w:pPr>
            <w:r>
              <w:t>2000.20</w:t>
            </w:r>
          </w:p>
        </w:tc>
        <w:tc>
          <w:tcPr>
            <w:tcW w:w="2551" w:type="dxa"/>
            <w:vAlign w:val="center"/>
          </w:tcPr>
          <w:p>
            <w:pPr>
              <w:pStyle w:val="12"/>
            </w:pPr>
          </w:p>
        </w:tc>
        <w:tc>
          <w:tcPr>
            <w:tcW w:w="2551" w:type="dxa"/>
            <w:vAlign w:val="center"/>
          </w:tcPr>
          <w:p>
            <w:pPr>
              <w:pStyle w:val="12"/>
            </w:pPr>
            <w:r>
              <w:t>2000.20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2220199</w:t>
            </w:r>
          </w:p>
        </w:tc>
        <w:tc>
          <w:tcPr>
            <w:tcW w:w="4535" w:type="dxa"/>
            <w:vAlign w:val="center"/>
          </w:tcPr>
          <w:p>
            <w:pPr>
              <w:pStyle w:val="13"/>
            </w:pPr>
            <w:r>
              <w:t>其他粮油物资事务支出</w:t>
            </w:r>
          </w:p>
        </w:tc>
        <w:tc>
          <w:tcPr>
            <w:tcW w:w="2551" w:type="dxa"/>
            <w:vAlign w:val="center"/>
          </w:tcPr>
          <w:p>
            <w:pPr>
              <w:pStyle w:val="12"/>
            </w:pPr>
            <w:r>
              <w:t>2000.20</w:t>
            </w:r>
          </w:p>
        </w:tc>
        <w:tc>
          <w:tcPr>
            <w:tcW w:w="2551" w:type="dxa"/>
            <w:vAlign w:val="center"/>
          </w:tcPr>
          <w:p>
            <w:pPr>
              <w:pStyle w:val="12"/>
            </w:pPr>
          </w:p>
        </w:tc>
        <w:tc>
          <w:tcPr>
            <w:tcW w:w="2551" w:type="dxa"/>
            <w:vAlign w:val="center"/>
          </w:tcPr>
          <w:p>
            <w:pPr>
              <w:pStyle w:val="12"/>
            </w:pPr>
            <w:r>
              <w:t>2000.20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22204</w:t>
            </w:r>
          </w:p>
        </w:tc>
        <w:tc>
          <w:tcPr>
            <w:tcW w:w="4535" w:type="dxa"/>
            <w:vAlign w:val="center"/>
          </w:tcPr>
          <w:p>
            <w:pPr>
              <w:pStyle w:val="13"/>
            </w:pPr>
            <w:r>
              <w:t>粮油储备</w:t>
            </w:r>
          </w:p>
        </w:tc>
        <w:tc>
          <w:tcPr>
            <w:tcW w:w="2551" w:type="dxa"/>
            <w:vAlign w:val="center"/>
          </w:tcPr>
          <w:p>
            <w:pPr>
              <w:pStyle w:val="12"/>
            </w:pPr>
            <w:r>
              <w:t>1537.44</w:t>
            </w:r>
          </w:p>
        </w:tc>
        <w:tc>
          <w:tcPr>
            <w:tcW w:w="2551" w:type="dxa"/>
            <w:vAlign w:val="center"/>
          </w:tcPr>
          <w:p>
            <w:pPr>
              <w:pStyle w:val="12"/>
            </w:pPr>
          </w:p>
        </w:tc>
        <w:tc>
          <w:tcPr>
            <w:tcW w:w="2551" w:type="dxa"/>
            <w:vAlign w:val="center"/>
          </w:tcPr>
          <w:p>
            <w:pPr>
              <w:pStyle w:val="12"/>
            </w:pPr>
            <w:r>
              <w:t>1537.44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2220401</w:t>
            </w:r>
          </w:p>
        </w:tc>
        <w:tc>
          <w:tcPr>
            <w:tcW w:w="4535" w:type="dxa"/>
            <w:vAlign w:val="center"/>
          </w:tcPr>
          <w:p>
            <w:pPr>
              <w:pStyle w:val="13"/>
            </w:pPr>
            <w:r>
              <w:t>储备粮油补贴</w:t>
            </w:r>
          </w:p>
        </w:tc>
        <w:tc>
          <w:tcPr>
            <w:tcW w:w="2551" w:type="dxa"/>
            <w:vAlign w:val="center"/>
          </w:tcPr>
          <w:p>
            <w:pPr>
              <w:pStyle w:val="12"/>
            </w:pPr>
            <w:r>
              <w:t>37.44</w:t>
            </w:r>
          </w:p>
        </w:tc>
        <w:tc>
          <w:tcPr>
            <w:tcW w:w="2551" w:type="dxa"/>
            <w:vAlign w:val="center"/>
          </w:tcPr>
          <w:p>
            <w:pPr>
              <w:pStyle w:val="12"/>
            </w:pPr>
          </w:p>
        </w:tc>
        <w:tc>
          <w:tcPr>
            <w:tcW w:w="2551" w:type="dxa"/>
            <w:vAlign w:val="center"/>
          </w:tcPr>
          <w:p>
            <w:pPr>
              <w:pStyle w:val="12"/>
            </w:pPr>
            <w:r>
              <w:t>37.44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2220403</w:t>
            </w:r>
          </w:p>
        </w:tc>
        <w:tc>
          <w:tcPr>
            <w:tcW w:w="4535" w:type="dxa"/>
            <w:vAlign w:val="center"/>
          </w:tcPr>
          <w:p>
            <w:pPr>
              <w:pStyle w:val="13"/>
            </w:pPr>
            <w:r>
              <w:t>储备粮（油）库建设</w:t>
            </w:r>
          </w:p>
        </w:tc>
        <w:tc>
          <w:tcPr>
            <w:tcW w:w="2551" w:type="dxa"/>
            <w:vAlign w:val="center"/>
          </w:tcPr>
          <w:p>
            <w:pPr>
              <w:pStyle w:val="12"/>
            </w:pPr>
            <w:r>
              <w:t>1500.00</w:t>
            </w:r>
          </w:p>
        </w:tc>
        <w:tc>
          <w:tcPr>
            <w:tcW w:w="2551" w:type="dxa"/>
            <w:vAlign w:val="center"/>
          </w:tcPr>
          <w:p>
            <w:pPr>
              <w:pStyle w:val="12"/>
            </w:pPr>
          </w:p>
        </w:tc>
        <w:tc>
          <w:tcPr>
            <w:tcW w:w="2551" w:type="dxa"/>
            <w:vAlign w:val="center"/>
          </w:tcPr>
          <w:p>
            <w:pPr>
              <w:pStyle w:val="12"/>
            </w:pPr>
            <w:r>
              <w:t>1500.00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11977"/>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443.75</w:t>
            </w:r>
          </w:p>
        </w:tc>
        <w:tc>
          <w:tcPr>
            <w:tcW w:w="2551" w:type="dxa"/>
            <w:vAlign w:val="center"/>
          </w:tcPr>
          <w:p>
            <w:pPr>
              <w:pStyle w:val="16"/>
            </w:pPr>
            <w:r>
              <w:t>412.61</w:t>
            </w:r>
          </w:p>
        </w:tc>
        <w:tc>
          <w:tcPr>
            <w:tcW w:w="2551" w:type="dxa"/>
            <w:vAlign w:val="center"/>
          </w:tcPr>
          <w:p>
            <w:pPr>
              <w:pStyle w:val="16"/>
            </w:pPr>
            <w:r>
              <w:t>31.14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367.09</w:t>
            </w:r>
          </w:p>
        </w:tc>
        <w:tc>
          <w:tcPr>
            <w:tcW w:w="2551" w:type="dxa"/>
            <w:vAlign w:val="center"/>
          </w:tcPr>
          <w:p>
            <w:pPr>
              <w:pStyle w:val="12"/>
            </w:pPr>
            <w:r>
              <w:t>367.09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163.38</w:t>
            </w:r>
          </w:p>
        </w:tc>
        <w:tc>
          <w:tcPr>
            <w:tcW w:w="2551" w:type="dxa"/>
            <w:vAlign w:val="center"/>
          </w:tcPr>
          <w:p>
            <w:pPr>
              <w:pStyle w:val="12"/>
            </w:pPr>
            <w:r>
              <w:t>163.38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33.19</w:t>
            </w:r>
          </w:p>
        </w:tc>
        <w:tc>
          <w:tcPr>
            <w:tcW w:w="2551" w:type="dxa"/>
            <w:vAlign w:val="center"/>
          </w:tcPr>
          <w:p>
            <w:pPr>
              <w:pStyle w:val="12"/>
            </w:pPr>
            <w:r>
              <w:t>33.19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52.16</w:t>
            </w:r>
          </w:p>
        </w:tc>
        <w:tc>
          <w:tcPr>
            <w:tcW w:w="2551" w:type="dxa"/>
            <w:vAlign w:val="center"/>
          </w:tcPr>
          <w:p>
            <w:pPr>
              <w:pStyle w:val="12"/>
            </w:pPr>
            <w:r>
              <w:t>52.16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33.22</w:t>
            </w:r>
          </w:p>
        </w:tc>
        <w:tc>
          <w:tcPr>
            <w:tcW w:w="2551" w:type="dxa"/>
            <w:vAlign w:val="center"/>
          </w:tcPr>
          <w:p>
            <w:pPr>
              <w:pStyle w:val="12"/>
            </w:pPr>
            <w:r>
              <w:t>33.22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37.93</w:t>
            </w:r>
          </w:p>
        </w:tc>
        <w:tc>
          <w:tcPr>
            <w:tcW w:w="2551" w:type="dxa"/>
            <w:vAlign w:val="center"/>
          </w:tcPr>
          <w:p>
            <w:pPr>
              <w:pStyle w:val="12"/>
            </w:pPr>
            <w:r>
              <w:t>37.93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17.64</w:t>
            </w:r>
          </w:p>
        </w:tc>
        <w:tc>
          <w:tcPr>
            <w:tcW w:w="2551" w:type="dxa"/>
            <w:vAlign w:val="center"/>
          </w:tcPr>
          <w:p>
            <w:pPr>
              <w:pStyle w:val="12"/>
            </w:pPr>
            <w:r>
              <w:t>17.64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1.08</w:t>
            </w:r>
          </w:p>
        </w:tc>
        <w:tc>
          <w:tcPr>
            <w:tcW w:w="2551" w:type="dxa"/>
            <w:vAlign w:val="center"/>
          </w:tcPr>
          <w:p>
            <w:pPr>
              <w:pStyle w:val="12"/>
            </w:pPr>
            <w:r>
              <w:t>1.08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28.49</w:t>
            </w:r>
          </w:p>
        </w:tc>
        <w:tc>
          <w:tcPr>
            <w:tcW w:w="2551" w:type="dxa"/>
            <w:vAlign w:val="center"/>
          </w:tcPr>
          <w:p>
            <w:pPr>
              <w:pStyle w:val="12"/>
            </w:pPr>
            <w:r>
              <w:t>28.49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31.14</w:t>
            </w:r>
          </w:p>
        </w:tc>
        <w:tc>
          <w:tcPr>
            <w:tcW w:w="2551" w:type="dxa"/>
            <w:vAlign w:val="center"/>
          </w:tcPr>
          <w:p>
            <w:pPr>
              <w:pStyle w:val="12"/>
            </w:pPr>
          </w:p>
        </w:tc>
        <w:tc>
          <w:tcPr>
            <w:tcW w:w="2551" w:type="dxa"/>
            <w:vAlign w:val="center"/>
          </w:tcPr>
          <w:p>
            <w:pPr>
              <w:pStyle w:val="12"/>
            </w:pPr>
            <w:r>
              <w:t>31.14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1.54</w:t>
            </w:r>
          </w:p>
        </w:tc>
        <w:tc>
          <w:tcPr>
            <w:tcW w:w="2551" w:type="dxa"/>
            <w:vAlign w:val="center"/>
          </w:tcPr>
          <w:p>
            <w:pPr>
              <w:pStyle w:val="12"/>
            </w:pPr>
          </w:p>
        </w:tc>
        <w:tc>
          <w:tcPr>
            <w:tcW w:w="2551" w:type="dxa"/>
            <w:vAlign w:val="center"/>
          </w:tcPr>
          <w:p>
            <w:pPr>
              <w:pStyle w:val="12"/>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30204</w:t>
            </w:r>
          </w:p>
        </w:tc>
        <w:tc>
          <w:tcPr>
            <w:tcW w:w="4535" w:type="dxa"/>
            <w:vAlign w:val="center"/>
          </w:tcPr>
          <w:p>
            <w:pPr>
              <w:pStyle w:val="13"/>
            </w:pPr>
            <w:r>
              <w:t>手续费</w:t>
            </w:r>
          </w:p>
        </w:tc>
        <w:tc>
          <w:tcPr>
            <w:tcW w:w="2551" w:type="dxa"/>
            <w:vAlign w:val="center"/>
          </w:tcPr>
          <w:p>
            <w:pPr>
              <w:pStyle w:val="12"/>
            </w:pPr>
            <w:r>
              <w:t>0.05</w:t>
            </w:r>
          </w:p>
        </w:tc>
        <w:tc>
          <w:tcPr>
            <w:tcW w:w="2551" w:type="dxa"/>
            <w:vAlign w:val="center"/>
          </w:tcPr>
          <w:p>
            <w:pPr>
              <w:pStyle w:val="12"/>
            </w:pPr>
          </w:p>
        </w:tc>
        <w:tc>
          <w:tcPr>
            <w:tcW w:w="2551" w:type="dxa"/>
            <w:vAlign w:val="center"/>
          </w:tcPr>
          <w:p>
            <w:pPr>
              <w:pStyle w:val="12"/>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2.60</w:t>
            </w:r>
          </w:p>
        </w:tc>
        <w:tc>
          <w:tcPr>
            <w:tcW w:w="2551" w:type="dxa"/>
            <w:vAlign w:val="center"/>
          </w:tcPr>
          <w:p>
            <w:pPr>
              <w:pStyle w:val="12"/>
            </w:pPr>
          </w:p>
        </w:tc>
        <w:tc>
          <w:tcPr>
            <w:tcW w:w="2551" w:type="dxa"/>
            <w:vAlign w:val="center"/>
          </w:tcPr>
          <w:p>
            <w:pPr>
              <w:pStyle w:val="12"/>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2.30</w:t>
            </w:r>
          </w:p>
        </w:tc>
        <w:tc>
          <w:tcPr>
            <w:tcW w:w="2551" w:type="dxa"/>
            <w:vAlign w:val="center"/>
          </w:tcPr>
          <w:p>
            <w:pPr>
              <w:pStyle w:val="12"/>
            </w:pPr>
          </w:p>
        </w:tc>
        <w:tc>
          <w:tcPr>
            <w:tcW w:w="2551" w:type="dxa"/>
            <w:vAlign w:val="center"/>
          </w:tcPr>
          <w:p>
            <w:pPr>
              <w:pStyle w:val="12"/>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0.64</w:t>
            </w:r>
          </w:p>
        </w:tc>
        <w:tc>
          <w:tcPr>
            <w:tcW w:w="2551" w:type="dxa"/>
            <w:vAlign w:val="center"/>
          </w:tcPr>
          <w:p>
            <w:pPr>
              <w:pStyle w:val="12"/>
            </w:pPr>
          </w:p>
        </w:tc>
        <w:tc>
          <w:tcPr>
            <w:tcW w:w="2551" w:type="dxa"/>
            <w:vAlign w:val="center"/>
          </w:tcPr>
          <w:p>
            <w:pPr>
              <w:pStyle w:val="12"/>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19.62</w:t>
            </w:r>
          </w:p>
        </w:tc>
        <w:tc>
          <w:tcPr>
            <w:tcW w:w="2551" w:type="dxa"/>
            <w:vAlign w:val="center"/>
          </w:tcPr>
          <w:p>
            <w:pPr>
              <w:pStyle w:val="12"/>
            </w:pPr>
          </w:p>
        </w:tc>
        <w:tc>
          <w:tcPr>
            <w:tcW w:w="2551" w:type="dxa"/>
            <w:vAlign w:val="center"/>
          </w:tcPr>
          <w:p>
            <w:pPr>
              <w:pStyle w:val="12"/>
            </w:pPr>
            <w:r>
              <w:t>19.62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45.52</w:t>
            </w:r>
          </w:p>
        </w:tc>
        <w:tc>
          <w:tcPr>
            <w:tcW w:w="2551" w:type="dxa"/>
            <w:vAlign w:val="center"/>
          </w:tcPr>
          <w:p>
            <w:pPr>
              <w:pStyle w:val="12"/>
            </w:pPr>
            <w:r>
              <w:t>45.52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44.80</w:t>
            </w:r>
          </w:p>
        </w:tc>
        <w:tc>
          <w:tcPr>
            <w:tcW w:w="2551" w:type="dxa"/>
            <w:vAlign w:val="center"/>
          </w:tcPr>
          <w:p>
            <w:pPr>
              <w:pStyle w:val="12"/>
            </w:pPr>
            <w:r>
              <w:t>44.80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0.72</w:t>
            </w:r>
          </w:p>
        </w:tc>
        <w:tc>
          <w:tcPr>
            <w:tcW w:w="2551" w:type="dxa"/>
            <w:vAlign w:val="center"/>
          </w:tcPr>
          <w:p>
            <w:pPr>
              <w:pStyle w:val="12"/>
            </w:pPr>
            <w:r>
              <w:t>0.72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13708"/>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630.00</w:t>
            </w:r>
          </w:p>
        </w:tc>
        <w:tc>
          <w:tcPr>
            <w:tcW w:w="2551" w:type="dxa"/>
            <w:vAlign w:val="center"/>
          </w:tcPr>
          <w:p>
            <w:pPr>
              <w:pStyle w:val="16"/>
            </w:pPr>
          </w:p>
        </w:tc>
        <w:tc>
          <w:tcPr>
            <w:tcW w:w="2551" w:type="dxa"/>
            <w:vAlign w:val="center"/>
          </w:tcPr>
          <w:p>
            <w:pPr>
              <w:pStyle w:val="16"/>
            </w:pPr>
            <w:r>
              <w:t>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215</w:t>
            </w:r>
          </w:p>
        </w:tc>
        <w:tc>
          <w:tcPr>
            <w:tcW w:w="4535" w:type="dxa"/>
            <w:vAlign w:val="center"/>
          </w:tcPr>
          <w:p>
            <w:pPr>
              <w:pStyle w:val="13"/>
            </w:pPr>
            <w:r>
              <w:t>资源勘探工业信息等支出</w:t>
            </w:r>
          </w:p>
        </w:tc>
        <w:tc>
          <w:tcPr>
            <w:tcW w:w="2551" w:type="dxa"/>
            <w:vAlign w:val="center"/>
          </w:tcPr>
          <w:p>
            <w:pPr>
              <w:pStyle w:val="12"/>
            </w:pPr>
            <w:r>
              <w:t>630.00</w:t>
            </w:r>
          </w:p>
        </w:tc>
        <w:tc>
          <w:tcPr>
            <w:tcW w:w="2551" w:type="dxa"/>
            <w:vAlign w:val="center"/>
          </w:tcPr>
          <w:p>
            <w:pPr>
              <w:pStyle w:val="12"/>
            </w:pPr>
          </w:p>
        </w:tc>
        <w:tc>
          <w:tcPr>
            <w:tcW w:w="2551" w:type="dxa"/>
            <w:vAlign w:val="center"/>
          </w:tcPr>
          <w:p>
            <w:pPr>
              <w:pStyle w:val="12"/>
            </w:pPr>
            <w:r>
              <w:t>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21598</w:t>
            </w:r>
          </w:p>
        </w:tc>
        <w:tc>
          <w:tcPr>
            <w:tcW w:w="4535" w:type="dxa"/>
            <w:vAlign w:val="center"/>
          </w:tcPr>
          <w:p>
            <w:pPr>
              <w:pStyle w:val="13"/>
            </w:pPr>
            <w:r>
              <w:t>超长期特别国债安排的支出</w:t>
            </w:r>
          </w:p>
        </w:tc>
        <w:tc>
          <w:tcPr>
            <w:tcW w:w="2551" w:type="dxa"/>
            <w:vAlign w:val="center"/>
          </w:tcPr>
          <w:p>
            <w:pPr>
              <w:pStyle w:val="12"/>
            </w:pPr>
            <w:r>
              <w:t>630.00</w:t>
            </w:r>
          </w:p>
        </w:tc>
        <w:tc>
          <w:tcPr>
            <w:tcW w:w="2551" w:type="dxa"/>
            <w:vAlign w:val="center"/>
          </w:tcPr>
          <w:p>
            <w:pPr>
              <w:pStyle w:val="12"/>
            </w:pPr>
          </w:p>
        </w:tc>
        <w:tc>
          <w:tcPr>
            <w:tcW w:w="2551" w:type="dxa"/>
            <w:vAlign w:val="center"/>
          </w:tcPr>
          <w:p>
            <w:pPr>
              <w:pStyle w:val="12"/>
            </w:pPr>
            <w:r>
              <w:t>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2159802</w:t>
            </w:r>
          </w:p>
        </w:tc>
        <w:tc>
          <w:tcPr>
            <w:tcW w:w="4535" w:type="dxa"/>
            <w:vAlign w:val="center"/>
          </w:tcPr>
          <w:p>
            <w:pPr>
              <w:pStyle w:val="13"/>
            </w:pPr>
            <w:r>
              <w:t>制造业</w:t>
            </w:r>
          </w:p>
        </w:tc>
        <w:tc>
          <w:tcPr>
            <w:tcW w:w="2551" w:type="dxa"/>
            <w:vAlign w:val="center"/>
          </w:tcPr>
          <w:p>
            <w:pPr>
              <w:pStyle w:val="12"/>
            </w:pPr>
            <w:r>
              <w:t>630.00</w:t>
            </w:r>
          </w:p>
        </w:tc>
        <w:tc>
          <w:tcPr>
            <w:tcW w:w="2551" w:type="dxa"/>
            <w:vAlign w:val="center"/>
          </w:tcPr>
          <w:p>
            <w:pPr>
              <w:pStyle w:val="12"/>
            </w:pPr>
          </w:p>
        </w:tc>
        <w:tc>
          <w:tcPr>
            <w:tcW w:w="2551" w:type="dxa"/>
            <w:vAlign w:val="center"/>
          </w:tcPr>
          <w:p>
            <w:pPr>
              <w:pStyle w:val="12"/>
            </w:pPr>
            <w:r>
              <w:t>630.00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9886"/>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1376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303隆尧县发展和改革局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隆尧县发展和改革局2026年部门预算信息公开情况说明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隆尧县发展和改革局2026年部门预算信息公开情况说明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按照《中华人民共和国预算法》、《地方预决算公开操作规程》和《关于进一步推进预算公开工作的实施意见》规定，现将隆尧县发展和改革局2026年部门预算公开如下：</w:t>
      </w:r>
    </w:p>
    <w:p>
      <w:pPr>
        <w:spacing w:before="10" w:after="10" w:line="360" w:lineRule="auto"/>
        <w:ind w:firstLine="640"/>
        <w:jc w:val="left"/>
        <w:outlineLvl w:val="2"/>
      </w:pPr>
      <w:bookmarkStart w:id="9" w:name="_Toc4899"/>
      <w:r>
        <w:rPr>
          <w:rFonts w:ascii="黑体" w:hAnsi="黑体" w:eastAsia="黑体" w:cs="黑体"/>
          <w:color w:val="000000"/>
          <w:sz w:val="32"/>
        </w:rPr>
        <w:t>一、部门职责及机构设置情况</w:t>
      </w:r>
      <w:bookmarkEnd w:id="9"/>
    </w:p>
    <w:p>
      <w:pPr>
        <w:widowControl/>
        <w:jc w:val="left"/>
        <w:rPr>
          <w:rFonts w:ascii="Times New Roman" w:hAnsi="Times New Roman" w:eastAsia="方正仿宋_GBK" w:cs="Times New Roman"/>
          <w:sz w:val="28"/>
          <w:szCs w:val="24"/>
          <w:lang w:val="en-US" w:eastAsia="uk-UA" w:bidi="ar-SA"/>
        </w:rPr>
      </w:pPr>
      <w:r>
        <w:rPr>
          <w:rFonts w:ascii="方正楷体_GBK" w:hAnsi="方正楷体_GBK" w:eastAsia="方正楷体_GBK" w:cs="方正楷体_GBK"/>
          <w:b/>
          <w:color w:val="000000"/>
          <w:sz w:val="32"/>
        </w:rPr>
        <w:t>部门职责：</w:t>
      </w:r>
      <w:r>
        <w:rPr>
          <w:rFonts w:hint="eastAsia" w:ascii="Times New Roman" w:hAnsi="Times New Roman" w:eastAsia="方正仿宋_GBK" w:cs="Times New Roman"/>
          <w:sz w:val="28"/>
          <w:szCs w:val="24"/>
          <w:lang w:val="en-US" w:eastAsia="uk-UA" w:bidi="ar-SA"/>
        </w:rPr>
        <w:t>根据《中共邢台市委办公室邢台市人民政府办公室关于印发〈隆尧县机构改革方案〉的通知》（邢办字〔2018〕79号），成立隆尧县发展和改革局（简称县发展和改革局）为县政府工作部门, 机构规格正科级，加挂隆尧县粮食和物资储备局牌子。 中共隆尧县委财经委员会办公室（简称县委财经办）设在县发展和改革局，接受中共隆尧县委财经委员会的直接领导，承担中共隆尧县委财经委员会具体工作。  贯彻落实党中央和省委、市委、县委关于国民经济和社会发展以及粮食流通的方针政策和决策部署，坚持和加强党对发展改革工作的统一领导。主要职责是：</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一）贯彻执行国家和省、市有关国民经济和社会发展以及粮食流通和县级储备粮管理的方针、政策和法律、法规。拟订并组织实施全县国民经济和社会发展中长期规划和年度计划；统筹协调经济社会发展，提出全县国民经济发展和优化经济结构的目标、政策，提出综合运用各种经济手段和政策的建议；指导全县粮食流通体制改革。</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（二）贯彻落实国家和省、市宏观调控政策，统筹提出全县国民经济和社会发展主要目标，监测经济和社会发展态势，研究分析经济形势，提出政策建议。</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（三）指导推进和综合协调经济体制改革有关工作，研究全县经济体制改革的重大问题，组织拟订综合性经济体制改革方案。</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（四）拟订固定资产投资规模和投资结构的调控目标、政策及措施；安排县重点建设项目，组织申报省、市重点项目；指导和协调全县招标投标工作。</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（五）推进经济结构战略性调整。组织实施综合性产业政策，负责协调全县第一、二、三产业发展的重大问题并衔接平衡相关发展规划和重大政策，做好与国民经济和社会发展规划、计划的衔接平衡。</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（六）提出能源发展战略的建议，协调能源发展和改革中的重大问题，负责能源行业节能和资源综合利用。</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（七）推进可持续发展战略，负责节能综合协调工作；协调发展循环经济、生态建设、能源资源节约和综合利用的重大问题。</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（八）组织实施全县国民经济动员有关工作；承担县国防动员委员会交办的有关具体工作。</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九）组织实施有关价格政策，组织制定由县级管理的重要商品、服务价格和重要收费标准。研究提出全县价格总水平年度调控计划和目标；预测全县价格总水平及结构变化趋势，提出调控意见和建议；对实行政府定价和政府指导价的商品和服务价格进行直接管理。</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（十）组织谋划、实施事关全县经济和社会发展全局的重大建设项目；编制全县重点建设项目年度工作计划并监督执行；调度重点建设项目实施进度，协调解决重大问题。</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一）制定全县粮食流通产业结构调整和布局调整实施意见。负责全县粮食流通和物资储备的设施建设规划布局。指导全县粮食流通和物资储备体制改革。拟订全县粮食总量和品种平衡计划。负责全县粮食流通宏观调控的具体工作。负责落实粮食最低收购价政策；指导全县粮食市场供应。</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二）负责县级储备粮的行政管理工作。监督检查县级储备粮的数量、质量和储存安全。管理国家委托代管的中央、省、市级储备粮。研究提出县级粮食和物资储备规划、储备品种目录建议，组织实施县级粮食和救灾物资等物资的收储、轮换和日常管理。贯彻国家和省、市粮食流通和物资储备有关标准、粮食质量标准和有关技术规范并监督执行。按规定审核上报中央储备粮代储企业承储资格。</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（十三）对贯彻落实有关粮食法律法规、政策制度进行监督检查。负责社会粮食流通执法检查，负责粮食收购、储存、运输环节粮食质量安全和原粮卫生的监督管理，组织实施全县粮食库存检查工作。</w:t>
      </w:r>
    </w:p>
    <w:p>
      <w:pPr>
        <w:widowControl/>
        <w:jc w:val="left"/>
        <w:rPr>
          <w:rFonts w:ascii="宋体" w:hAnsi="宋体" w:eastAsia="宋体" w:cs="宋体"/>
          <w:color w:val="000000"/>
          <w:kern w:val="0"/>
          <w:sz w:val="22"/>
        </w:rPr>
      </w:pPr>
      <w:r>
        <w:rPr>
          <w:rFonts w:hint="eastAsia" w:ascii="Times New Roman" w:hAnsi="Times New Roman" w:eastAsia="方正仿宋_GBK" w:cs="Times New Roman"/>
          <w:sz w:val="28"/>
          <w:szCs w:val="24"/>
          <w:lang w:val="en-US" w:eastAsia="uk-UA" w:bidi="ar-SA"/>
        </w:rPr>
        <w:t>（十四）完成县委、县政府交办的其他任务。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隆尧县发展和改革局本级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30595"/>
      <w:r>
        <w:rPr>
          <w:rFonts w:ascii="黑体" w:hAnsi="黑体" w:eastAsia="黑体" w:cs="黑体"/>
          <w:color w:val="000000"/>
          <w:sz w:val="32"/>
        </w:rPr>
        <w:t>二、部门预算安排的总体情况</w:t>
      </w:r>
      <w:bookmarkEnd w:id="10"/>
    </w:p>
    <w:p>
      <w:pPr>
        <w:pStyle w:val="19"/>
      </w:pPr>
      <w:r>
        <w:t>按照预算管理有关规定，目前我县部门预算的编制实行综合预算管理，即全部收入和支出都反映在预算中。隆尧县发展和改革局机关及所属事业单位的收支包含在部门预算中。</w:t>
      </w:r>
    </w:p>
    <w:p>
      <w:pPr>
        <w:pStyle w:val="19"/>
      </w:pPr>
      <w:r>
        <w:t>1、收入说明</w:t>
      </w:r>
    </w:p>
    <w:p>
      <w:pPr>
        <w:pStyle w:val="19"/>
      </w:pPr>
      <w:r>
        <w:t>反映本部门当年全部收入。202</w:t>
      </w:r>
      <w:r>
        <w:rPr>
          <w:rFonts w:hint="eastAsia"/>
          <w:lang w:val="en-US" w:eastAsia="zh-CN"/>
        </w:rPr>
        <w:t>6</w:t>
      </w:r>
      <w:r>
        <w:t>年预算收入</w:t>
      </w:r>
      <w:r>
        <w:rPr>
          <w:rFonts w:hint="eastAsia"/>
          <w:lang w:val="en-US" w:eastAsia="zh-CN"/>
        </w:rPr>
        <w:t>6941.44</w:t>
      </w:r>
      <w:r>
        <w:t>万元，其中：一般公共预算收入</w:t>
      </w:r>
      <w:r>
        <w:rPr>
          <w:rFonts w:hint="eastAsia"/>
          <w:lang w:val="en-US" w:eastAsia="zh-CN"/>
        </w:rPr>
        <w:t>6311.44</w:t>
      </w:r>
      <w:r>
        <w:t>万元，上年结转收入</w:t>
      </w:r>
      <w:r>
        <w:rPr>
          <w:rFonts w:hint="eastAsia"/>
          <w:lang w:val="en-US" w:eastAsia="zh-CN"/>
        </w:rPr>
        <w:t>630</w:t>
      </w:r>
      <w:r>
        <w:t>万元。</w:t>
      </w:r>
    </w:p>
    <w:p>
      <w:pPr>
        <w:pStyle w:val="19"/>
      </w:pPr>
      <w:r>
        <w:t>2、支出说明</w:t>
      </w:r>
    </w:p>
    <w:p>
      <w:pPr>
        <w:pStyle w:val="19"/>
      </w:pPr>
      <w:r>
        <w:t>收支预算总表支出栏、基本支出表、项目支出表按经济分类和支出功能分类科目编制，反映隆尧县发展和改革局年度部门预算支出预算的总体情况。202</w:t>
      </w:r>
      <w:r>
        <w:rPr>
          <w:rFonts w:hint="eastAsia"/>
          <w:lang w:val="en-US" w:eastAsia="zh-CN"/>
        </w:rPr>
        <w:t>6</w:t>
      </w:r>
      <w:r>
        <w:t>年部门支出预算为</w:t>
      </w:r>
      <w:r>
        <w:rPr>
          <w:rFonts w:hint="eastAsia"/>
          <w:lang w:val="en-US" w:eastAsia="zh-CN"/>
        </w:rPr>
        <w:t>6941.44</w:t>
      </w:r>
      <w:r>
        <w:t>万元，其中基本支出</w:t>
      </w:r>
      <w:r>
        <w:rPr>
          <w:rFonts w:hint="eastAsia"/>
          <w:lang w:val="en-US" w:eastAsia="zh-CN"/>
        </w:rPr>
        <w:t>443.75</w:t>
      </w:r>
      <w:r>
        <w:t>万元，包括人员经费</w:t>
      </w:r>
      <w:r>
        <w:rPr>
          <w:rFonts w:hint="eastAsia"/>
          <w:lang w:val="en-US" w:eastAsia="zh-CN"/>
        </w:rPr>
        <w:t>412.61</w:t>
      </w:r>
      <w:r>
        <w:t>万元和日常公用经费</w:t>
      </w:r>
      <w:r>
        <w:rPr>
          <w:rFonts w:hint="eastAsia"/>
          <w:lang w:val="en-US" w:eastAsia="zh-CN"/>
        </w:rPr>
        <w:t>31.14</w:t>
      </w:r>
      <w:r>
        <w:t>万元;项目支出</w:t>
      </w:r>
      <w:r>
        <w:rPr>
          <w:rFonts w:hint="eastAsia"/>
          <w:lang w:val="en-US" w:eastAsia="zh-CN"/>
        </w:rPr>
        <w:t>6497.7</w:t>
      </w:r>
      <w:r>
        <w:t>万元，主要为2025-2026年采暖季农村煤改气用户天然气终端销售价格补贴预算县级配套</w:t>
      </w:r>
      <w:r>
        <w:rPr>
          <w:rFonts w:hint="eastAsia"/>
          <w:lang w:val="en-US" w:eastAsia="zh-CN"/>
        </w:rPr>
        <w:t>217.35万元，</w:t>
      </w:r>
      <w:r>
        <w:t>2025-2026年采暖季农村煤改气用户天然气终端销售价格补贴预算县级配套资金</w:t>
      </w:r>
      <w:r>
        <w:rPr>
          <w:rFonts w:hint="eastAsia"/>
          <w:lang w:val="en-US" w:eastAsia="zh-CN"/>
        </w:rPr>
        <w:t>570万元，</w:t>
      </w:r>
      <w:r>
        <w:t>2026年度燃气气价倒挂补贴资金</w:t>
      </w:r>
      <w:r>
        <w:rPr>
          <w:rFonts w:hint="eastAsia"/>
          <w:lang w:val="en-US" w:eastAsia="zh-CN"/>
        </w:rPr>
        <w:t>388.73万元，</w:t>
      </w:r>
      <w:r>
        <w:t>冀财建[2025]126号/中央资金/粮食流通提质增效项目</w:t>
      </w:r>
      <w:r>
        <w:rPr>
          <w:rFonts w:hint="eastAsia"/>
          <w:lang w:val="en-US" w:eastAsia="zh-CN"/>
        </w:rPr>
        <w:t>3500万元，</w:t>
      </w:r>
      <w:r>
        <w:t>大数据中心工作经费</w:t>
      </w:r>
      <w:r>
        <w:rPr>
          <w:rFonts w:hint="eastAsia"/>
          <w:lang w:val="en-US" w:eastAsia="zh-CN"/>
        </w:rPr>
        <w:t>40万元，冀财建[2025]213号/提前下达2026年省级大气污染防治（节能与循环经济）专项资金/邢台君岚再生资源有限公司年综合利用建筑施工废弃物20万吨项目700万元，</w:t>
      </w:r>
      <w:r>
        <w:t>冀财建[2026]3号/提前下达2025-2026年采暖季农村煤改气用户天然气终端销售价格补贴预算</w:t>
      </w:r>
      <w:r>
        <w:rPr>
          <w:rFonts w:hint="eastAsia"/>
          <w:lang w:val="en-US" w:eastAsia="zh-CN"/>
        </w:rPr>
        <w:t>362.25万元，</w:t>
      </w:r>
      <w:r>
        <w:t>冀财建〔2025〕98号/超长期特别国债/远大阀门集团有限公司智能阀门生产设备更新改造项目</w:t>
      </w:r>
      <w:r>
        <w:rPr>
          <w:rFonts w:hint="eastAsia"/>
          <w:lang w:val="en-US" w:eastAsia="zh-CN"/>
        </w:rPr>
        <w:t>630万元，</w:t>
      </w:r>
      <w:r>
        <w:t>县级储备粮利息和储存费用</w:t>
      </w:r>
      <w:r>
        <w:rPr>
          <w:rFonts w:hint="eastAsia"/>
          <w:lang w:val="en-US" w:eastAsia="zh-CN"/>
        </w:rPr>
        <w:t>36万元</w:t>
      </w:r>
      <w:r>
        <w:t>。</w:t>
      </w:r>
    </w:p>
    <w:p>
      <w:pPr>
        <w:pStyle w:val="19"/>
      </w:pPr>
      <w:r>
        <w:t>3、比上年增减情况</w:t>
      </w:r>
    </w:p>
    <w:p>
      <w:pPr>
        <w:pStyle w:val="19"/>
      </w:pPr>
      <w:r>
        <w:t>202</w:t>
      </w:r>
      <w:r>
        <w:rPr>
          <w:rFonts w:hint="eastAsia"/>
          <w:lang w:val="en-US" w:eastAsia="zh-CN"/>
        </w:rPr>
        <w:t>6</w:t>
      </w:r>
      <w:r>
        <w:t>年部门预算收支安排</w:t>
      </w:r>
      <w:r>
        <w:rPr>
          <w:rFonts w:hint="eastAsia"/>
          <w:lang w:val="en-US" w:eastAsia="zh-CN"/>
        </w:rPr>
        <w:t>6941.44</w:t>
      </w:r>
      <w:r>
        <w:t>万元，较202</w:t>
      </w:r>
      <w:r>
        <w:rPr>
          <w:rFonts w:hint="eastAsia"/>
          <w:lang w:val="en-US" w:eastAsia="zh-CN"/>
        </w:rPr>
        <w:t>5</w:t>
      </w:r>
      <w:r>
        <w:t>年</w:t>
      </w:r>
      <w:r>
        <w:rPr>
          <w:rFonts w:hint="eastAsia"/>
          <w:lang w:eastAsia="zh-CN"/>
        </w:rPr>
        <w:t>增加</w:t>
      </w:r>
      <w:r>
        <w:rPr>
          <w:rFonts w:hint="eastAsia"/>
          <w:lang w:val="en-US" w:eastAsia="zh-CN"/>
        </w:rPr>
        <w:t>3704.5</w:t>
      </w:r>
      <w:r>
        <w:t>万元，其中：项目支出</w:t>
      </w:r>
      <w:r>
        <w:rPr>
          <w:rFonts w:hint="eastAsia"/>
          <w:lang w:eastAsia="zh-CN"/>
        </w:rPr>
        <w:t>增加</w:t>
      </w:r>
      <w:r>
        <w:rPr>
          <w:rFonts w:hint="eastAsia"/>
          <w:lang w:val="en-US" w:eastAsia="zh-CN"/>
        </w:rPr>
        <w:t>3723.7</w:t>
      </w:r>
      <w:r>
        <w:t>万元，主要是</w:t>
      </w:r>
      <w:r>
        <w:rPr>
          <w:rFonts w:hint="eastAsia"/>
          <w:lang w:eastAsia="zh-CN"/>
        </w:rPr>
        <w:t>项目资金增加，例如</w:t>
      </w:r>
      <w:r>
        <w:t>冀财建[2025]126号/中央资金/粮食流通提质增效项目</w:t>
      </w:r>
      <w:r>
        <w:rPr>
          <w:rFonts w:hint="eastAsia"/>
          <w:lang w:val="en-US" w:eastAsia="zh-CN"/>
        </w:rPr>
        <w:t>3500万元，</w:t>
      </w:r>
      <w:r>
        <w:t>2025-2026年采暖季农村煤改气用户天然气终端销售价格补贴预算县级配套资金</w:t>
      </w:r>
      <w:r>
        <w:rPr>
          <w:rFonts w:hint="eastAsia"/>
          <w:lang w:val="en-US" w:eastAsia="zh-CN"/>
        </w:rPr>
        <w:t>570万元等</w:t>
      </w:r>
      <w:r>
        <w:t>。</w:t>
      </w:r>
    </w:p>
    <w:p>
      <w:pPr>
        <w:spacing w:before="10" w:after="10" w:line="360" w:lineRule="auto"/>
        <w:ind w:firstLine="640"/>
        <w:jc w:val="left"/>
        <w:outlineLvl w:val="2"/>
      </w:pPr>
      <w:bookmarkStart w:id="11" w:name="_Toc11133"/>
      <w:r>
        <w:rPr>
          <w:rFonts w:ascii="黑体" w:hAnsi="黑体" w:eastAsia="黑体" w:cs="黑体"/>
          <w:color w:val="000000"/>
          <w:sz w:val="32"/>
        </w:rPr>
        <w:t>三、机关运行经费安排情况</w:t>
      </w:r>
      <w:bookmarkEnd w:id="11"/>
    </w:p>
    <w:p>
      <w:pPr>
        <w:pStyle w:val="20"/>
      </w:pPr>
      <w:r>
        <w:t>202</w:t>
      </w:r>
      <w:r>
        <w:rPr>
          <w:rFonts w:hint="eastAsia"/>
          <w:lang w:val="en-US" w:eastAsia="zh-CN"/>
        </w:rPr>
        <w:t>6</w:t>
      </w:r>
      <w:r>
        <w:t>年我部门运行经费共计安排</w:t>
      </w:r>
      <w:r>
        <w:rPr>
          <w:rFonts w:hint="eastAsia"/>
          <w:lang w:val="en-US" w:eastAsia="zh-CN"/>
        </w:rPr>
        <w:t>31.14</w:t>
      </w:r>
      <w:r>
        <w:t>万元，主要用于</w:t>
      </w:r>
      <w:r>
        <w:rPr>
          <w:highlight w:val="none"/>
        </w:rPr>
        <w:t>办公费、邮电费、劳务费、电费、手续费、水费、工会经费、</w:t>
      </w:r>
      <w:r>
        <w:rPr>
          <w:rFonts w:hint="eastAsia"/>
          <w:highlight w:val="none"/>
          <w:lang w:eastAsia="zh-CN"/>
        </w:rPr>
        <w:t>取暖费</w:t>
      </w:r>
      <w:r>
        <w:rPr>
          <w:highlight w:val="none"/>
        </w:rPr>
        <w:t>、</w:t>
      </w:r>
      <w:r>
        <w:rPr>
          <w:rFonts w:hint="eastAsia"/>
          <w:highlight w:val="none"/>
          <w:lang w:eastAsia="zh-CN"/>
        </w:rPr>
        <w:t>物业管理费、</w:t>
      </w:r>
      <w:r>
        <w:rPr>
          <w:highlight w:val="none"/>
        </w:rPr>
        <w:t>其他商品和服务支出及公务交通补贴等</w:t>
      </w:r>
      <w:r>
        <w:t>日常运行支出。</w:t>
      </w:r>
    </w:p>
    <w:p>
      <w:pPr>
        <w:spacing w:before="10" w:after="10" w:line="360" w:lineRule="auto"/>
        <w:ind w:firstLine="640"/>
        <w:jc w:val="left"/>
        <w:outlineLvl w:val="2"/>
      </w:pPr>
      <w:bookmarkStart w:id="12" w:name="_Toc16239"/>
      <w:r>
        <w:rPr>
          <w:rFonts w:ascii="黑体" w:hAnsi="黑体" w:eastAsia="黑体" w:cs="黑体"/>
          <w:color w:val="000000"/>
          <w:sz w:val="32"/>
        </w:rPr>
        <w:t>四、财政拨款“三公”经费预算情况及增减变化原因</w:t>
      </w:r>
      <w:bookmarkEnd w:id="12"/>
    </w:p>
    <w:p>
      <w:pPr>
        <w:pStyle w:val="20"/>
        <w:rPr>
          <w:rFonts w:hint="eastAsia"/>
          <w:lang w:eastAsia="zh-CN"/>
        </w:rPr>
      </w:pPr>
      <w:r>
        <w:t>202</w:t>
      </w:r>
      <w:r>
        <w:rPr>
          <w:rFonts w:hint="eastAsia"/>
          <w:lang w:val="en-US" w:eastAsia="zh-CN"/>
        </w:rPr>
        <w:t>6</w:t>
      </w:r>
      <w:r>
        <w:t>年，我部门拨款“三公”经费预算安排0万元，与202</w:t>
      </w:r>
      <w:r>
        <w:rPr>
          <w:rFonts w:hint="eastAsia"/>
          <w:lang w:val="en-US" w:eastAsia="zh-CN"/>
        </w:rPr>
        <w:t>5</w:t>
      </w:r>
      <w:r>
        <w:t>年</w:t>
      </w:r>
      <w:r>
        <w:rPr>
          <w:rFonts w:hint="eastAsia"/>
          <w:lang w:eastAsia="zh-CN"/>
        </w:rPr>
        <w:t>持平。</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3" w:name="_Toc14954"/>
      <w:r>
        <w:rPr>
          <w:rFonts w:hint="eastAsia" w:ascii="黑体" w:hAnsi="黑体" w:eastAsia="黑体" w:cs="黑体"/>
          <w:color w:val="000000"/>
          <w:sz w:val="32"/>
        </w:rPr>
        <w:t>委托业务费单独说明</w:t>
      </w:r>
      <w:r>
        <w:rPr>
          <w:rFonts w:ascii="黑体" w:hAnsi="黑体" w:eastAsia="黑体" w:cs="黑体"/>
          <w:color w:val="000000"/>
          <w:sz w:val="32"/>
        </w:rPr>
        <w:t>及增减变化原因</w:t>
      </w:r>
      <w:bookmarkEnd w:id="13"/>
    </w:p>
    <w:p>
      <w:pPr>
        <w:pStyle w:val="20"/>
        <w:rPr>
          <w:rFonts w:hint="default" w:eastAsia="方正仿宋_GBK"/>
          <w:lang w:val="en-US" w:eastAsia="zh-CN"/>
        </w:rPr>
      </w:pPr>
      <w:r>
        <w:rPr>
          <w:rFonts w:hint="eastAsia"/>
          <w:lang w:val="en-US" w:eastAsia="zh-CN"/>
        </w:rPr>
        <w:t>2026年，我部门委托业务费安排12.68万元，主要为隆尧县“十五五”规划编制经费，大数据中心工作经费，燃气审计项目。2025年我部门委托业务费安排30.0176万元，2026年较2025年减少17.3376万元，降低了57.76%，主要原因为2026年项目的委托业务费所需资金减少。</w:t>
      </w:r>
    </w:p>
    <w:p>
      <w:pPr>
        <w:spacing w:before="10" w:after="10" w:line="360" w:lineRule="auto"/>
        <w:ind w:firstLine="640"/>
        <w:jc w:val="left"/>
        <w:outlineLvl w:val="2"/>
      </w:pPr>
      <w:bookmarkStart w:id="14" w:name="_Toc4528"/>
      <w:r>
        <w:rPr>
          <w:rFonts w:hint="eastAsia" w:ascii="黑体" w:hAnsi="黑体" w:eastAsia="黑体" w:cs="黑体"/>
          <w:color w:val="000000"/>
          <w:sz w:val="32"/>
          <w:lang w:eastAsia="zh-CN"/>
        </w:rPr>
        <w:t>六</w:t>
      </w:r>
      <w:r>
        <w:rPr>
          <w:rFonts w:ascii="黑体" w:hAnsi="黑体" w:eastAsia="黑体" w:cs="黑体"/>
          <w:color w:val="000000"/>
          <w:sz w:val="32"/>
        </w:rPr>
        <w:t>、部门整体绩效目标</w:t>
      </w:r>
      <w:bookmarkEnd w:id="14"/>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在县委、县政府的坚强领导下，全局上下以习近平总书记重要讲话精神为统领，全面贯彻落实中央和省市委关于经济发展决策部署，继续推进高质量赶超发展，持续加大投资和项目建设力度，有力带动经济发展；加强经济运行监测分析，力促经济平稳健康发展；支持企业做大做强；做好粮食安全和能源保供，维护社会稳定；保持物价总体稳定，保障改善民生</w:t>
      </w:r>
      <w:r>
        <w:rPr>
          <w:rFonts w:hint="eastAsia"/>
          <w:lang w:eastAsia="zh-CN"/>
        </w:rPr>
        <w:t>；</w:t>
      </w:r>
      <w:r>
        <w:t>保障燃气供应，保障居民正常取暖，维护社会稳定。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一、加强经济运行监测分析</w:t>
      </w:r>
    </w:p>
    <w:p>
      <w:pPr>
        <w:pStyle w:val="23"/>
      </w:pPr>
      <w:r>
        <w:t>绩效目标：加大经济运行监测,加强固定资产投资调度,加大投资项目的帮扶督导力度,认真落实“求真、求实、求准”要求，加大招商选资力度，力争多招引“大好高优”项目。</w:t>
      </w:r>
    </w:p>
    <w:p>
      <w:pPr>
        <w:pStyle w:val="23"/>
      </w:pPr>
      <w:r>
        <w:t>绩效指标：生产总值5.5%以上，固定资产投资额增长7.5%以上。</w:t>
      </w:r>
    </w:p>
    <w:p>
      <w:pPr>
        <w:pStyle w:val="23"/>
      </w:pPr>
      <w:r>
        <w:t>二、加快推进重点项目建设</w:t>
      </w:r>
    </w:p>
    <w:p>
      <w:pPr>
        <w:pStyle w:val="23"/>
      </w:pPr>
      <w:r>
        <w:t>绩效目标：强化县级领导帮扶重点项目制度，加强项目谋划申报，狠抓用地保障和项目开工。</w:t>
      </w:r>
    </w:p>
    <w:p>
      <w:pPr>
        <w:pStyle w:val="23"/>
      </w:pPr>
      <w:r>
        <w:t>绩效指标：争列省</w:t>
      </w:r>
      <w:r>
        <w:rPr>
          <w:rFonts w:hint="eastAsia"/>
          <w:lang w:eastAsia="zh-CN"/>
        </w:rPr>
        <w:t>市</w:t>
      </w:r>
      <w:r>
        <w:t>重点项目。</w:t>
      </w:r>
    </w:p>
    <w:p>
      <w:pPr>
        <w:pStyle w:val="23"/>
      </w:pPr>
      <w:r>
        <w:t>三、积极争取上级资金支持</w:t>
      </w:r>
    </w:p>
    <w:p>
      <w:pPr>
        <w:pStyle w:val="23"/>
      </w:pPr>
      <w:r>
        <w:t>绩效目标：深入研究国家、省、市发展战略方向，提升项目储备潜力</w:t>
      </w:r>
      <w:r>
        <w:rPr>
          <w:rFonts w:hint="eastAsia"/>
          <w:lang w:eastAsia="zh-CN"/>
        </w:rPr>
        <w:t>，</w:t>
      </w:r>
      <w:r>
        <w:t>准确把握上级项目资金投向，不断完善项目手续，做好项目前期准备，有针对性、有计划地申报和争取项目资金。</w:t>
      </w:r>
    </w:p>
    <w:p>
      <w:pPr>
        <w:pStyle w:val="23"/>
      </w:pPr>
      <w:r>
        <w:t>绩效指标：谋划新型基础设施、新型城镇化建设以及交通、水利等重大基础设施和重大产业项目。</w:t>
      </w:r>
    </w:p>
    <w:p>
      <w:pPr>
        <w:pStyle w:val="23"/>
      </w:pPr>
      <w:r>
        <w:t>四、做好节能降耗和能源保供</w:t>
      </w:r>
    </w:p>
    <w:p>
      <w:pPr>
        <w:pStyle w:val="23"/>
      </w:pPr>
      <w:r>
        <w:t>绩效目标：大力做好规上燃煤企业管控工作，围绕全县双代工作，做好天然气、电力保障工作；全力保障双代、集中供暖所需天然气供应。做好整县屋顶分布式光伏发电试点工作。</w:t>
      </w:r>
    </w:p>
    <w:p>
      <w:pPr>
        <w:pStyle w:val="23"/>
      </w:pPr>
      <w:r>
        <w:t>绩效指标：依据市下达的全县规上企业燃煤总指标，科学分解到相关企业，任务细化到月，确保完成全年燃煤压减任务。</w:t>
      </w:r>
    </w:p>
    <w:p>
      <w:pPr>
        <w:pStyle w:val="23"/>
      </w:pPr>
      <w:r>
        <w:t>五、做好粮食安全和物资储备</w:t>
      </w:r>
    </w:p>
    <w:p>
      <w:pPr>
        <w:pStyle w:val="23"/>
      </w:pPr>
      <w:r>
        <w:t>绩效目标：做好政策性粮食清仓查库工作，加强粮食质量监测，指导粮食企业敞开收购农民手中余粮，确保不发生农民卖粮难，着力提升我县粮食安全保障能力。</w:t>
      </w:r>
    </w:p>
    <w:p>
      <w:pPr>
        <w:pStyle w:val="23"/>
      </w:pPr>
      <w:r>
        <w:t>绩效指标：完成年度粮食安全责任制考核部门自评工作，开展新收获粮食质量监测。</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1、加强支出管理。强化财政预算执行的刚性需求，编细编实年度预算，对预算的事前、事中、事后进行全过程控制，提高预算资金使用效率。</w:t>
      </w:r>
    </w:p>
    <w:p>
      <w:pPr>
        <w:pStyle w:val="24"/>
      </w:pPr>
      <w:r>
        <w:t>2、规范财务资产管理。建立财务支出约束机制，完善内部控制管理制度，加强资金和资产管理，科学配置单位资源，严格审批程序。坚持按项目、按进度支出，不准随意变更预算项目、超预算安排支出，因特殊情况需调整预算或追加支出的，应按照规定的程序进行报批。</w:t>
      </w:r>
    </w:p>
    <w:p>
      <w:pPr>
        <w:pStyle w:val="24"/>
      </w:pPr>
      <w:r>
        <w:t>3、加强绩效运行监控。按要求开展绩效运行监控，依据确定的绩效目标，采取项目跟踪、数据核查和汇总分析等的方式，动态地了解和掌握项目绩效目标实现程度、资金支出进度和项目实施进度，发现问题及时采取措施，确保绩效目标如期保质实现。</w:t>
      </w:r>
    </w:p>
    <w:p>
      <w:pPr>
        <w:pStyle w:val="24"/>
      </w:pPr>
      <w:r>
        <w:t>4、做好绩效自评。按要求组织相关业务科室开展部门预算绩效自评和重点评价工作，通过收集评估数据信息等方式，开展预算绩效中期评估、终期评价，落实整改措施等。及时整改问题，优化支出结构，提高财政资金使用效益。</w:t>
      </w:r>
    </w:p>
    <w:p>
      <w:pPr>
        <w:pStyle w:val="24"/>
      </w:pPr>
      <w:r>
        <w:t>5、加强内部监督。加强内部监督制度建设，对绩效运行情况、重大支出决策、资产处置及其他重要经济业务事项的决策和执行进行督导，推行公开财务，增加资金使用透明度，自觉接受群众监督，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11566"/>
      <w:r>
        <w:rPr>
          <w:rFonts w:hint="eastAsia" w:ascii="黑体" w:hAnsi="黑体" w:eastAsia="黑体" w:cs="黑体"/>
          <w:color w:val="000000"/>
          <w:sz w:val="32"/>
          <w:lang w:eastAsia="zh-CN"/>
        </w:rPr>
        <w:t>七</w:t>
      </w:r>
      <w:r>
        <w:rPr>
          <w:rFonts w:ascii="黑体" w:hAnsi="黑体" w:eastAsia="黑体" w:cs="黑体"/>
          <w:color w:val="000000"/>
          <w:sz w:val="32"/>
        </w:rPr>
        <w:t>、部门主管专项资金预算安排情况及绩效目标</w:t>
      </w:r>
      <w:bookmarkEnd w:id="15"/>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6" w:name="_Toc18679"/>
      <w:r>
        <w:rPr>
          <w:rFonts w:hint="eastAsia" w:ascii="黑体" w:hAnsi="黑体" w:eastAsia="黑体" w:cs="黑体"/>
          <w:color w:val="000000"/>
          <w:sz w:val="32"/>
          <w:lang w:eastAsia="zh-CN"/>
        </w:rPr>
        <w:t>八</w:t>
      </w:r>
      <w:r>
        <w:rPr>
          <w:rFonts w:ascii="黑体" w:hAnsi="黑体" w:eastAsia="黑体" w:cs="黑体"/>
          <w:color w:val="000000"/>
          <w:sz w:val="32"/>
        </w:rPr>
        <w:t>、部门项目预算安排情况及绩效目标</w:t>
      </w:r>
      <w:bookmarkEnd w:id="16"/>
    </w:p>
    <w:p>
      <w:pPr>
        <w:spacing w:before="0" w:after="0"/>
        <w:ind w:firstLine="560"/>
        <w:jc w:val="left"/>
        <w:outlineLvl w:val="9"/>
      </w:pPr>
      <w:r>
        <w:rPr>
          <w:rFonts w:ascii="方正仿宋_GBK" w:hAnsi="方正仿宋_GBK" w:eastAsia="方正仿宋_GBK" w:cs="方正仿宋_GBK"/>
          <w:color w:val="000000"/>
          <w:sz w:val="28"/>
        </w:rPr>
        <w:t>1、2025-2026年采暖季农村煤改气用户天然气终端销售价格补贴预算县级配套绩效目标表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13052526P00001810017H</w:t>
            </w:r>
          </w:p>
        </w:tc>
        <w:tc>
          <w:tcPr>
            <w:tcW w:w="2835" w:type="dxa"/>
            <w:vAlign w:val="center"/>
          </w:tcPr>
          <w:p>
            <w:pPr>
              <w:pStyle w:val="11"/>
            </w:pPr>
            <w:r>
              <w:t>项目名称</w:t>
            </w:r>
          </w:p>
        </w:tc>
        <w:tc>
          <w:tcPr>
            <w:tcW w:w="6095" w:type="dxa"/>
            <w:gridSpan w:val="3"/>
            <w:vAlign w:val="center"/>
          </w:tcPr>
          <w:p>
            <w:pPr>
              <w:pStyle w:val="13"/>
            </w:pPr>
            <w:r>
              <w:t>2025-2026年采暖季农村煤改气用户天然气终端销售价格补贴预算县级配套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217.35</w:t>
            </w:r>
          </w:p>
        </w:tc>
        <w:tc>
          <w:tcPr>
            <w:tcW w:w="2835" w:type="dxa"/>
            <w:vAlign w:val="center"/>
          </w:tcPr>
          <w:p>
            <w:pPr>
              <w:pStyle w:val="11"/>
            </w:pPr>
            <w:r>
              <w:t>其中：财政    资金</w:t>
            </w:r>
          </w:p>
        </w:tc>
        <w:tc>
          <w:tcPr>
            <w:tcW w:w="2551" w:type="dxa"/>
            <w:vAlign w:val="center"/>
          </w:tcPr>
          <w:p>
            <w:pPr>
              <w:pStyle w:val="13"/>
            </w:pPr>
            <w:r>
              <w:t>217.35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保障2026年燃气供应，保障居民正常取暖，维护社会稳定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1.保障2026年燃气供应，保障居民正常取暖，维护社会稳定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供暖温度达标，居民用户的室内温度不得低于当地规定的温度</w:t>
            </w:r>
          </w:p>
        </w:tc>
        <w:tc>
          <w:tcPr>
            <w:tcW w:w="5386" w:type="dxa"/>
            <w:vAlign w:val="center"/>
          </w:tcPr>
          <w:p>
            <w:pPr>
              <w:pStyle w:val="13"/>
            </w:pPr>
            <w:r>
              <w:t>居民室内供暖温度大于等于规定温度</w:t>
            </w:r>
          </w:p>
        </w:tc>
        <w:tc>
          <w:tcPr>
            <w:tcW w:w="2268" w:type="dxa"/>
            <w:vAlign w:val="center"/>
          </w:tcPr>
          <w:p>
            <w:pPr>
              <w:pStyle w:val="13"/>
            </w:pPr>
            <w:r>
              <w:t>≥18摄氏度</w:t>
            </w:r>
          </w:p>
        </w:tc>
        <w:tc>
          <w:tcPr>
            <w:tcW w:w="1276" w:type="dxa"/>
            <w:vAlign w:val="center"/>
          </w:tcPr>
          <w:p>
            <w:pPr>
              <w:pStyle w:val="13"/>
            </w:pPr>
            <w:r>
              <w:t>2025-2026年采暖季农村煤改气用户天然气终端销售价格补贴预算县级配套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供暖达标率</w:t>
            </w:r>
          </w:p>
        </w:tc>
        <w:tc>
          <w:tcPr>
            <w:tcW w:w="5386" w:type="dxa"/>
            <w:vAlign w:val="center"/>
          </w:tcPr>
          <w:p>
            <w:pPr>
              <w:pStyle w:val="13"/>
            </w:pPr>
            <w:r>
              <w:t>供暖达标天数/应达标天数*100%</w:t>
            </w:r>
          </w:p>
        </w:tc>
        <w:tc>
          <w:tcPr>
            <w:tcW w:w="2268" w:type="dxa"/>
            <w:vAlign w:val="center"/>
          </w:tcPr>
          <w:p>
            <w:pPr>
              <w:pStyle w:val="13"/>
            </w:pPr>
            <w:r>
              <w:t>≥95%</w:t>
            </w:r>
          </w:p>
        </w:tc>
        <w:tc>
          <w:tcPr>
            <w:tcW w:w="1276" w:type="dxa"/>
            <w:vAlign w:val="center"/>
          </w:tcPr>
          <w:p>
            <w:pPr>
              <w:pStyle w:val="13"/>
            </w:pPr>
            <w:r>
              <w:t>2025-2026年采暖季农村煤改气用户天然气终端销售价格补贴预算县级配套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获得支持的城燃企业运行率</w:t>
            </w:r>
          </w:p>
        </w:tc>
        <w:tc>
          <w:tcPr>
            <w:tcW w:w="5386" w:type="dxa"/>
            <w:vAlign w:val="center"/>
          </w:tcPr>
          <w:p>
            <w:pPr>
              <w:pStyle w:val="13"/>
            </w:pPr>
            <w:r>
              <w:t>城燃企业运行时间/应运行时间*100%</w:t>
            </w:r>
          </w:p>
        </w:tc>
        <w:tc>
          <w:tcPr>
            <w:tcW w:w="2268" w:type="dxa"/>
            <w:vAlign w:val="center"/>
          </w:tcPr>
          <w:p>
            <w:pPr>
              <w:pStyle w:val="13"/>
            </w:pPr>
            <w:r>
              <w:t>100%</w:t>
            </w:r>
          </w:p>
        </w:tc>
        <w:tc>
          <w:tcPr>
            <w:tcW w:w="1276" w:type="dxa"/>
            <w:vAlign w:val="center"/>
          </w:tcPr>
          <w:p>
            <w:pPr>
              <w:pStyle w:val="13"/>
            </w:pPr>
            <w:r>
              <w:t>2025-2026年采暖季农村煤改气用户天然气终端销售价格补贴预算县级配套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资金支出率</w:t>
            </w:r>
          </w:p>
        </w:tc>
        <w:tc>
          <w:tcPr>
            <w:tcW w:w="5386" w:type="dxa"/>
            <w:vAlign w:val="center"/>
          </w:tcPr>
          <w:p>
            <w:pPr>
              <w:pStyle w:val="13"/>
            </w:pPr>
            <w:r>
              <w:t>城燃补贴资金支出率</w:t>
            </w:r>
          </w:p>
        </w:tc>
        <w:tc>
          <w:tcPr>
            <w:tcW w:w="2268" w:type="dxa"/>
            <w:vAlign w:val="center"/>
          </w:tcPr>
          <w:p>
            <w:pPr>
              <w:pStyle w:val="13"/>
            </w:pPr>
            <w:r>
              <w:t>100%</w:t>
            </w:r>
          </w:p>
        </w:tc>
        <w:tc>
          <w:tcPr>
            <w:tcW w:w="1276" w:type="dxa"/>
            <w:vAlign w:val="center"/>
          </w:tcPr>
          <w:p>
            <w:pPr>
              <w:pStyle w:val="13"/>
            </w:pPr>
            <w:r>
              <w:t>2025-2026年采暖季农村煤改气用户天然气终端销售价格补贴预算县级配套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出现保暖保供重大负面舆情</w:t>
            </w:r>
          </w:p>
        </w:tc>
        <w:tc>
          <w:tcPr>
            <w:tcW w:w="5386" w:type="dxa"/>
            <w:vAlign w:val="center"/>
          </w:tcPr>
          <w:p>
            <w:pPr>
              <w:pStyle w:val="13"/>
            </w:pPr>
            <w:r>
              <w:t>出现保暖保供重大负面舆情次数</w:t>
            </w:r>
          </w:p>
        </w:tc>
        <w:tc>
          <w:tcPr>
            <w:tcW w:w="2268" w:type="dxa"/>
            <w:vAlign w:val="center"/>
          </w:tcPr>
          <w:p>
            <w:pPr>
              <w:pStyle w:val="13"/>
            </w:pPr>
            <w:r>
              <w:t>&lt;1次</w:t>
            </w:r>
          </w:p>
        </w:tc>
        <w:tc>
          <w:tcPr>
            <w:tcW w:w="1276" w:type="dxa"/>
            <w:vAlign w:val="center"/>
          </w:tcPr>
          <w:p>
            <w:pPr>
              <w:pStyle w:val="13"/>
            </w:pPr>
            <w:r>
              <w:t>2025-2026年采暖季农村煤改气用户天然气终端销售价格补贴预算县级配套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享受供暖服务群众满意度</w:t>
            </w:r>
          </w:p>
        </w:tc>
        <w:tc>
          <w:tcPr>
            <w:tcW w:w="2268" w:type="dxa"/>
            <w:vAlign w:val="center"/>
          </w:tcPr>
          <w:p>
            <w:pPr>
              <w:pStyle w:val="13"/>
            </w:pPr>
            <w:r>
              <w:t>≥90%</w:t>
            </w:r>
          </w:p>
        </w:tc>
        <w:tc>
          <w:tcPr>
            <w:tcW w:w="1276" w:type="dxa"/>
            <w:vAlign w:val="center"/>
          </w:tcPr>
          <w:p>
            <w:pPr>
              <w:pStyle w:val="13"/>
            </w:pPr>
            <w:r>
              <w:t>2025-2026年采暖季农村煤改气用户天然气终端销售价格补贴预算县级配套</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2、2025-2026年采暖季农村煤改气用户天然气终端销售价格补贴预算县级配套资金绩效目标表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13052526P000018100204</w:t>
            </w:r>
          </w:p>
        </w:tc>
        <w:tc>
          <w:tcPr>
            <w:tcW w:w="2835" w:type="dxa"/>
            <w:vAlign w:val="center"/>
          </w:tcPr>
          <w:p>
            <w:pPr>
              <w:pStyle w:val="11"/>
            </w:pPr>
            <w:r>
              <w:t>项目名称</w:t>
            </w:r>
          </w:p>
        </w:tc>
        <w:tc>
          <w:tcPr>
            <w:tcW w:w="6095" w:type="dxa"/>
            <w:gridSpan w:val="3"/>
            <w:vAlign w:val="center"/>
          </w:tcPr>
          <w:p>
            <w:pPr>
              <w:pStyle w:val="13"/>
            </w:pPr>
            <w:r>
              <w:t>2025-2026年采暖季农村煤改气用户天然气终端销售价格补贴预算县级配套资金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570.00</w:t>
            </w:r>
          </w:p>
        </w:tc>
        <w:tc>
          <w:tcPr>
            <w:tcW w:w="2835" w:type="dxa"/>
            <w:vAlign w:val="center"/>
          </w:tcPr>
          <w:p>
            <w:pPr>
              <w:pStyle w:val="11"/>
            </w:pPr>
            <w:r>
              <w:t>其中：财政    资金</w:t>
            </w:r>
          </w:p>
        </w:tc>
        <w:tc>
          <w:tcPr>
            <w:tcW w:w="2551" w:type="dxa"/>
            <w:vAlign w:val="center"/>
          </w:tcPr>
          <w:p>
            <w:pPr>
              <w:pStyle w:val="13"/>
            </w:pPr>
            <w:r>
              <w:t>570.00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保障农村居民取暖，维护社会稳定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1.保障2026年燃气供应，保障居民正常取暖，维护社会稳定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供暖温度达标，居民用户的室内温度不得低于当地规定的温度</w:t>
            </w:r>
          </w:p>
        </w:tc>
        <w:tc>
          <w:tcPr>
            <w:tcW w:w="5386" w:type="dxa"/>
            <w:vAlign w:val="center"/>
          </w:tcPr>
          <w:p>
            <w:pPr>
              <w:pStyle w:val="13"/>
            </w:pPr>
            <w:r>
              <w:t>居民室内供暖温度大于等于规定温度</w:t>
            </w:r>
          </w:p>
        </w:tc>
        <w:tc>
          <w:tcPr>
            <w:tcW w:w="2268" w:type="dxa"/>
            <w:vAlign w:val="center"/>
          </w:tcPr>
          <w:p>
            <w:pPr>
              <w:pStyle w:val="13"/>
            </w:pPr>
            <w:r>
              <w:t>≥18摄氏度</w:t>
            </w:r>
          </w:p>
        </w:tc>
        <w:tc>
          <w:tcPr>
            <w:tcW w:w="1276" w:type="dxa"/>
            <w:vAlign w:val="center"/>
          </w:tcPr>
          <w:p>
            <w:pPr>
              <w:pStyle w:val="13"/>
            </w:pPr>
            <w:r>
              <w:t>2025-2026年采暖季农村煤改气用户天然气终端销售价格补贴预算县级配套资金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供暖达标率</w:t>
            </w:r>
          </w:p>
        </w:tc>
        <w:tc>
          <w:tcPr>
            <w:tcW w:w="5386" w:type="dxa"/>
            <w:vAlign w:val="center"/>
          </w:tcPr>
          <w:p>
            <w:pPr>
              <w:pStyle w:val="13"/>
            </w:pPr>
            <w:r>
              <w:t>供暖达标天数/应达标天数*100%</w:t>
            </w:r>
          </w:p>
        </w:tc>
        <w:tc>
          <w:tcPr>
            <w:tcW w:w="2268" w:type="dxa"/>
            <w:vAlign w:val="center"/>
          </w:tcPr>
          <w:p>
            <w:pPr>
              <w:pStyle w:val="13"/>
            </w:pPr>
            <w:r>
              <w:t>≥95%</w:t>
            </w:r>
          </w:p>
        </w:tc>
        <w:tc>
          <w:tcPr>
            <w:tcW w:w="1276" w:type="dxa"/>
            <w:vAlign w:val="center"/>
          </w:tcPr>
          <w:p>
            <w:pPr>
              <w:pStyle w:val="13"/>
            </w:pPr>
            <w:r>
              <w:t>2025-2026年采暖季农村煤改气用户天然气终端销售价格补贴预算县级配套资金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获得支持的城燃企业运行率</w:t>
            </w:r>
          </w:p>
        </w:tc>
        <w:tc>
          <w:tcPr>
            <w:tcW w:w="5386" w:type="dxa"/>
            <w:vAlign w:val="center"/>
          </w:tcPr>
          <w:p>
            <w:pPr>
              <w:pStyle w:val="13"/>
            </w:pPr>
            <w:r>
              <w:t>城燃企业运行时间/应运行时间*100%</w:t>
            </w:r>
          </w:p>
        </w:tc>
        <w:tc>
          <w:tcPr>
            <w:tcW w:w="2268" w:type="dxa"/>
            <w:vAlign w:val="center"/>
          </w:tcPr>
          <w:p>
            <w:pPr>
              <w:pStyle w:val="13"/>
            </w:pPr>
            <w:r>
              <w:t>100%</w:t>
            </w:r>
          </w:p>
        </w:tc>
        <w:tc>
          <w:tcPr>
            <w:tcW w:w="1276" w:type="dxa"/>
            <w:vAlign w:val="center"/>
          </w:tcPr>
          <w:p>
            <w:pPr>
              <w:pStyle w:val="13"/>
            </w:pPr>
            <w:r>
              <w:t>2025-2026年采暖季农村煤改气用户天然气终端销售价格补贴预算县级配套资金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资金支出率</w:t>
            </w:r>
          </w:p>
        </w:tc>
        <w:tc>
          <w:tcPr>
            <w:tcW w:w="5386" w:type="dxa"/>
            <w:vAlign w:val="center"/>
          </w:tcPr>
          <w:p>
            <w:pPr>
              <w:pStyle w:val="13"/>
            </w:pPr>
            <w:r>
              <w:t>城燃补贴资金支出率</w:t>
            </w:r>
          </w:p>
        </w:tc>
        <w:tc>
          <w:tcPr>
            <w:tcW w:w="2268" w:type="dxa"/>
            <w:vAlign w:val="center"/>
          </w:tcPr>
          <w:p>
            <w:pPr>
              <w:pStyle w:val="13"/>
            </w:pPr>
            <w:r>
              <w:t>100%</w:t>
            </w:r>
          </w:p>
        </w:tc>
        <w:tc>
          <w:tcPr>
            <w:tcW w:w="1276" w:type="dxa"/>
            <w:vAlign w:val="center"/>
          </w:tcPr>
          <w:p>
            <w:pPr>
              <w:pStyle w:val="13"/>
            </w:pPr>
            <w:r>
              <w:t>2025-2026年采暖季农村煤改气用户天然气终端销售价格补贴预算县级配套资金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出现保暖保供重大负面舆情</w:t>
            </w:r>
          </w:p>
        </w:tc>
        <w:tc>
          <w:tcPr>
            <w:tcW w:w="5386" w:type="dxa"/>
            <w:vAlign w:val="center"/>
          </w:tcPr>
          <w:p>
            <w:pPr>
              <w:pStyle w:val="13"/>
            </w:pPr>
            <w:r>
              <w:t>出现保暖保供重大负面舆情次数</w:t>
            </w:r>
          </w:p>
        </w:tc>
        <w:tc>
          <w:tcPr>
            <w:tcW w:w="2268" w:type="dxa"/>
            <w:vAlign w:val="center"/>
          </w:tcPr>
          <w:p>
            <w:pPr>
              <w:pStyle w:val="13"/>
            </w:pPr>
            <w:r>
              <w:t>&lt;1次</w:t>
            </w:r>
          </w:p>
        </w:tc>
        <w:tc>
          <w:tcPr>
            <w:tcW w:w="1276" w:type="dxa"/>
            <w:vAlign w:val="center"/>
          </w:tcPr>
          <w:p>
            <w:pPr>
              <w:pStyle w:val="13"/>
            </w:pPr>
            <w:r>
              <w:t>2025-2026年采暖季农村煤改气用户天然气终端销售价格补贴预算县级配套资金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享受供暖服务群众满意度</w:t>
            </w:r>
          </w:p>
        </w:tc>
        <w:tc>
          <w:tcPr>
            <w:tcW w:w="2268" w:type="dxa"/>
            <w:vAlign w:val="center"/>
          </w:tcPr>
          <w:p>
            <w:pPr>
              <w:pStyle w:val="13"/>
            </w:pPr>
            <w:r>
              <w:t>≥90%</w:t>
            </w:r>
          </w:p>
        </w:tc>
        <w:tc>
          <w:tcPr>
            <w:tcW w:w="1276" w:type="dxa"/>
            <w:vAlign w:val="center"/>
          </w:tcPr>
          <w:p>
            <w:pPr>
              <w:pStyle w:val="13"/>
            </w:pPr>
            <w:r>
              <w:t>2025-2026年采暖季农村煤改气用户天然气终端销售价格补贴预算县级配套资金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3、2025-2026年度燃气审计项目绩效目标表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13052526P000002101642</w:t>
            </w:r>
          </w:p>
        </w:tc>
        <w:tc>
          <w:tcPr>
            <w:tcW w:w="2835" w:type="dxa"/>
            <w:vAlign w:val="center"/>
          </w:tcPr>
          <w:p>
            <w:pPr>
              <w:pStyle w:val="11"/>
            </w:pPr>
            <w:r>
              <w:t>项目名称</w:t>
            </w:r>
          </w:p>
        </w:tc>
        <w:tc>
          <w:tcPr>
            <w:tcW w:w="6095" w:type="dxa"/>
            <w:gridSpan w:val="3"/>
            <w:vAlign w:val="center"/>
          </w:tcPr>
          <w:p>
            <w:pPr>
              <w:pStyle w:val="13"/>
            </w:pPr>
            <w:r>
              <w:t>2025-2026年度燃气审计项目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w:t>
            </w:r>
          </w:p>
        </w:tc>
        <w:tc>
          <w:tcPr>
            <w:tcW w:w="2835" w:type="dxa"/>
            <w:vAlign w:val="center"/>
          </w:tcPr>
          <w:p>
            <w:pPr>
              <w:pStyle w:val="11"/>
            </w:pPr>
            <w:r>
              <w:t>其中：财政    资金</w:t>
            </w:r>
          </w:p>
        </w:tc>
        <w:tc>
          <w:tcPr>
            <w:tcW w:w="2551" w:type="dxa"/>
            <w:vAlign w:val="center"/>
          </w:tcPr>
          <w:p>
            <w:pPr>
              <w:pStyle w:val="13"/>
            </w:pPr>
            <w:r>
              <w:t>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保障燃气供应稳定，维护社会秩序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1.保障燃气供应，维护社会稳定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供暖温度达标，居民用户的室内温度不得低于当地规定的温度</w:t>
            </w:r>
          </w:p>
        </w:tc>
        <w:tc>
          <w:tcPr>
            <w:tcW w:w="5386" w:type="dxa"/>
            <w:vAlign w:val="center"/>
          </w:tcPr>
          <w:p>
            <w:pPr>
              <w:pStyle w:val="13"/>
            </w:pPr>
            <w:r>
              <w:t>居民室内供暖温度大于等于规定温度</w:t>
            </w:r>
          </w:p>
        </w:tc>
        <w:tc>
          <w:tcPr>
            <w:tcW w:w="2268" w:type="dxa"/>
            <w:vAlign w:val="center"/>
          </w:tcPr>
          <w:p>
            <w:pPr>
              <w:pStyle w:val="13"/>
            </w:pPr>
            <w:r>
              <w:t>≥18摄氏度</w:t>
            </w:r>
          </w:p>
        </w:tc>
        <w:tc>
          <w:tcPr>
            <w:tcW w:w="1276" w:type="dxa"/>
            <w:vAlign w:val="center"/>
          </w:tcPr>
          <w:p>
            <w:pPr>
              <w:pStyle w:val="13"/>
            </w:pPr>
            <w:r>
              <w:t>隆发改字[2025]3号，第三方测算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供暖达标率</w:t>
            </w:r>
          </w:p>
        </w:tc>
        <w:tc>
          <w:tcPr>
            <w:tcW w:w="5386" w:type="dxa"/>
            <w:vAlign w:val="center"/>
          </w:tcPr>
          <w:p>
            <w:pPr>
              <w:pStyle w:val="13"/>
            </w:pPr>
            <w:r>
              <w:t>供暖达标天数/应达标天数*100%</w:t>
            </w:r>
          </w:p>
        </w:tc>
        <w:tc>
          <w:tcPr>
            <w:tcW w:w="2268" w:type="dxa"/>
            <w:vAlign w:val="center"/>
          </w:tcPr>
          <w:p>
            <w:pPr>
              <w:pStyle w:val="13"/>
            </w:pPr>
            <w:r>
              <w:t>≥95%</w:t>
            </w:r>
          </w:p>
        </w:tc>
        <w:tc>
          <w:tcPr>
            <w:tcW w:w="1276" w:type="dxa"/>
            <w:vAlign w:val="center"/>
          </w:tcPr>
          <w:p>
            <w:pPr>
              <w:pStyle w:val="13"/>
            </w:pPr>
            <w:r>
              <w:t>隆发改字[2025]3号，第三方测算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获得支持的城燃企业运行率</w:t>
            </w:r>
          </w:p>
        </w:tc>
        <w:tc>
          <w:tcPr>
            <w:tcW w:w="5386" w:type="dxa"/>
            <w:vAlign w:val="center"/>
          </w:tcPr>
          <w:p>
            <w:pPr>
              <w:pStyle w:val="13"/>
            </w:pPr>
            <w:r>
              <w:t>城燃企业运行时间/应运行时间*100%</w:t>
            </w:r>
          </w:p>
        </w:tc>
        <w:tc>
          <w:tcPr>
            <w:tcW w:w="2268" w:type="dxa"/>
            <w:vAlign w:val="center"/>
          </w:tcPr>
          <w:p>
            <w:pPr>
              <w:pStyle w:val="13"/>
            </w:pPr>
            <w:r>
              <w:t>100%</w:t>
            </w:r>
          </w:p>
        </w:tc>
        <w:tc>
          <w:tcPr>
            <w:tcW w:w="1276" w:type="dxa"/>
            <w:vAlign w:val="center"/>
          </w:tcPr>
          <w:p>
            <w:pPr>
              <w:pStyle w:val="13"/>
            </w:pPr>
            <w:r>
              <w:t>隆发改字[2025]3号，第三方测算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资金支出率</w:t>
            </w:r>
          </w:p>
        </w:tc>
        <w:tc>
          <w:tcPr>
            <w:tcW w:w="5386" w:type="dxa"/>
            <w:vAlign w:val="center"/>
          </w:tcPr>
          <w:p>
            <w:pPr>
              <w:pStyle w:val="13"/>
            </w:pPr>
            <w:r>
              <w:t>补贴资金支出率</w:t>
            </w:r>
          </w:p>
        </w:tc>
        <w:tc>
          <w:tcPr>
            <w:tcW w:w="2268" w:type="dxa"/>
            <w:vAlign w:val="center"/>
          </w:tcPr>
          <w:p>
            <w:pPr>
              <w:pStyle w:val="13"/>
            </w:pPr>
            <w:r>
              <w:t>≤1.08%</w:t>
            </w:r>
          </w:p>
        </w:tc>
        <w:tc>
          <w:tcPr>
            <w:tcW w:w="1276" w:type="dxa"/>
            <w:vAlign w:val="center"/>
          </w:tcPr>
          <w:p>
            <w:pPr>
              <w:pStyle w:val="13"/>
            </w:pPr>
            <w:r>
              <w:t>隆发改字[2025]3号，第三方测算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出现保暖保供重大负面舆情</w:t>
            </w:r>
          </w:p>
        </w:tc>
        <w:tc>
          <w:tcPr>
            <w:tcW w:w="5386" w:type="dxa"/>
            <w:vAlign w:val="center"/>
          </w:tcPr>
          <w:p>
            <w:pPr>
              <w:pStyle w:val="13"/>
            </w:pPr>
            <w:r>
              <w:t>出现保暖保供重大负面舆情次数</w:t>
            </w:r>
          </w:p>
        </w:tc>
        <w:tc>
          <w:tcPr>
            <w:tcW w:w="2268" w:type="dxa"/>
            <w:vAlign w:val="center"/>
          </w:tcPr>
          <w:p>
            <w:pPr>
              <w:pStyle w:val="13"/>
            </w:pPr>
            <w:r>
              <w:t>&lt;1次</w:t>
            </w:r>
          </w:p>
        </w:tc>
        <w:tc>
          <w:tcPr>
            <w:tcW w:w="1276" w:type="dxa"/>
            <w:vAlign w:val="center"/>
          </w:tcPr>
          <w:p>
            <w:pPr>
              <w:pStyle w:val="13"/>
            </w:pPr>
            <w:r>
              <w:t>隆发改字[2025]3号，第三方测算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享受供暖服务群众满意度</w:t>
            </w:r>
          </w:p>
        </w:tc>
        <w:tc>
          <w:tcPr>
            <w:tcW w:w="2268" w:type="dxa"/>
            <w:vAlign w:val="center"/>
          </w:tcPr>
          <w:p>
            <w:pPr>
              <w:pStyle w:val="13"/>
            </w:pPr>
            <w:r>
              <w:t>≥90%</w:t>
            </w:r>
          </w:p>
        </w:tc>
        <w:tc>
          <w:tcPr>
            <w:tcW w:w="1276" w:type="dxa"/>
            <w:vAlign w:val="center"/>
          </w:tcPr>
          <w:p>
            <w:pPr>
              <w:pStyle w:val="13"/>
            </w:pPr>
            <w:r>
              <w:t>隆发改字[2025]3号，第三方测算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4、2026年度燃气气价倒挂补贴资金绩效目标表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13052526P00001810019Q</w:t>
            </w:r>
          </w:p>
        </w:tc>
        <w:tc>
          <w:tcPr>
            <w:tcW w:w="2835" w:type="dxa"/>
            <w:vAlign w:val="center"/>
          </w:tcPr>
          <w:p>
            <w:pPr>
              <w:pStyle w:val="11"/>
            </w:pPr>
            <w:r>
              <w:t>项目名称</w:t>
            </w:r>
          </w:p>
        </w:tc>
        <w:tc>
          <w:tcPr>
            <w:tcW w:w="6095" w:type="dxa"/>
            <w:gridSpan w:val="3"/>
            <w:vAlign w:val="center"/>
          </w:tcPr>
          <w:p>
            <w:pPr>
              <w:pStyle w:val="13"/>
            </w:pPr>
            <w:r>
              <w:t>2026年度燃气气价倒挂补贴资金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388.73</w:t>
            </w:r>
          </w:p>
        </w:tc>
        <w:tc>
          <w:tcPr>
            <w:tcW w:w="2835" w:type="dxa"/>
            <w:vAlign w:val="center"/>
          </w:tcPr>
          <w:p>
            <w:pPr>
              <w:pStyle w:val="11"/>
            </w:pPr>
            <w:r>
              <w:t>其中：财政    资金</w:t>
            </w:r>
          </w:p>
        </w:tc>
        <w:tc>
          <w:tcPr>
            <w:tcW w:w="2551" w:type="dxa"/>
            <w:vAlign w:val="center"/>
          </w:tcPr>
          <w:p>
            <w:pPr>
              <w:pStyle w:val="13"/>
            </w:pPr>
            <w:r>
              <w:t>388.73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用于补贴燃气资金，保障群众温暖过冬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1.保障2026年燃气供应，保障居民正常取暖，维护社会稳定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企业数量</w:t>
            </w:r>
          </w:p>
        </w:tc>
        <w:tc>
          <w:tcPr>
            <w:tcW w:w="5386" w:type="dxa"/>
            <w:vAlign w:val="center"/>
          </w:tcPr>
          <w:p>
            <w:pPr>
              <w:pStyle w:val="13"/>
            </w:pPr>
            <w:r>
              <w:t>涉及燃气企业数量</w:t>
            </w:r>
          </w:p>
        </w:tc>
        <w:tc>
          <w:tcPr>
            <w:tcW w:w="2268" w:type="dxa"/>
            <w:vAlign w:val="center"/>
          </w:tcPr>
          <w:p>
            <w:pPr>
              <w:pStyle w:val="13"/>
            </w:pPr>
            <w:r>
              <w:t>3家</w:t>
            </w:r>
          </w:p>
        </w:tc>
        <w:tc>
          <w:tcPr>
            <w:tcW w:w="1276" w:type="dxa"/>
            <w:vAlign w:val="center"/>
          </w:tcPr>
          <w:p>
            <w:pPr>
              <w:pStyle w:val="13"/>
            </w:pPr>
            <w:r>
              <w:t>依据《隆尧县2025-2026年度采暖季燃气企业气价补贴实施方案》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供暖达标率</w:t>
            </w:r>
          </w:p>
        </w:tc>
        <w:tc>
          <w:tcPr>
            <w:tcW w:w="5386" w:type="dxa"/>
            <w:vAlign w:val="center"/>
          </w:tcPr>
          <w:p>
            <w:pPr>
              <w:pStyle w:val="13"/>
            </w:pPr>
            <w:r>
              <w:t>供暖达标天数/供暖总共天数*100%</w:t>
            </w:r>
          </w:p>
        </w:tc>
        <w:tc>
          <w:tcPr>
            <w:tcW w:w="2268" w:type="dxa"/>
            <w:vAlign w:val="center"/>
          </w:tcPr>
          <w:p>
            <w:pPr>
              <w:pStyle w:val="13"/>
            </w:pPr>
            <w:r>
              <w:t>≥90%</w:t>
            </w:r>
          </w:p>
        </w:tc>
        <w:tc>
          <w:tcPr>
            <w:tcW w:w="1276" w:type="dxa"/>
            <w:vAlign w:val="center"/>
          </w:tcPr>
          <w:p>
            <w:pPr>
              <w:pStyle w:val="13"/>
            </w:pPr>
            <w:r>
              <w:t>依据《隆尧县2025-2026年度采暖季燃气企业气价补贴实施方案》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资金按时拨付</w:t>
            </w:r>
          </w:p>
        </w:tc>
        <w:tc>
          <w:tcPr>
            <w:tcW w:w="5386" w:type="dxa"/>
            <w:vAlign w:val="center"/>
          </w:tcPr>
          <w:p>
            <w:pPr>
              <w:pStyle w:val="13"/>
            </w:pPr>
            <w:r>
              <w:t>补贴资金按时拨付率</w:t>
            </w:r>
          </w:p>
        </w:tc>
        <w:tc>
          <w:tcPr>
            <w:tcW w:w="2268" w:type="dxa"/>
            <w:vAlign w:val="center"/>
          </w:tcPr>
          <w:p>
            <w:pPr>
              <w:pStyle w:val="13"/>
            </w:pPr>
            <w:r>
              <w:t>≥95%</w:t>
            </w:r>
          </w:p>
        </w:tc>
        <w:tc>
          <w:tcPr>
            <w:tcW w:w="1276" w:type="dxa"/>
            <w:vAlign w:val="center"/>
          </w:tcPr>
          <w:p>
            <w:pPr>
              <w:pStyle w:val="13"/>
            </w:pPr>
            <w:r>
              <w:t>依据《隆尧县2025-2026年度采暖季燃气企业气价补贴实施方案》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项目补贴企业金额</w:t>
            </w:r>
          </w:p>
        </w:tc>
        <w:tc>
          <w:tcPr>
            <w:tcW w:w="2268" w:type="dxa"/>
            <w:vAlign w:val="center"/>
          </w:tcPr>
          <w:p>
            <w:pPr>
              <w:pStyle w:val="13"/>
            </w:pPr>
            <w:r>
              <w:t>≥388.72万元</w:t>
            </w:r>
          </w:p>
        </w:tc>
        <w:tc>
          <w:tcPr>
            <w:tcW w:w="1276" w:type="dxa"/>
            <w:vAlign w:val="center"/>
          </w:tcPr>
          <w:p>
            <w:pPr>
              <w:pStyle w:val="13"/>
            </w:pPr>
            <w:r>
              <w:t>依据《隆尧县2025-2026年度采暖季燃气企业气价补贴实施方案》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保障供暖正常维护社会稳定</w:t>
            </w:r>
          </w:p>
        </w:tc>
        <w:tc>
          <w:tcPr>
            <w:tcW w:w="2268" w:type="dxa"/>
            <w:vAlign w:val="center"/>
          </w:tcPr>
          <w:p>
            <w:pPr>
              <w:pStyle w:val="13"/>
            </w:pPr>
            <w:r>
              <w:t>≥95%</w:t>
            </w:r>
          </w:p>
        </w:tc>
        <w:tc>
          <w:tcPr>
            <w:tcW w:w="1276" w:type="dxa"/>
            <w:vAlign w:val="center"/>
          </w:tcPr>
          <w:p>
            <w:pPr>
              <w:pStyle w:val="13"/>
            </w:pPr>
            <w:r>
              <w:t>依据《隆尧县2025-2026年度采暖季燃气企业气价补贴实施方案》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保障供暖持续发挥作用</w:t>
            </w:r>
          </w:p>
        </w:tc>
        <w:tc>
          <w:tcPr>
            <w:tcW w:w="2268" w:type="dxa"/>
            <w:vAlign w:val="center"/>
          </w:tcPr>
          <w:p>
            <w:pPr>
              <w:pStyle w:val="13"/>
            </w:pPr>
            <w:r>
              <w:t>≥95%</w:t>
            </w:r>
          </w:p>
        </w:tc>
        <w:tc>
          <w:tcPr>
            <w:tcW w:w="1276" w:type="dxa"/>
            <w:vAlign w:val="center"/>
          </w:tcPr>
          <w:p>
            <w:pPr>
              <w:pStyle w:val="13"/>
            </w:pPr>
            <w:r>
              <w:t>依据《隆尧县2025-2026年度采暖季燃气企业气价补贴实施方案》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依据《隆尧县2025-2026年度采暖季燃气企业气价补贴实施方案》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5、办案补助/自收自支人员绩效目标表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13052526P000002100178</w:t>
            </w:r>
          </w:p>
        </w:tc>
        <w:tc>
          <w:tcPr>
            <w:tcW w:w="2835" w:type="dxa"/>
            <w:vAlign w:val="center"/>
          </w:tcPr>
          <w:p>
            <w:pPr>
              <w:pStyle w:val="11"/>
            </w:pPr>
            <w:r>
              <w:t>项目名称</w:t>
            </w:r>
          </w:p>
        </w:tc>
        <w:tc>
          <w:tcPr>
            <w:tcW w:w="6095" w:type="dxa"/>
            <w:gridSpan w:val="3"/>
            <w:vAlign w:val="center"/>
          </w:tcPr>
          <w:p>
            <w:pPr>
              <w:pStyle w:val="13"/>
            </w:pPr>
            <w:r>
              <w:t>办案补助/自收自支人员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23.04</w:t>
            </w:r>
          </w:p>
        </w:tc>
        <w:tc>
          <w:tcPr>
            <w:tcW w:w="2835" w:type="dxa"/>
            <w:vAlign w:val="center"/>
          </w:tcPr>
          <w:p>
            <w:pPr>
              <w:pStyle w:val="11"/>
            </w:pPr>
            <w:r>
              <w:t>其中：财政    资金</w:t>
            </w:r>
          </w:p>
        </w:tc>
        <w:tc>
          <w:tcPr>
            <w:tcW w:w="2551" w:type="dxa"/>
            <w:vAlign w:val="center"/>
          </w:tcPr>
          <w:p>
            <w:pPr>
              <w:pStyle w:val="13"/>
            </w:pPr>
            <w:r>
              <w:t>23.04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保障自收自支保险及工资发放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1.保障自收自支2026年度保险及工资发放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发放工资人数</w:t>
            </w:r>
          </w:p>
        </w:tc>
        <w:tc>
          <w:tcPr>
            <w:tcW w:w="5386" w:type="dxa"/>
            <w:vAlign w:val="center"/>
          </w:tcPr>
          <w:p>
            <w:pPr>
              <w:pStyle w:val="13"/>
            </w:pPr>
            <w:r>
              <w:t>自支人员数量</w:t>
            </w:r>
          </w:p>
        </w:tc>
        <w:tc>
          <w:tcPr>
            <w:tcW w:w="2268" w:type="dxa"/>
            <w:vAlign w:val="center"/>
          </w:tcPr>
          <w:p>
            <w:pPr>
              <w:pStyle w:val="13"/>
            </w:pPr>
            <w:r>
              <w:t>10人</w:t>
            </w:r>
          </w:p>
        </w:tc>
        <w:tc>
          <w:tcPr>
            <w:tcW w:w="1276" w:type="dxa"/>
            <w:vAlign w:val="center"/>
          </w:tcPr>
          <w:p>
            <w:pPr>
              <w:pStyle w:val="13"/>
            </w:pPr>
            <w:r>
              <w:t>保险及工资花名册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人员经费保障率</w:t>
            </w:r>
          </w:p>
        </w:tc>
        <w:tc>
          <w:tcPr>
            <w:tcW w:w="5386" w:type="dxa"/>
            <w:vAlign w:val="center"/>
          </w:tcPr>
          <w:p>
            <w:pPr>
              <w:pStyle w:val="13"/>
            </w:pPr>
            <w:r>
              <w:t>用于工资发放及社保缴费率</w:t>
            </w:r>
          </w:p>
        </w:tc>
        <w:tc>
          <w:tcPr>
            <w:tcW w:w="2268" w:type="dxa"/>
            <w:vAlign w:val="center"/>
          </w:tcPr>
          <w:p>
            <w:pPr>
              <w:pStyle w:val="13"/>
            </w:pPr>
            <w:r>
              <w:t>100%</w:t>
            </w:r>
          </w:p>
        </w:tc>
        <w:tc>
          <w:tcPr>
            <w:tcW w:w="1276" w:type="dxa"/>
            <w:vAlign w:val="center"/>
          </w:tcPr>
          <w:p>
            <w:pPr>
              <w:pStyle w:val="13"/>
            </w:pPr>
            <w:r>
              <w:t>保险及工资花名册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按时发放工资及缴纳社保率</w:t>
            </w:r>
          </w:p>
        </w:tc>
        <w:tc>
          <w:tcPr>
            <w:tcW w:w="2268" w:type="dxa"/>
            <w:vAlign w:val="center"/>
          </w:tcPr>
          <w:p>
            <w:pPr>
              <w:pStyle w:val="13"/>
            </w:pPr>
            <w:r>
              <w:t>≥95%</w:t>
            </w:r>
          </w:p>
        </w:tc>
        <w:tc>
          <w:tcPr>
            <w:tcW w:w="1276" w:type="dxa"/>
            <w:vAlign w:val="center"/>
          </w:tcPr>
          <w:p>
            <w:pPr>
              <w:pStyle w:val="13"/>
            </w:pPr>
            <w:r>
              <w:t>保险及工资花名册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自收自支保险工资预算成本</w:t>
            </w:r>
          </w:p>
        </w:tc>
        <w:tc>
          <w:tcPr>
            <w:tcW w:w="2268" w:type="dxa"/>
            <w:vAlign w:val="center"/>
          </w:tcPr>
          <w:p>
            <w:pPr>
              <w:pStyle w:val="13"/>
            </w:pPr>
            <w:r>
              <w:t>23.04万元</w:t>
            </w:r>
          </w:p>
        </w:tc>
        <w:tc>
          <w:tcPr>
            <w:tcW w:w="1276" w:type="dxa"/>
            <w:vAlign w:val="center"/>
          </w:tcPr>
          <w:p>
            <w:pPr>
              <w:pStyle w:val="13"/>
            </w:pPr>
            <w:r>
              <w:t>保险及工资花名册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职工积极性</w:t>
            </w:r>
          </w:p>
        </w:tc>
        <w:tc>
          <w:tcPr>
            <w:tcW w:w="5386" w:type="dxa"/>
            <w:vAlign w:val="center"/>
          </w:tcPr>
          <w:p>
            <w:pPr>
              <w:pStyle w:val="13"/>
            </w:pPr>
            <w:r>
              <w:t>保障工资福利激发员工积极性</w:t>
            </w:r>
          </w:p>
        </w:tc>
        <w:tc>
          <w:tcPr>
            <w:tcW w:w="2268" w:type="dxa"/>
            <w:vAlign w:val="center"/>
          </w:tcPr>
          <w:p>
            <w:pPr>
              <w:pStyle w:val="13"/>
            </w:pPr>
            <w:r>
              <w:t>≥95%</w:t>
            </w:r>
          </w:p>
        </w:tc>
        <w:tc>
          <w:tcPr>
            <w:tcW w:w="1276" w:type="dxa"/>
            <w:vAlign w:val="center"/>
          </w:tcPr>
          <w:p>
            <w:pPr>
              <w:pStyle w:val="13"/>
            </w:pPr>
            <w:r>
              <w:t>保险及工资花名册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保险及工资花名册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6、成品粮储备项目补贴绩效目标表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13052526P000006100073</w:t>
            </w:r>
          </w:p>
        </w:tc>
        <w:tc>
          <w:tcPr>
            <w:tcW w:w="2835" w:type="dxa"/>
            <w:vAlign w:val="center"/>
          </w:tcPr>
          <w:p>
            <w:pPr>
              <w:pStyle w:val="11"/>
            </w:pPr>
            <w:r>
              <w:t>项目名称</w:t>
            </w:r>
          </w:p>
        </w:tc>
        <w:tc>
          <w:tcPr>
            <w:tcW w:w="6095" w:type="dxa"/>
            <w:gridSpan w:val="3"/>
            <w:vAlign w:val="center"/>
          </w:tcPr>
          <w:p>
            <w:pPr>
              <w:pStyle w:val="13"/>
            </w:pPr>
            <w:r>
              <w:t>成品粮储备项目补贴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保障面粉安全供应，维护社会稳定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1.保障面粉供应，维护社会稳定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储存面粉数量</w:t>
            </w:r>
          </w:p>
        </w:tc>
        <w:tc>
          <w:tcPr>
            <w:tcW w:w="5386" w:type="dxa"/>
            <w:vAlign w:val="center"/>
          </w:tcPr>
          <w:p>
            <w:pPr>
              <w:pStyle w:val="13"/>
            </w:pPr>
            <w:r>
              <w:t>应急储备面粉数量（吨）</w:t>
            </w:r>
          </w:p>
        </w:tc>
        <w:tc>
          <w:tcPr>
            <w:tcW w:w="2268" w:type="dxa"/>
            <w:vAlign w:val="center"/>
          </w:tcPr>
          <w:p>
            <w:pPr>
              <w:pStyle w:val="13"/>
            </w:pPr>
            <w:r>
              <w:t>2000吨</w:t>
            </w:r>
          </w:p>
        </w:tc>
        <w:tc>
          <w:tcPr>
            <w:tcW w:w="1276" w:type="dxa"/>
            <w:vAlign w:val="center"/>
          </w:tcPr>
          <w:p>
            <w:pPr>
              <w:pStyle w:val="13"/>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质量安全率</w:t>
            </w:r>
          </w:p>
        </w:tc>
        <w:tc>
          <w:tcPr>
            <w:tcW w:w="5386" w:type="dxa"/>
            <w:vAlign w:val="center"/>
          </w:tcPr>
          <w:p>
            <w:pPr>
              <w:pStyle w:val="13"/>
            </w:pPr>
            <w:r>
              <w:t>储存安全面粉数量/储存面粉数量*100%</w:t>
            </w:r>
          </w:p>
        </w:tc>
        <w:tc>
          <w:tcPr>
            <w:tcW w:w="2268" w:type="dxa"/>
            <w:vAlign w:val="center"/>
          </w:tcPr>
          <w:p>
            <w:pPr>
              <w:pStyle w:val="13"/>
            </w:pPr>
            <w:r>
              <w:t>100%</w:t>
            </w:r>
          </w:p>
        </w:tc>
        <w:tc>
          <w:tcPr>
            <w:tcW w:w="1276" w:type="dxa"/>
            <w:vAlign w:val="center"/>
          </w:tcPr>
          <w:p>
            <w:pPr>
              <w:pStyle w:val="13"/>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任务完成程度</w:t>
            </w:r>
          </w:p>
        </w:tc>
        <w:tc>
          <w:tcPr>
            <w:tcW w:w="2268" w:type="dxa"/>
            <w:vAlign w:val="center"/>
          </w:tcPr>
          <w:p>
            <w:pPr>
              <w:pStyle w:val="13"/>
            </w:pPr>
            <w:r>
              <w:t>保证经常储存量2000吨</w:t>
            </w:r>
          </w:p>
        </w:tc>
        <w:tc>
          <w:tcPr>
            <w:tcW w:w="1276" w:type="dxa"/>
            <w:vAlign w:val="center"/>
          </w:tcPr>
          <w:p>
            <w:pPr>
              <w:pStyle w:val="13"/>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储备物资成本</w:t>
            </w:r>
          </w:p>
        </w:tc>
        <w:tc>
          <w:tcPr>
            <w:tcW w:w="5386" w:type="dxa"/>
            <w:vAlign w:val="center"/>
          </w:tcPr>
          <w:p>
            <w:pPr>
              <w:pStyle w:val="13"/>
            </w:pPr>
            <w:r>
              <w:t>2000吨储备物资总成本</w:t>
            </w:r>
          </w:p>
        </w:tc>
        <w:tc>
          <w:tcPr>
            <w:tcW w:w="2268" w:type="dxa"/>
            <w:vAlign w:val="center"/>
          </w:tcPr>
          <w:p>
            <w:pPr>
              <w:pStyle w:val="13"/>
            </w:pPr>
            <w:r>
              <w:t>2025年补贴总额10万元</w:t>
            </w:r>
          </w:p>
        </w:tc>
        <w:tc>
          <w:tcPr>
            <w:tcW w:w="1276" w:type="dxa"/>
            <w:vAlign w:val="center"/>
          </w:tcPr>
          <w:p>
            <w:pPr>
              <w:pStyle w:val="13"/>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应急保障率</w:t>
            </w:r>
          </w:p>
        </w:tc>
        <w:tc>
          <w:tcPr>
            <w:tcW w:w="5386" w:type="dxa"/>
            <w:vAlign w:val="center"/>
          </w:tcPr>
          <w:p>
            <w:pPr>
              <w:pStyle w:val="13"/>
            </w:pPr>
            <w:r>
              <w:t>储备物资应急保障率</w:t>
            </w:r>
          </w:p>
        </w:tc>
        <w:tc>
          <w:tcPr>
            <w:tcW w:w="2268" w:type="dxa"/>
            <w:vAlign w:val="center"/>
          </w:tcPr>
          <w:p>
            <w:pPr>
              <w:pStyle w:val="13"/>
            </w:pPr>
            <w:r>
              <w:t>100保障市场供应</w:t>
            </w:r>
          </w:p>
        </w:tc>
        <w:tc>
          <w:tcPr>
            <w:tcW w:w="1276" w:type="dxa"/>
            <w:vAlign w:val="center"/>
          </w:tcPr>
          <w:p>
            <w:pPr>
              <w:pStyle w:val="13"/>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承储企业满意程度</w:t>
            </w:r>
          </w:p>
        </w:tc>
        <w:tc>
          <w:tcPr>
            <w:tcW w:w="2268" w:type="dxa"/>
            <w:vAlign w:val="center"/>
          </w:tcPr>
          <w:p>
            <w:pPr>
              <w:pStyle w:val="13"/>
            </w:pPr>
            <w:r>
              <w:t>100%</w:t>
            </w:r>
          </w:p>
        </w:tc>
        <w:tc>
          <w:tcPr>
            <w:tcW w:w="1276" w:type="dxa"/>
            <w:vAlign w:val="center"/>
          </w:tcPr>
          <w:p>
            <w:pPr>
              <w:pStyle w:val="13"/>
            </w:pPr>
            <w:r>
              <w:t>年度目标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7、大数据中心工作经费绩效目标表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13052526P000002101546</w:t>
            </w:r>
          </w:p>
        </w:tc>
        <w:tc>
          <w:tcPr>
            <w:tcW w:w="2835" w:type="dxa"/>
            <w:vAlign w:val="center"/>
          </w:tcPr>
          <w:p>
            <w:pPr>
              <w:pStyle w:val="11"/>
            </w:pPr>
            <w:r>
              <w:t>项目名称</w:t>
            </w:r>
          </w:p>
        </w:tc>
        <w:tc>
          <w:tcPr>
            <w:tcW w:w="6095" w:type="dxa"/>
            <w:gridSpan w:val="3"/>
            <w:vAlign w:val="center"/>
          </w:tcPr>
          <w:p>
            <w:pPr>
              <w:pStyle w:val="13"/>
            </w:pPr>
            <w:r>
              <w:t>大数据中心工作经费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保障数据运转，提高服务水平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1.保障大数据中心运转，提高公共服务水平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完成工作数量</w:t>
            </w:r>
          </w:p>
        </w:tc>
        <w:tc>
          <w:tcPr>
            <w:tcW w:w="5386" w:type="dxa"/>
            <w:vAlign w:val="center"/>
          </w:tcPr>
          <w:p>
            <w:pPr>
              <w:pStyle w:val="13"/>
            </w:pPr>
            <w:r>
              <w:t>完成大数据工作数量</w:t>
            </w:r>
          </w:p>
        </w:tc>
        <w:tc>
          <w:tcPr>
            <w:tcW w:w="2268" w:type="dxa"/>
            <w:vAlign w:val="center"/>
          </w:tcPr>
          <w:p>
            <w:pPr>
              <w:pStyle w:val="13"/>
            </w:pPr>
            <w:r>
              <w:t>≥3项</w:t>
            </w:r>
          </w:p>
        </w:tc>
        <w:tc>
          <w:tcPr>
            <w:tcW w:w="1276" w:type="dxa"/>
            <w:vAlign w:val="center"/>
          </w:tcPr>
          <w:p>
            <w:pPr>
              <w:pStyle w:val="13"/>
            </w:pPr>
            <w:r>
              <w:t>项目年初设定目标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智能办公水平提升率</w:t>
            </w:r>
          </w:p>
        </w:tc>
        <w:tc>
          <w:tcPr>
            <w:tcW w:w="5386" w:type="dxa"/>
            <w:vAlign w:val="center"/>
          </w:tcPr>
          <w:p>
            <w:pPr>
              <w:pStyle w:val="13"/>
            </w:pPr>
            <w:r>
              <w:t>提升办公水平，促进社会发展</w:t>
            </w:r>
          </w:p>
        </w:tc>
        <w:tc>
          <w:tcPr>
            <w:tcW w:w="2268" w:type="dxa"/>
            <w:vAlign w:val="center"/>
          </w:tcPr>
          <w:p>
            <w:pPr>
              <w:pStyle w:val="13"/>
            </w:pPr>
            <w:r>
              <w:t>≥95%</w:t>
            </w:r>
          </w:p>
        </w:tc>
        <w:tc>
          <w:tcPr>
            <w:tcW w:w="1276" w:type="dxa"/>
            <w:vAlign w:val="center"/>
          </w:tcPr>
          <w:p>
            <w:pPr>
              <w:pStyle w:val="13"/>
            </w:pPr>
            <w:r>
              <w:t>项目年初设定目标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按期完成资金支付</w:t>
            </w:r>
          </w:p>
        </w:tc>
        <w:tc>
          <w:tcPr>
            <w:tcW w:w="5386" w:type="dxa"/>
            <w:vAlign w:val="center"/>
          </w:tcPr>
          <w:p>
            <w:pPr>
              <w:pStyle w:val="13"/>
            </w:pPr>
            <w:r>
              <w:t>按期完成资金支付</w:t>
            </w:r>
          </w:p>
        </w:tc>
        <w:tc>
          <w:tcPr>
            <w:tcW w:w="2268" w:type="dxa"/>
            <w:vAlign w:val="center"/>
          </w:tcPr>
          <w:p>
            <w:pPr>
              <w:pStyle w:val="13"/>
            </w:pPr>
            <w:r>
              <w:t>≥95%</w:t>
            </w:r>
          </w:p>
        </w:tc>
        <w:tc>
          <w:tcPr>
            <w:tcW w:w="1276" w:type="dxa"/>
            <w:vAlign w:val="center"/>
          </w:tcPr>
          <w:p>
            <w:pPr>
              <w:pStyle w:val="13"/>
            </w:pPr>
            <w:r>
              <w:t>项目年初设定目标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完成项目的成本控制在预算水平</w:t>
            </w:r>
          </w:p>
        </w:tc>
        <w:tc>
          <w:tcPr>
            <w:tcW w:w="2268" w:type="dxa"/>
            <w:vAlign w:val="center"/>
          </w:tcPr>
          <w:p>
            <w:pPr>
              <w:pStyle w:val="13"/>
            </w:pPr>
            <w:r>
              <w:t>≤60万</w:t>
            </w:r>
          </w:p>
        </w:tc>
        <w:tc>
          <w:tcPr>
            <w:tcW w:w="1276" w:type="dxa"/>
            <w:vAlign w:val="center"/>
          </w:tcPr>
          <w:p>
            <w:pPr>
              <w:pStyle w:val="13"/>
            </w:pPr>
            <w:r>
              <w:t>项目年初设定目标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推进数字化建设，提升智能化水平</w:t>
            </w:r>
          </w:p>
        </w:tc>
        <w:tc>
          <w:tcPr>
            <w:tcW w:w="5386" w:type="dxa"/>
            <w:vAlign w:val="center"/>
          </w:tcPr>
          <w:p>
            <w:pPr>
              <w:pStyle w:val="13"/>
            </w:pPr>
            <w:r>
              <w:t>推进智慧隆尧建设，提升智能化水平</w:t>
            </w:r>
          </w:p>
        </w:tc>
        <w:tc>
          <w:tcPr>
            <w:tcW w:w="2268" w:type="dxa"/>
            <w:vAlign w:val="center"/>
          </w:tcPr>
          <w:p>
            <w:pPr>
              <w:pStyle w:val="13"/>
            </w:pPr>
            <w:r>
              <w:t>≥95%</w:t>
            </w:r>
          </w:p>
        </w:tc>
        <w:tc>
          <w:tcPr>
            <w:tcW w:w="1276" w:type="dxa"/>
            <w:vAlign w:val="center"/>
          </w:tcPr>
          <w:p>
            <w:pPr>
              <w:pStyle w:val="13"/>
            </w:pPr>
            <w:r>
              <w:t>项目年初设定目标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项目年初设定目标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8、冀财建[2025]126号/中央资金/粮食流通提质增效项目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13052526P00000210170F</w:t>
            </w:r>
          </w:p>
        </w:tc>
        <w:tc>
          <w:tcPr>
            <w:tcW w:w="2835" w:type="dxa"/>
            <w:vAlign w:val="center"/>
          </w:tcPr>
          <w:p>
            <w:pPr>
              <w:pStyle w:val="11"/>
            </w:pPr>
            <w:r>
              <w:t>项目名称</w:t>
            </w:r>
          </w:p>
        </w:tc>
        <w:tc>
          <w:tcPr>
            <w:tcW w:w="6095" w:type="dxa"/>
            <w:gridSpan w:val="3"/>
            <w:vAlign w:val="center"/>
          </w:tcPr>
          <w:p>
            <w:pPr>
              <w:pStyle w:val="13"/>
            </w:pPr>
            <w:r>
              <w:t>冀财建[2025]126号/中央资金/粮食流通提质增效项目</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3500.00</w:t>
            </w:r>
          </w:p>
        </w:tc>
        <w:tc>
          <w:tcPr>
            <w:tcW w:w="2835" w:type="dxa"/>
            <w:vAlign w:val="center"/>
          </w:tcPr>
          <w:p>
            <w:pPr>
              <w:pStyle w:val="11"/>
            </w:pPr>
            <w:r>
              <w:t>其中：财政    资金</w:t>
            </w:r>
          </w:p>
        </w:tc>
        <w:tc>
          <w:tcPr>
            <w:tcW w:w="2551" w:type="dxa"/>
            <w:vAlign w:val="center"/>
          </w:tcPr>
          <w:p>
            <w:pPr>
              <w:pStyle w:val="13"/>
            </w:pPr>
            <w:r>
              <w:t>3500.00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提高粮食物流加工水平，促进社会发展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1.通过项目实施提升粮食物流和加工水平，加快粮食产业创新发展、转型升级、提质增效，促进农民增收，带动县域经济高质量发展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规划建设项目数量</w:t>
            </w:r>
          </w:p>
        </w:tc>
        <w:tc>
          <w:tcPr>
            <w:tcW w:w="2268" w:type="dxa"/>
            <w:vAlign w:val="center"/>
          </w:tcPr>
          <w:p>
            <w:pPr>
              <w:pStyle w:val="13"/>
            </w:pPr>
            <w:r>
              <w:t>5个</w:t>
            </w:r>
          </w:p>
        </w:tc>
        <w:tc>
          <w:tcPr>
            <w:tcW w:w="1276" w:type="dxa"/>
            <w:vAlign w:val="center"/>
          </w:tcPr>
          <w:p>
            <w:pPr>
              <w:pStyle w:val="13"/>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项目验收合格情况</w:t>
            </w:r>
          </w:p>
        </w:tc>
        <w:tc>
          <w:tcPr>
            <w:tcW w:w="2268" w:type="dxa"/>
            <w:vAlign w:val="center"/>
          </w:tcPr>
          <w:p>
            <w:pPr>
              <w:pStyle w:val="13"/>
            </w:pPr>
            <w:r>
              <w:t>100%</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建设进度</w:t>
            </w:r>
          </w:p>
        </w:tc>
        <w:tc>
          <w:tcPr>
            <w:tcW w:w="5386" w:type="dxa"/>
            <w:vAlign w:val="center"/>
          </w:tcPr>
          <w:p>
            <w:pPr>
              <w:pStyle w:val="13"/>
            </w:pPr>
            <w:r>
              <w:t>项目建设进度</w:t>
            </w:r>
          </w:p>
        </w:tc>
        <w:tc>
          <w:tcPr>
            <w:tcW w:w="2268" w:type="dxa"/>
            <w:vAlign w:val="center"/>
          </w:tcPr>
          <w:p>
            <w:pPr>
              <w:pStyle w:val="13"/>
            </w:pPr>
            <w:r>
              <w:t>100%</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项目预算成本</w:t>
            </w:r>
          </w:p>
        </w:tc>
        <w:tc>
          <w:tcPr>
            <w:tcW w:w="2268" w:type="dxa"/>
            <w:vAlign w:val="center"/>
          </w:tcPr>
          <w:p>
            <w:pPr>
              <w:pStyle w:val="13"/>
            </w:pPr>
            <w:r>
              <w:t>≤3500万元</w:t>
            </w:r>
          </w:p>
        </w:tc>
        <w:tc>
          <w:tcPr>
            <w:tcW w:w="1276" w:type="dxa"/>
            <w:vAlign w:val="center"/>
          </w:tcPr>
          <w:p>
            <w:pPr>
              <w:pStyle w:val="13"/>
            </w:pPr>
            <w:r>
              <w:t>项目投资估算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粮食加工能力</w:t>
            </w:r>
          </w:p>
        </w:tc>
        <w:tc>
          <w:tcPr>
            <w:tcW w:w="5386" w:type="dxa"/>
            <w:vAlign w:val="center"/>
          </w:tcPr>
          <w:p>
            <w:pPr>
              <w:pStyle w:val="13"/>
            </w:pPr>
            <w:r>
              <w:t>面粉加工能力</w:t>
            </w:r>
          </w:p>
        </w:tc>
        <w:tc>
          <w:tcPr>
            <w:tcW w:w="2268" w:type="dxa"/>
            <w:vAlign w:val="center"/>
          </w:tcPr>
          <w:p>
            <w:pPr>
              <w:pStyle w:val="13"/>
            </w:pPr>
            <w:r>
              <w:t>≥80万吨/年</w:t>
            </w:r>
          </w:p>
        </w:tc>
        <w:tc>
          <w:tcPr>
            <w:tcW w:w="1276" w:type="dxa"/>
            <w:vAlign w:val="center"/>
          </w:tcPr>
          <w:p>
            <w:pPr>
              <w:pStyle w:val="13"/>
            </w:pPr>
            <w:r>
              <w:t>项目实施方案总体目标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100%</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w:t>
            </w:r>
          </w:p>
        </w:tc>
        <w:tc>
          <w:tcPr>
            <w:tcW w:w="1276" w:type="dxa"/>
            <w:vAlign w:val="center"/>
          </w:tcPr>
          <w:p>
            <w:pPr>
              <w:pStyle w:val="13"/>
            </w:pPr>
            <w:r>
              <w:t>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9、冀财建[2025]213号/提前下达2026年省级大气污染防治（节能与循环经济）专项资金/邢台君岚再生资源有限公司年综合利用建筑施工废弃物20万吨项目</w:t>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13052526P00002010016P</w:t>
            </w:r>
          </w:p>
        </w:tc>
        <w:tc>
          <w:tcPr>
            <w:tcW w:w="2835" w:type="dxa"/>
            <w:vAlign w:val="center"/>
          </w:tcPr>
          <w:p>
            <w:pPr>
              <w:pStyle w:val="11"/>
            </w:pPr>
            <w:r>
              <w:t>项目名称</w:t>
            </w:r>
          </w:p>
        </w:tc>
        <w:tc>
          <w:tcPr>
            <w:tcW w:w="6095" w:type="dxa"/>
            <w:gridSpan w:val="3"/>
            <w:vAlign w:val="center"/>
          </w:tcPr>
          <w:p>
            <w:pPr>
              <w:pStyle w:val="13"/>
            </w:pPr>
            <w:r>
              <w:t>冀财建[2025]213号/提前下达2026年省级大气污染防治（节能与循环经济）专项资金/邢台君岚再生资源有限公司年综合利用建筑施工废弃物20万吨项目</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700.00</w:t>
            </w:r>
          </w:p>
        </w:tc>
        <w:tc>
          <w:tcPr>
            <w:tcW w:w="2835" w:type="dxa"/>
            <w:vAlign w:val="center"/>
          </w:tcPr>
          <w:p>
            <w:pPr>
              <w:pStyle w:val="11"/>
            </w:pPr>
            <w:r>
              <w:t>其中：财政    资金</w:t>
            </w:r>
          </w:p>
        </w:tc>
        <w:tc>
          <w:tcPr>
            <w:tcW w:w="2551" w:type="dxa"/>
            <w:vAlign w:val="center"/>
          </w:tcPr>
          <w:p>
            <w:pPr>
              <w:pStyle w:val="13"/>
            </w:pPr>
            <w:r>
              <w:t>700.00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用于君岚再生资源有限公司年综合利用建施工废弃物20万吨项目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1.引导企业节能改造，推动大宗固废综合利用，完成年度节能目标任务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项目个数</w:t>
            </w:r>
          </w:p>
        </w:tc>
        <w:tc>
          <w:tcPr>
            <w:tcW w:w="5386" w:type="dxa"/>
            <w:vAlign w:val="center"/>
          </w:tcPr>
          <w:p>
            <w:pPr>
              <w:pStyle w:val="13"/>
            </w:pPr>
            <w:r>
              <w:t>实施项目个数</w:t>
            </w:r>
          </w:p>
        </w:tc>
        <w:tc>
          <w:tcPr>
            <w:tcW w:w="2268" w:type="dxa"/>
            <w:vAlign w:val="center"/>
          </w:tcPr>
          <w:p>
            <w:pPr>
              <w:pStyle w:val="13"/>
            </w:pPr>
            <w:r>
              <w:t>1个</w:t>
            </w:r>
          </w:p>
        </w:tc>
        <w:tc>
          <w:tcPr>
            <w:tcW w:w="1276" w:type="dxa"/>
            <w:vAlign w:val="center"/>
          </w:tcPr>
          <w:p>
            <w:pPr>
              <w:pStyle w:val="13"/>
            </w:pPr>
            <w:r>
              <w:t>项目基本情况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验收结果</w:t>
            </w:r>
          </w:p>
        </w:tc>
        <w:tc>
          <w:tcPr>
            <w:tcW w:w="5386" w:type="dxa"/>
            <w:vAlign w:val="center"/>
          </w:tcPr>
          <w:p>
            <w:pPr>
              <w:pStyle w:val="13"/>
            </w:pPr>
            <w:r>
              <w:t>年综合利用施工废弃物20万吨</w:t>
            </w:r>
          </w:p>
        </w:tc>
        <w:tc>
          <w:tcPr>
            <w:tcW w:w="2268" w:type="dxa"/>
            <w:vAlign w:val="center"/>
          </w:tcPr>
          <w:p>
            <w:pPr>
              <w:pStyle w:val="13"/>
            </w:pPr>
            <w:r>
              <w:t>20万吨</w:t>
            </w:r>
          </w:p>
        </w:tc>
        <w:tc>
          <w:tcPr>
            <w:tcW w:w="1276" w:type="dxa"/>
            <w:vAlign w:val="center"/>
          </w:tcPr>
          <w:p>
            <w:pPr>
              <w:pStyle w:val="13"/>
            </w:pPr>
            <w:r>
              <w:t>项目基本情况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完成及时性</w:t>
            </w:r>
          </w:p>
        </w:tc>
        <w:tc>
          <w:tcPr>
            <w:tcW w:w="5386" w:type="dxa"/>
            <w:vAlign w:val="center"/>
          </w:tcPr>
          <w:p>
            <w:pPr>
              <w:pStyle w:val="13"/>
            </w:pPr>
            <w:r>
              <w:t>建设期14个月，自2025年4月开工建设，到2026年6月竣工</w:t>
            </w:r>
          </w:p>
        </w:tc>
        <w:tc>
          <w:tcPr>
            <w:tcW w:w="2268" w:type="dxa"/>
            <w:vAlign w:val="center"/>
          </w:tcPr>
          <w:p>
            <w:pPr>
              <w:pStyle w:val="13"/>
            </w:pPr>
            <w:r>
              <w:t>2026年6月竣工</w:t>
            </w:r>
          </w:p>
        </w:tc>
        <w:tc>
          <w:tcPr>
            <w:tcW w:w="1276" w:type="dxa"/>
            <w:vAlign w:val="center"/>
          </w:tcPr>
          <w:p>
            <w:pPr>
              <w:pStyle w:val="13"/>
            </w:pPr>
            <w:r>
              <w:t>项目基本情况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项目补助成本</w:t>
            </w:r>
          </w:p>
        </w:tc>
        <w:tc>
          <w:tcPr>
            <w:tcW w:w="5386" w:type="dxa"/>
            <w:vAlign w:val="center"/>
          </w:tcPr>
          <w:p>
            <w:pPr>
              <w:pStyle w:val="13"/>
            </w:pPr>
            <w:r>
              <w:t>项目补助成本</w:t>
            </w:r>
          </w:p>
        </w:tc>
        <w:tc>
          <w:tcPr>
            <w:tcW w:w="2268" w:type="dxa"/>
            <w:vAlign w:val="center"/>
          </w:tcPr>
          <w:p>
            <w:pPr>
              <w:pStyle w:val="13"/>
            </w:pPr>
            <w:r>
              <w:t>700万元</w:t>
            </w:r>
          </w:p>
        </w:tc>
        <w:tc>
          <w:tcPr>
            <w:tcW w:w="1276" w:type="dxa"/>
            <w:vAlign w:val="center"/>
          </w:tcPr>
          <w:p>
            <w:pPr>
              <w:pStyle w:val="13"/>
            </w:pPr>
            <w:r>
              <w:t>项目基本情况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降低环境污染</w:t>
            </w:r>
          </w:p>
        </w:tc>
        <w:tc>
          <w:tcPr>
            <w:tcW w:w="5386" w:type="dxa"/>
            <w:vAlign w:val="center"/>
          </w:tcPr>
          <w:p>
            <w:pPr>
              <w:pStyle w:val="13"/>
            </w:pPr>
            <w:r>
              <w:t>减少对自然资源需求、降低环境污染与生态破坏、节约能源</w:t>
            </w:r>
          </w:p>
        </w:tc>
        <w:tc>
          <w:tcPr>
            <w:tcW w:w="2268" w:type="dxa"/>
            <w:vAlign w:val="center"/>
          </w:tcPr>
          <w:p>
            <w:pPr>
              <w:pStyle w:val="13"/>
            </w:pPr>
            <w:r>
              <w:t>产生环境生态效益</w:t>
            </w:r>
          </w:p>
        </w:tc>
        <w:tc>
          <w:tcPr>
            <w:tcW w:w="1276" w:type="dxa"/>
            <w:vAlign w:val="center"/>
          </w:tcPr>
          <w:p>
            <w:pPr>
              <w:pStyle w:val="13"/>
            </w:pPr>
            <w:r>
              <w:t>项目基本情况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投资回报</w:t>
            </w:r>
          </w:p>
        </w:tc>
        <w:tc>
          <w:tcPr>
            <w:tcW w:w="5386" w:type="dxa"/>
            <w:vAlign w:val="center"/>
          </w:tcPr>
          <w:p>
            <w:pPr>
              <w:pStyle w:val="13"/>
            </w:pPr>
            <w:r>
              <w:t>经计算本项目能产生投资回报</w:t>
            </w:r>
          </w:p>
        </w:tc>
        <w:tc>
          <w:tcPr>
            <w:tcW w:w="2268" w:type="dxa"/>
            <w:vAlign w:val="center"/>
          </w:tcPr>
          <w:p>
            <w:pPr>
              <w:pStyle w:val="13"/>
            </w:pPr>
            <w:r>
              <w:t>7.76%</w:t>
            </w:r>
          </w:p>
        </w:tc>
        <w:tc>
          <w:tcPr>
            <w:tcW w:w="1276" w:type="dxa"/>
            <w:vAlign w:val="center"/>
          </w:tcPr>
          <w:p>
            <w:pPr>
              <w:pStyle w:val="13"/>
            </w:pPr>
            <w:r>
              <w:t>项目基本情况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对项目满意度</w:t>
            </w:r>
          </w:p>
        </w:tc>
        <w:tc>
          <w:tcPr>
            <w:tcW w:w="2268" w:type="dxa"/>
            <w:vAlign w:val="center"/>
          </w:tcPr>
          <w:p>
            <w:pPr>
              <w:pStyle w:val="13"/>
            </w:pPr>
            <w:r>
              <w:t>≥95</w:t>
            </w:r>
          </w:p>
        </w:tc>
        <w:tc>
          <w:tcPr>
            <w:tcW w:w="1276" w:type="dxa"/>
            <w:vAlign w:val="center"/>
          </w:tcPr>
          <w:p>
            <w:pPr>
              <w:pStyle w:val="13"/>
            </w:pPr>
            <w:r>
              <w:t>项目自评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10、冀财建[2026]3号/提前下达2025-2026年采暖季农村煤改气用户天然气终端销售价格补贴预算绩效目标表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13052526P00001810015A</w:t>
            </w:r>
          </w:p>
        </w:tc>
        <w:tc>
          <w:tcPr>
            <w:tcW w:w="2835" w:type="dxa"/>
            <w:vAlign w:val="center"/>
          </w:tcPr>
          <w:p>
            <w:pPr>
              <w:pStyle w:val="11"/>
            </w:pPr>
            <w:r>
              <w:t>项目名称</w:t>
            </w:r>
          </w:p>
        </w:tc>
        <w:tc>
          <w:tcPr>
            <w:tcW w:w="6095" w:type="dxa"/>
            <w:gridSpan w:val="3"/>
            <w:vAlign w:val="center"/>
          </w:tcPr>
          <w:p>
            <w:pPr>
              <w:pStyle w:val="13"/>
            </w:pPr>
            <w:r>
              <w:t>冀财建[2026]3号/提前下达2025-2026年采暖季农村煤改气用户天然气终端销售价格补贴预算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362.25</w:t>
            </w:r>
          </w:p>
        </w:tc>
        <w:tc>
          <w:tcPr>
            <w:tcW w:w="2835" w:type="dxa"/>
            <w:vAlign w:val="center"/>
          </w:tcPr>
          <w:p>
            <w:pPr>
              <w:pStyle w:val="11"/>
            </w:pPr>
            <w:r>
              <w:t>其中：财政    资金</w:t>
            </w:r>
          </w:p>
        </w:tc>
        <w:tc>
          <w:tcPr>
            <w:tcW w:w="2551" w:type="dxa"/>
            <w:vAlign w:val="center"/>
          </w:tcPr>
          <w:p>
            <w:pPr>
              <w:pStyle w:val="13"/>
            </w:pPr>
            <w:r>
              <w:t>362.25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用于农村煤改气用户天然气终端销售价格补贴省级负担0.2元/方的50%部分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1.保障2026年燃气供应，保障居民正常取暖，维护社会稳定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供暖温度达标，居民用户的室内温度不得低于当地规定的温度</w:t>
            </w:r>
          </w:p>
        </w:tc>
        <w:tc>
          <w:tcPr>
            <w:tcW w:w="5386" w:type="dxa"/>
            <w:vAlign w:val="center"/>
          </w:tcPr>
          <w:p>
            <w:pPr>
              <w:pStyle w:val="13"/>
            </w:pPr>
            <w:r>
              <w:t>居民室内供暖温度大于等于规定温度</w:t>
            </w:r>
          </w:p>
        </w:tc>
        <w:tc>
          <w:tcPr>
            <w:tcW w:w="2268" w:type="dxa"/>
            <w:vAlign w:val="center"/>
          </w:tcPr>
          <w:p>
            <w:pPr>
              <w:pStyle w:val="13"/>
            </w:pPr>
            <w:r>
              <w:t>≥18摄氏度</w:t>
            </w:r>
          </w:p>
        </w:tc>
        <w:tc>
          <w:tcPr>
            <w:tcW w:w="1276" w:type="dxa"/>
            <w:vAlign w:val="center"/>
          </w:tcPr>
          <w:p>
            <w:pPr>
              <w:pStyle w:val="13"/>
            </w:pPr>
            <w:r>
              <w:t>冀财建[2026]3号/提前下达2025-2026年采暖季农村煤改气用户天然气终端销售价格补贴预算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供暖达标率</w:t>
            </w:r>
          </w:p>
        </w:tc>
        <w:tc>
          <w:tcPr>
            <w:tcW w:w="5386" w:type="dxa"/>
            <w:vAlign w:val="center"/>
          </w:tcPr>
          <w:p>
            <w:pPr>
              <w:pStyle w:val="13"/>
            </w:pPr>
            <w:r>
              <w:t>供暖达标天数/应达标天数*100%</w:t>
            </w:r>
          </w:p>
        </w:tc>
        <w:tc>
          <w:tcPr>
            <w:tcW w:w="2268" w:type="dxa"/>
            <w:vAlign w:val="center"/>
          </w:tcPr>
          <w:p>
            <w:pPr>
              <w:pStyle w:val="13"/>
            </w:pPr>
            <w:r>
              <w:t>≥95%</w:t>
            </w:r>
          </w:p>
        </w:tc>
        <w:tc>
          <w:tcPr>
            <w:tcW w:w="1276" w:type="dxa"/>
            <w:vAlign w:val="center"/>
          </w:tcPr>
          <w:p>
            <w:pPr>
              <w:pStyle w:val="13"/>
            </w:pPr>
            <w:r>
              <w:t>冀财建[2026]3号/提前下达2025-2026年采暖季农村煤改气用户天然气终端销售价格补贴预算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获得支持的城燃企业运行率</w:t>
            </w:r>
          </w:p>
        </w:tc>
        <w:tc>
          <w:tcPr>
            <w:tcW w:w="5386" w:type="dxa"/>
            <w:vAlign w:val="center"/>
          </w:tcPr>
          <w:p>
            <w:pPr>
              <w:pStyle w:val="13"/>
            </w:pPr>
            <w:r>
              <w:t>城燃企业运行时间/应运行时间*100%</w:t>
            </w:r>
          </w:p>
        </w:tc>
        <w:tc>
          <w:tcPr>
            <w:tcW w:w="2268" w:type="dxa"/>
            <w:vAlign w:val="center"/>
          </w:tcPr>
          <w:p>
            <w:pPr>
              <w:pStyle w:val="13"/>
            </w:pPr>
            <w:r>
              <w:t>100%</w:t>
            </w:r>
          </w:p>
        </w:tc>
        <w:tc>
          <w:tcPr>
            <w:tcW w:w="1276" w:type="dxa"/>
            <w:vAlign w:val="center"/>
          </w:tcPr>
          <w:p>
            <w:pPr>
              <w:pStyle w:val="13"/>
            </w:pPr>
            <w:r>
              <w:t>冀财建[2026]3号/提前下达2025-2026年采暖季农村煤改气用户天然气终端销售价格补贴预算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资金支出率</w:t>
            </w:r>
          </w:p>
        </w:tc>
        <w:tc>
          <w:tcPr>
            <w:tcW w:w="5386" w:type="dxa"/>
            <w:vAlign w:val="center"/>
          </w:tcPr>
          <w:p>
            <w:pPr>
              <w:pStyle w:val="13"/>
            </w:pPr>
            <w:r>
              <w:t>城燃补贴资金支出率</w:t>
            </w:r>
          </w:p>
        </w:tc>
        <w:tc>
          <w:tcPr>
            <w:tcW w:w="2268" w:type="dxa"/>
            <w:vAlign w:val="center"/>
          </w:tcPr>
          <w:p>
            <w:pPr>
              <w:pStyle w:val="13"/>
            </w:pPr>
            <w:r>
              <w:t>100%</w:t>
            </w:r>
          </w:p>
        </w:tc>
        <w:tc>
          <w:tcPr>
            <w:tcW w:w="1276" w:type="dxa"/>
            <w:vAlign w:val="center"/>
          </w:tcPr>
          <w:p>
            <w:pPr>
              <w:pStyle w:val="13"/>
            </w:pPr>
            <w:r>
              <w:t>冀财建[2026]3号/提前下达2025-2026年采暖季农村煤改气用户天然气终端销售价格补贴预算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出现保暖保供重大负面舆情</w:t>
            </w:r>
          </w:p>
        </w:tc>
        <w:tc>
          <w:tcPr>
            <w:tcW w:w="5386" w:type="dxa"/>
            <w:vAlign w:val="center"/>
          </w:tcPr>
          <w:p>
            <w:pPr>
              <w:pStyle w:val="13"/>
            </w:pPr>
            <w:r>
              <w:t>出现保暖保供重大负面舆情次数</w:t>
            </w:r>
          </w:p>
        </w:tc>
        <w:tc>
          <w:tcPr>
            <w:tcW w:w="2268" w:type="dxa"/>
            <w:vAlign w:val="center"/>
          </w:tcPr>
          <w:p>
            <w:pPr>
              <w:pStyle w:val="13"/>
            </w:pPr>
            <w:r>
              <w:t>&lt;1次</w:t>
            </w:r>
          </w:p>
        </w:tc>
        <w:tc>
          <w:tcPr>
            <w:tcW w:w="1276" w:type="dxa"/>
            <w:vAlign w:val="center"/>
          </w:tcPr>
          <w:p>
            <w:pPr>
              <w:pStyle w:val="13"/>
            </w:pPr>
            <w:r>
              <w:t>冀财建[2026]3号/提前下达2025-2026年采暖季农村煤改气用户天然气终端销售价格补贴预算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享受供暖服务群众满意度</w:t>
            </w:r>
          </w:p>
        </w:tc>
        <w:tc>
          <w:tcPr>
            <w:tcW w:w="2268" w:type="dxa"/>
            <w:vAlign w:val="center"/>
          </w:tcPr>
          <w:p>
            <w:pPr>
              <w:pStyle w:val="13"/>
            </w:pPr>
            <w:r>
              <w:t>≥90%</w:t>
            </w:r>
          </w:p>
        </w:tc>
        <w:tc>
          <w:tcPr>
            <w:tcW w:w="1276" w:type="dxa"/>
            <w:vAlign w:val="center"/>
          </w:tcPr>
          <w:p>
            <w:pPr>
              <w:pStyle w:val="13"/>
            </w:pPr>
            <w:r>
              <w:t>冀财建[2026]3号/提前下达2025-2026年采暖季农村煤改气用户天然气终端销售价格补贴预算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11、冀财建〔2025〕98号/超长期特别国债/远大阀门集团有限公司智能阀门生产设备更新改造项目绩效目标表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13052525P00005610008C</w:t>
            </w:r>
          </w:p>
        </w:tc>
        <w:tc>
          <w:tcPr>
            <w:tcW w:w="2835" w:type="dxa"/>
            <w:vAlign w:val="center"/>
          </w:tcPr>
          <w:p>
            <w:pPr>
              <w:pStyle w:val="11"/>
            </w:pPr>
            <w:r>
              <w:t>项目名称</w:t>
            </w:r>
          </w:p>
        </w:tc>
        <w:tc>
          <w:tcPr>
            <w:tcW w:w="6095" w:type="dxa"/>
            <w:gridSpan w:val="3"/>
            <w:vAlign w:val="center"/>
          </w:tcPr>
          <w:p>
            <w:pPr>
              <w:pStyle w:val="13"/>
            </w:pPr>
            <w:r>
              <w:t>冀财建〔2025〕98号/超长期特别国债/远大阀门集团有限公司智能阀门生产设备更新改造项目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630.00</w:t>
            </w:r>
          </w:p>
        </w:tc>
        <w:tc>
          <w:tcPr>
            <w:tcW w:w="2835" w:type="dxa"/>
            <w:vAlign w:val="center"/>
          </w:tcPr>
          <w:p>
            <w:pPr>
              <w:pStyle w:val="11"/>
            </w:pPr>
            <w:r>
              <w:t>其中：财政    资金</w:t>
            </w:r>
          </w:p>
        </w:tc>
        <w:tc>
          <w:tcPr>
            <w:tcW w:w="2551" w:type="dxa"/>
            <w:vAlign w:val="center"/>
          </w:tcPr>
          <w:p>
            <w:pPr>
              <w:pStyle w:val="13"/>
            </w:pPr>
            <w:r>
              <w:t>630.00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引导企业对设备设施改造建设，推动设备设施高端化、绿色化、智能化，达到节能降碳、效率提升、产品合格率提高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1.引导企业对设备设施改造建设，推动设备设施高端化、绿色化、智能化，达到节能降碳、效率提升、产品合格率提高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设备采购数量</w:t>
            </w:r>
          </w:p>
        </w:tc>
        <w:tc>
          <w:tcPr>
            <w:tcW w:w="2268" w:type="dxa"/>
            <w:vAlign w:val="center"/>
          </w:tcPr>
          <w:p>
            <w:pPr>
              <w:pStyle w:val="13"/>
            </w:pPr>
            <w:r>
              <w:t>374套</w:t>
            </w:r>
          </w:p>
        </w:tc>
        <w:tc>
          <w:tcPr>
            <w:tcW w:w="1276" w:type="dxa"/>
            <w:vAlign w:val="center"/>
          </w:tcPr>
          <w:p>
            <w:pPr>
              <w:pStyle w:val="13"/>
            </w:pPr>
            <w:r>
              <w:t>项目建设要求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设备合格率</w:t>
            </w:r>
          </w:p>
        </w:tc>
        <w:tc>
          <w:tcPr>
            <w:tcW w:w="2268" w:type="dxa"/>
            <w:vAlign w:val="center"/>
          </w:tcPr>
          <w:p>
            <w:pPr>
              <w:pStyle w:val="13"/>
            </w:pPr>
            <w:r>
              <w:t>100%</w:t>
            </w:r>
          </w:p>
        </w:tc>
        <w:tc>
          <w:tcPr>
            <w:tcW w:w="1276" w:type="dxa"/>
            <w:vAlign w:val="center"/>
          </w:tcPr>
          <w:p>
            <w:pPr>
              <w:pStyle w:val="13"/>
            </w:pPr>
            <w:r>
              <w:t>项目建设要求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时效指标</w:t>
            </w:r>
          </w:p>
        </w:tc>
        <w:tc>
          <w:tcPr>
            <w:tcW w:w="2268" w:type="dxa"/>
            <w:vAlign w:val="center"/>
          </w:tcPr>
          <w:p>
            <w:pPr>
              <w:pStyle w:val="13"/>
            </w:pPr>
            <w:r>
              <w:t>100%</w:t>
            </w:r>
          </w:p>
        </w:tc>
        <w:tc>
          <w:tcPr>
            <w:tcW w:w="1276" w:type="dxa"/>
            <w:vAlign w:val="center"/>
          </w:tcPr>
          <w:p>
            <w:pPr>
              <w:pStyle w:val="13"/>
            </w:pPr>
            <w:r>
              <w:t>项目建设要求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补助金额</w:t>
            </w:r>
          </w:p>
        </w:tc>
        <w:tc>
          <w:tcPr>
            <w:tcW w:w="2268" w:type="dxa"/>
            <w:vAlign w:val="center"/>
          </w:tcPr>
          <w:p>
            <w:pPr>
              <w:pStyle w:val="13"/>
            </w:pPr>
            <w:r>
              <w:t>1230万元</w:t>
            </w:r>
          </w:p>
        </w:tc>
        <w:tc>
          <w:tcPr>
            <w:tcW w:w="1276" w:type="dxa"/>
            <w:vAlign w:val="center"/>
          </w:tcPr>
          <w:p>
            <w:pPr>
              <w:pStyle w:val="13"/>
            </w:pPr>
            <w:r>
              <w:t>文件安排资金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解决企业诉求</w:t>
            </w:r>
          </w:p>
        </w:tc>
        <w:tc>
          <w:tcPr>
            <w:tcW w:w="5386" w:type="dxa"/>
            <w:vAlign w:val="center"/>
          </w:tcPr>
          <w:p>
            <w:pPr>
              <w:pStyle w:val="13"/>
            </w:pPr>
            <w:r>
              <w:t>解决企业诉求</w:t>
            </w:r>
          </w:p>
        </w:tc>
        <w:tc>
          <w:tcPr>
            <w:tcW w:w="2268" w:type="dxa"/>
            <w:vAlign w:val="center"/>
          </w:tcPr>
          <w:p>
            <w:pPr>
              <w:pStyle w:val="13"/>
            </w:pPr>
            <w:r>
              <w:t>100%</w:t>
            </w:r>
          </w:p>
        </w:tc>
        <w:tc>
          <w:tcPr>
            <w:tcW w:w="1276" w:type="dxa"/>
            <w:vAlign w:val="center"/>
          </w:tcPr>
          <w:p>
            <w:pPr>
              <w:pStyle w:val="13"/>
            </w:pPr>
            <w:r>
              <w:t>预期经济和社会效益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销售收入</w:t>
            </w:r>
          </w:p>
        </w:tc>
        <w:tc>
          <w:tcPr>
            <w:tcW w:w="5386" w:type="dxa"/>
            <w:vAlign w:val="center"/>
          </w:tcPr>
          <w:p>
            <w:pPr>
              <w:pStyle w:val="13"/>
            </w:pPr>
            <w:r>
              <w:t>产品销售收入</w:t>
            </w:r>
          </w:p>
        </w:tc>
        <w:tc>
          <w:tcPr>
            <w:tcW w:w="2268" w:type="dxa"/>
            <w:vAlign w:val="center"/>
          </w:tcPr>
          <w:p>
            <w:pPr>
              <w:pStyle w:val="13"/>
            </w:pPr>
            <w:r>
              <w:t>增长40%</w:t>
            </w:r>
          </w:p>
        </w:tc>
        <w:tc>
          <w:tcPr>
            <w:tcW w:w="1276" w:type="dxa"/>
            <w:vAlign w:val="center"/>
          </w:tcPr>
          <w:p>
            <w:pPr>
              <w:pStyle w:val="13"/>
            </w:pPr>
            <w:r>
              <w:t>预期经济和社会效益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碳排放总量减少</w:t>
            </w:r>
          </w:p>
        </w:tc>
        <w:tc>
          <w:tcPr>
            <w:tcW w:w="5386" w:type="dxa"/>
            <w:vAlign w:val="center"/>
          </w:tcPr>
          <w:p>
            <w:pPr>
              <w:pStyle w:val="13"/>
            </w:pPr>
            <w:r>
              <w:t>碳排放总量减少</w:t>
            </w:r>
          </w:p>
        </w:tc>
        <w:tc>
          <w:tcPr>
            <w:tcW w:w="2268" w:type="dxa"/>
            <w:vAlign w:val="center"/>
          </w:tcPr>
          <w:p>
            <w:pPr>
              <w:pStyle w:val="13"/>
            </w:pPr>
            <w:r>
              <w:t>≥1000t</w:t>
            </w:r>
          </w:p>
        </w:tc>
        <w:tc>
          <w:tcPr>
            <w:tcW w:w="1276" w:type="dxa"/>
            <w:vAlign w:val="center"/>
          </w:tcPr>
          <w:p>
            <w:pPr>
              <w:pStyle w:val="13"/>
            </w:pPr>
            <w:r>
              <w:t>预期经济和社会效益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能源消耗量减少</w:t>
            </w:r>
          </w:p>
        </w:tc>
        <w:tc>
          <w:tcPr>
            <w:tcW w:w="5386" w:type="dxa"/>
            <w:vAlign w:val="center"/>
          </w:tcPr>
          <w:p>
            <w:pPr>
              <w:pStyle w:val="13"/>
            </w:pPr>
            <w:r>
              <w:t>能源消耗量减少</w:t>
            </w:r>
          </w:p>
        </w:tc>
        <w:tc>
          <w:tcPr>
            <w:tcW w:w="2268" w:type="dxa"/>
            <w:vAlign w:val="center"/>
          </w:tcPr>
          <w:p>
            <w:pPr>
              <w:pStyle w:val="13"/>
            </w:pPr>
            <w:r>
              <w:t>≥130吨标煤</w:t>
            </w:r>
          </w:p>
        </w:tc>
        <w:tc>
          <w:tcPr>
            <w:tcW w:w="1276" w:type="dxa"/>
            <w:vAlign w:val="center"/>
          </w:tcPr>
          <w:p>
            <w:pPr>
              <w:pStyle w:val="13"/>
            </w:pPr>
            <w:r>
              <w:t>预期经济和社会效益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项目建设要求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12、粮食安全责任制考核及粮食质量安全监测管理及流通执法绩效目标表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13052526P00000210158L</w:t>
            </w:r>
          </w:p>
        </w:tc>
        <w:tc>
          <w:tcPr>
            <w:tcW w:w="2835" w:type="dxa"/>
            <w:vAlign w:val="center"/>
          </w:tcPr>
          <w:p>
            <w:pPr>
              <w:pStyle w:val="11"/>
            </w:pPr>
            <w:r>
              <w:t>项目名称</w:t>
            </w:r>
          </w:p>
        </w:tc>
        <w:tc>
          <w:tcPr>
            <w:tcW w:w="6095" w:type="dxa"/>
            <w:gridSpan w:val="3"/>
            <w:vAlign w:val="center"/>
          </w:tcPr>
          <w:p>
            <w:pPr>
              <w:pStyle w:val="13"/>
            </w:pPr>
            <w:r>
              <w:t>粮食安全责任制考核及粮食质量安全监测管理及流通执法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加强粮食安全责任制考核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1.对全县粮食流通进行监督检查，做好粮食安全责任制考核，确保粮食安全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粮食企业检查率</w:t>
            </w:r>
          </w:p>
        </w:tc>
        <w:tc>
          <w:tcPr>
            <w:tcW w:w="5386" w:type="dxa"/>
            <w:vAlign w:val="center"/>
          </w:tcPr>
          <w:p>
            <w:pPr>
              <w:pStyle w:val="13"/>
            </w:pPr>
            <w:r>
              <w:t>检查企业数量/全县企业数量*100%</w:t>
            </w:r>
          </w:p>
        </w:tc>
        <w:tc>
          <w:tcPr>
            <w:tcW w:w="2268" w:type="dxa"/>
            <w:vAlign w:val="center"/>
          </w:tcPr>
          <w:p>
            <w:pPr>
              <w:pStyle w:val="13"/>
            </w:pPr>
            <w:r>
              <w:t>100%</w:t>
            </w:r>
          </w:p>
        </w:tc>
        <w:tc>
          <w:tcPr>
            <w:tcW w:w="1276" w:type="dxa"/>
            <w:vAlign w:val="center"/>
          </w:tcPr>
          <w:p>
            <w:pPr>
              <w:pStyle w:val="13"/>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粮食安全率</w:t>
            </w:r>
          </w:p>
        </w:tc>
        <w:tc>
          <w:tcPr>
            <w:tcW w:w="5386" w:type="dxa"/>
            <w:vAlign w:val="center"/>
          </w:tcPr>
          <w:p>
            <w:pPr>
              <w:pStyle w:val="13"/>
            </w:pPr>
            <w:r>
              <w:t>安全粮食数量/全县粮食数量*100%</w:t>
            </w:r>
          </w:p>
        </w:tc>
        <w:tc>
          <w:tcPr>
            <w:tcW w:w="2268" w:type="dxa"/>
            <w:vAlign w:val="center"/>
          </w:tcPr>
          <w:p>
            <w:pPr>
              <w:pStyle w:val="13"/>
            </w:pPr>
            <w:r>
              <w:t>100%</w:t>
            </w:r>
          </w:p>
        </w:tc>
        <w:tc>
          <w:tcPr>
            <w:tcW w:w="1276" w:type="dxa"/>
            <w:vAlign w:val="center"/>
          </w:tcPr>
          <w:p>
            <w:pPr>
              <w:pStyle w:val="13"/>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完成时效</w:t>
            </w:r>
          </w:p>
        </w:tc>
        <w:tc>
          <w:tcPr>
            <w:tcW w:w="5386" w:type="dxa"/>
            <w:vAlign w:val="center"/>
          </w:tcPr>
          <w:p>
            <w:pPr>
              <w:pStyle w:val="13"/>
            </w:pPr>
            <w:r>
              <w:t>各项工作完成及时程度</w:t>
            </w:r>
          </w:p>
        </w:tc>
        <w:tc>
          <w:tcPr>
            <w:tcW w:w="2268" w:type="dxa"/>
            <w:vAlign w:val="center"/>
          </w:tcPr>
          <w:p>
            <w:pPr>
              <w:pStyle w:val="13"/>
            </w:pPr>
            <w:r>
              <w:t>100%</w:t>
            </w:r>
          </w:p>
        </w:tc>
        <w:tc>
          <w:tcPr>
            <w:tcW w:w="1276" w:type="dxa"/>
            <w:vAlign w:val="center"/>
          </w:tcPr>
          <w:p>
            <w:pPr>
              <w:pStyle w:val="13"/>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按预算成本支出</w:t>
            </w:r>
          </w:p>
        </w:tc>
        <w:tc>
          <w:tcPr>
            <w:tcW w:w="2268" w:type="dxa"/>
            <w:vAlign w:val="center"/>
          </w:tcPr>
          <w:p>
            <w:pPr>
              <w:pStyle w:val="13"/>
            </w:pPr>
            <w:r>
              <w:t>≤0.2万元</w:t>
            </w:r>
          </w:p>
        </w:tc>
        <w:tc>
          <w:tcPr>
            <w:tcW w:w="1276" w:type="dxa"/>
            <w:vAlign w:val="center"/>
          </w:tcPr>
          <w:p>
            <w:pPr>
              <w:pStyle w:val="13"/>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粮食安全科学储粮率</w:t>
            </w:r>
          </w:p>
        </w:tc>
        <w:tc>
          <w:tcPr>
            <w:tcW w:w="5386" w:type="dxa"/>
            <w:vAlign w:val="center"/>
          </w:tcPr>
          <w:p>
            <w:pPr>
              <w:pStyle w:val="13"/>
            </w:pPr>
            <w:r>
              <w:t>安全科学储粮数量占全部粮食数量比例</w:t>
            </w:r>
          </w:p>
        </w:tc>
        <w:tc>
          <w:tcPr>
            <w:tcW w:w="2268" w:type="dxa"/>
            <w:vAlign w:val="center"/>
          </w:tcPr>
          <w:p>
            <w:pPr>
              <w:pStyle w:val="13"/>
            </w:pPr>
            <w:r>
              <w:t>≥95%</w:t>
            </w:r>
          </w:p>
        </w:tc>
        <w:tc>
          <w:tcPr>
            <w:tcW w:w="1276" w:type="dxa"/>
            <w:vAlign w:val="center"/>
          </w:tcPr>
          <w:p>
            <w:pPr>
              <w:pStyle w:val="13"/>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群众满意度</w:t>
            </w:r>
          </w:p>
        </w:tc>
        <w:tc>
          <w:tcPr>
            <w:tcW w:w="2268" w:type="dxa"/>
            <w:vAlign w:val="center"/>
          </w:tcPr>
          <w:p>
            <w:pPr>
              <w:pStyle w:val="13"/>
            </w:pPr>
            <w:r>
              <w:t>100%</w:t>
            </w:r>
          </w:p>
        </w:tc>
        <w:tc>
          <w:tcPr>
            <w:tcW w:w="1276" w:type="dxa"/>
            <w:vAlign w:val="center"/>
          </w:tcPr>
          <w:p>
            <w:pPr>
              <w:pStyle w:val="13"/>
            </w:pPr>
            <w:r>
              <w:t>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13、隆尧县“十五五”规划编制经费绩效目标表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13052526P00000210160K</w:t>
            </w:r>
          </w:p>
        </w:tc>
        <w:tc>
          <w:tcPr>
            <w:tcW w:w="2835" w:type="dxa"/>
            <w:vAlign w:val="center"/>
          </w:tcPr>
          <w:p>
            <w:pPr>
              <w:pStyle w:val="11"/>
            </w:pPr>
            <w:r>
              <w:t>项目名称</w:t>
            </w:r>
          </w:p>
        </w:tc>
        <w:tc>
          <w:tcPr>
            <w:tcW w:w="6095" w:type="dxa"/>
            <w:gridSpan w:val="3"/>
            <w:vAlign w:val="center"/>
          </w:tcPr>
          <w:p>
            <w:pPr>
              <w:pStyle w:val="13"/>
            </w:pPr>
            <w:r>
              <w:t>隆尧县“十五五”规划编制经费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w:t>
            </w:r>
          </w:p>
        </w:tc>
        <w:tc>
          <w:tcPr>
            <w:tcW w:w="2835" w:type="dxa"/>
            <w:vAlign w:val="center"/>
          </w:tcPr>
          <w:p>
            <w:pPr>
              <w:pStyle w:val="11"/>
            </w:pPr>
            <w:r>
              <w:t>其中：财政    资金</w:t>
            </w:r>
          </w:p>
        </w:tc>
        <w:tc>
          <w:tcPr>
            <w:tcW w:w="2551" w:type="dxa"/>
            <w:vAlign w:val="center"/>
          </w:tcPr>
          <w:p>
            <w:pPr>
              <w:pStyle w:val="13"/>
            </w:pPr>
            <w:r>
              <w:t>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制定完成</w:t>
            </w:r>
            <w:r>
              <w:rPr>
                <w:rFonts w:hint="eastAsia"/>
                <w:lang w:eastAsia="zh-CN"/>
              </w:rPr>
              <w:t>“十五五”规划</w:t>
            </w:r>
            <w:r>
              <w:t>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w:t>
            </w:r>
            <w:r>
              <w:rPr>
                <w:rFonts w:hint="eastAsia"/>
                <w:lang w:eastAsia="zh-CN"/>
              </w:rPr>
              <w:t>“十五五”规划</w:t>
            </w:r>
            <w:r>
              <w:t>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“十五五”规划如期完成情况</w:t>
            </w:r>
          </w:p>
        </w:tc>
        <w:tc>
          <w:tcPr>
            <w:tcW w:w="5386" w:type="dxa"/>
            <w:vAlign w:val="center"/>
          </w:tcPr>
          <w:p>
            <w:pPr>
              <w:pStyle w:val="13"/>
            </w:pPr>
            <w:r>
              <w:rPr>
                <w:rFonts w:hint="eastAsia"/>
                <w:lang w:eastAsia="zh-CN"/>
              </w:rPr>
              <w:t>“十五五”规划</w:t>
            </w:r>
            <w:r>
              <w:t>按期完成率</w:t>
            </w:r>
          </w:p>
        </w:tc>
        <w:tc>
          <w:tcPr>
            <w:tcW w:w="2268" w:type="dxa"/>
            <w:vAlign w:val="center"/>
          </w:tcPr>
          <w:p>
            <w:pPr>
              <w:pStyle w:val="13"/>
            </w:pPr>
            <w:r>
              <w:t>≥100%</w:t>
            </w:r>
          </w:p>
        </w:tc>
        <w:tc>
          <w:tcPr>
            <w:tcW w:w="1276" w:type="dxa"/>
            <w:vAlign w:val="center"/>
          </w:tcPr>
          <w:p>
            <w:pPr>
              <w:pStyle w:val="13"/>
            </w:pPr>
            <w:r>
              <w:t>人大会审议时间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调研报告数量</w:t>
            </w:r>
          </w:p>
        </w:tc>
        <w:tc>
          <w:tcPr>
            <w:tcW w:w="5386" w:type="dxa"/>
            <w:vAlign w:val="center"/>
          </w:tcPr>
          <w:p>
            <w:pPr>
              <w:pStyle w:val="13"/>
            </w:pPr>
            <w:r>
              <w:t>提交调研报告数量</w:t>
            </w:r>
          </w:p>
        </w:tc>
        <w:tc>
          <w:tcPr>
            <w:tcW w:w="2268" w:type="dxa"/>
            <w:vAlign w:val="center"/>
          </w:tcPr>
          <w:p>
            <w:pPr>
              <w:pStyle w:val="13"/>
            </w:pPr>
            <w:r>
              <w:t>≥3次</w:t>
            </w:r>
          </w:p>
        </w:tc>
        <w:tc>
          <w:tcPr>
            <w:tcW w:w="1276" w:type="dxa"/>
            <w:vAlign w:val="center"/>
          </w:tcPr>
          <w:p>
            <w:pPr>
              <w:pStyle w:val="13"/>
            </w:pPr>
            <w:r>
              <w:t>合同约定次数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≥3.6万元</w:t>
            </w:r>
          </w:p>
        </w:tc>
        <w:tc>
          <w:tcPr>
            <w:tcW w:w="1276" w:type="dxa"/>
            <w:vAlign w:val="center"/>
          </w:tcPr>
          <w:p>
            <w:pPr>
              <w:pStyle w:val="13"/>
            </w:pPr>
            <w:r>
              <w:t>项目预算资金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完成及时率</w:t>
            </w:r>
          </w:p>
        </w:tc>
        <w:tc>
          <w:tcPr>
            <w:tcW w:w="5386" w:type="dxa"/>
            <w:vAlign w:val="center"/>
          </w:tcPr>
          <w:p>
            <w:pPr>
              <w:pStyle w:val="13"/>
            </w:pPr>
            <w:r>
              <w:rPr>
                <w:rFonts w:hint="eastAsia"/>
                <w:lang w:eastAsia="zh-CN"/>
              </w:rPr>
              <w:t>“十五五”规划</w:t>
            </w:r>
            <w:r>
              <w:t>完成及时率</w:t>
            </w:r>
          </w:p>
        </w:tc>
        <w:tc>
          <w:tcPr>
            <w:tcW w:w="2268" w:type="dxa"/>
            <w:vAlign w:val="center"/>
          </w:tcPr>
          <w:p>
            <w:pPr>
              <w:pStyle w:val="13"/>
            </w:pPr>
            <w:r>
              <w:t>≥100%</w:t>
            </w:r>
          </w:p>
        </w:tc>
        <w:tc>
          <w:tcPr>
            <w:tcW w:w="1276" w:type="dxa"/>
            <w:vAlign w:val="center"/>
          </w:tcPr>
          <w:p>
            <w:pPr>
              <w:pStyle w:val="13"/>
            </w:pPr>
            <w:r>
              <w:t>人大会审议时间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lang w:eastAsia="zh-CN"/>
              </w:rPr>
              <w:t>“十五五”规划</w:t>
            </w:r>
            <w:r>
              <w:t>对经济社会发展的贡献程度</w:t>
            </w:r>
          </w:p>
        </w:tc>
        <w:tc>
          <w:tcPr>
            <w:tcW w:w="5386" w:type="dxa"/>
            <w:vAlign w:val="center"/>
          </w:tcPr>
          <w:p>
            <w:pPr>
              <w:pStyle w:val="13"/>
            </w:pPr>
            <w:r>
              <w:rPr>
                <w:rFonts w:hint="eastAsia"/>
                <w:lang w:eastAsia="zh-CN"/>
              </w:rPr>
              <w:t>“十五五”规划</w:t>
            </w:r>
            <w:r>
              <w:t>对经济社会发展的指导作用</w:t>
            </w:r>
          </w:p>
        </w:tc>
        <w:tc>
          <w:tcPr>
            <w:tcW w:w="2268" w:type="dxa"/>
            <w:vAlign w:val="center"/>
          </w:tcPr>
          <w:p>
            <w:pPr>
              <w:pStyle w:val="13"/>
            </w:pPr>
            <w:r>
              <w:t>≥90%</w:t>
            </w:r>
          </w:p>
        </w:tc>
        <w:tc>
          <w:tcPr>
            <w:tcW w:w="1276" w:type="dxa"/>
            <w:vAlign w:val="center"/>
          </w:tcPr>
          <w:p>
            <w:pPr>
              <w:pStyle w:val="13"/>
            </w:pPr>
            <w:r>
              <w:t>规划对县域经济的作用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w:t>
            </w:r>
            <w:r>
              <w:rPr>
                <w:rFonts w:hint="eastAsia"/>
                <w:lang w:eastAsia="zh-CN"/>
              </w:rPr>
              <w:t>“十五五”规划</w:t>
            </w:r>
            <w:r>
              <w:t>满意度</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14、隆尧县在建重点项目实施视频全覆盖绩效目标表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13052526P000002101669</w:t>
            </w:r>
          </w:p>
        </w:tc>
        <w:tc>
          <w:tcPr>
            <w:tcW w:w="2835" w:type="dxa"/>
            <w:vAlign w:val="center"/>
          </w:tcPr>
          <w:p>
            <w:pPr>
              <w:pStyle w:val="11"/>
            </w:pPr>
            <w:r>
              <w:t>项目名称</w:t>
            </w:r>
          </w:p>
        </w:tc>
        <w:tc>
          <w:tcPr>
            <w:tcW w:w="6095" w:type="dxa"/>
            <w:gridSpan w:val="3"/>
            <w:vAlign w:val="center"/>
          </w:tcPr>
          <w:p>
            <w:pPr>
              <w:pStyle w:val="13"/>
            </w:pPr>
            <w:r>
              <w:t>隆尧县在建重点项目实施视频全覆盖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对全县重点项目建设进行视频建设，加快建设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1.对全县重点在建项目实施视频全覆盖，促进项目建设发展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实施视频覆盖项目数量</w:t>
            </w:r>
          </w:p>
        </w:tc>
        <w:tc>
          <w:tcPr>
            <w:tcW w:w="5386" w:type="dxa"/>
            <w:vAlign w:val="center"/>
          </w:tcPr>
          <w:p>
            <w:pPr>
              <w:pStyle w:val="13"/>
            </w:pPr>
            <w:r>
              <w:t>上级要求实施视频覆盖项目个数（个）</w:t>
            </w:r>
          </w:p>
        </w:tc>
        <w:tc>
          <w:tcPr>
            <w:tcW w:w="2268" w:type="dxa"/>
            <w:vAlign w:val="center"/>
          </w:tcPr>
          <w:p>
            <w:pPr>
              <w:pStyle w:val="13"/>
            </w:pPr>
            <w:r>
              <w:t>11个</w:t>
            </w:r>
          </w:p>
        </w:tc>
        <w:tc>
          <w:tcPr>
            <w:tcW w:w="1276" w:type="dxa"/>
            <w:vAlign w:val="center"/>
          </w:tcPr>
          <w:p>
            <w:pPr>
              <w:pStyle w:val="13"/>
            </w:pPr>
            <w:r>
              <w:t>市重点办文件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视频精准化覆盖工作完成率</w:t>
            </w:r>
          </w:p>
        </w:tc>
        <w:tc>
          <w:tcPr>
            <w:tcW w:w="5386" w:type="dxa"/>
            <w:vAlign w:val="center"/>
          </w:tcPr>
          <w:p>
            <w:pPr>
              <w:pStyle w:val="13"/>
            </w:pPr>
            <w:r>
              <w:t>视频精准化覆盖完成项目个数/应实施项目个数*100%</w:t>
            </w:r>
          </w:p>
        </w:tc>
        <w:tc>
          <w:tcPr>
            <w:tcW w:w="2268" w:type="dxa"/>
            <w:vAlign w:val="center"/>
          </w:tcPr>
          <w:p>
            <w:pPr>
              <w:pStyle w:val="13"/>
            </w:pPr>
            <w:r>
              <w:t>≥95%</w:t>
            </w:r>
          </w:p>
        </w:tc>
        <w:tc>
          <w:tcPr>
            <w:tcW w:w="1276" w:type="dxa"/>
            <w:vAlign w:val="center"/>
          </w:tcPr>
          <w:p>
            <w:pPr>
              <w:pStyle w:val="13"/>
            </w:pPr>
            <w:r>
              <w:t>市重点办文件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上级要求时间内任务完成及时率</w:t>
            </w:r>
          </w:p>
        </w:tc>
        <w:tc>
          <w:tcPr>
            <w:tcW w:w="2268" w:type="dxa"/>
            <w:vAlign w:val="center"/>
          </w:tcPr>
          <w:p>
            <w:pPr>
              <w:pStyle w:val="13"/>
            </w:pPr>
            <w:r>
              <w:t>≥95%</w:t>
            </w:r>
          </w:p>
        </w:tc>
        <w:tc>
          <w:tcPr>
            <w:tcW w:w="1276" w:type="dxa"/>
            <w:vAlign w:val="center"/>
          </w:tcPr>
          <w:p>
            <w:pPr>
              <w:pStyle w:val="13"/>
            </w:pPr>
            <w:r>
              <w:t>上级要求及合同约定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实施重点项目视频全覆盖的总成本</w:t>
            </w:r>
          </w:p>
        </w:tc>
        <w:tc>
          <w:tcPr>
            <w:tcW w:w="2268" w:type="dxa"/>
            <w:vAlign w:val="center"/>
          </w:tcPr>
          <w:p>
            <w:pPr>
              <w:pStyle w:val="13"/>
            </w:pPr>
            <w:r>
              <w:t>≤0.9万</w:t>
            </w:r>
          </w:p>
        </w:tc>
        <w:tc>
          <w:tcPr>
            <w:tcW w:w="1276" w:type="dxa"/>
            <w:vAlign w:val="center"/>
          </w:tcPr>
          <w:p>
            <w:pPr>
              <w:pStyle w:val="13"/>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经济发展</w:t>
            </w:r>
          </w:p>
        </w:tc>
        <w:tc>
          <w:tcPr>
            <w:tcW w:w="5386" w:type="dxa"/>
            <w:vAlign w:val="center"/>
          </w:tcPr>
          <w:p>
            <w:pPr>
              <w:pStyle w:val="13"/>
            </w:pPr>
            <w:r>
              <w:t>实施视频全覆盖项目对经济发展的带动作用</w:t>
            </w:r>
          </w:p>
        </w:tc>
        <w:tc>
          <w:tcPr>
            <w:tcW w:w="2268" w:type="dxa"/>
            <w:vAlign w:val="center"/>
          </w:tcPr>
          <w:p>
            <w:pPr>
              <w:pStyle w:val="13"/>
            </w:pPr>
            <w:r>
              <w:t>≥3%</w:t>
            </w:r>
          </w:p>
        </w:tc>
        <w:tc>
          <w:tcPr>
            <w:tcW w:w="1276" w:type="dxa"/>
            <w:vAlign w:val="center"/>
          </w:tcPr>
          <w:p>
            <w:pPr>
              <w:pStyle w:val="13"/>
            </w:pPr>
            <w:r>
              <w:t>依据历史经验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企业对实施重点项目全覆盖的满意度</w:t>
            </w:r>
          </w:p>
        </w:tc>
        <w:tc>
          <w:tcPr>
            <w:tcW w:w="2268" w:type="dxa"/>
            <w:vAlign w:val="center"/>
          </w:tcPr>
          <w:p>
            <w:pPr>
              <w:pStyle w:val="13"/>
            </w:pPr>
            <w:r>
              <w:t>≥90%</w:t>
            </w:r>
          </w:p>
        </w:tc>
        <w:tc>
          <w:tcPr>
            <w:tcW w:w="1276" w:type="dxa"/>
            <w:vAlign w:val="center"/>
          </w:tcPr>
          <w:p>
            <w:pPr>
              <w:pStyle w:val="13"/>
            </w:pPr>
            <w:r>
              <w:t>依据历史经验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15、全县食盐储备资金项目绩效目标表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13052526P00000210163E</w:t>
            </w:r>
          </w:p>
        </w:tc>
        <w:tc>
          <w:tcPr>
            <w:tcW w:w="2835" w:type="dxa"/>
            <w:vAlign w:val="center"/>
          </w:tcPr>
          <w:p>
            <w:pPr>
              <w:pStyle w:val="11"/>
            </w:pPr>
            <w:r>
              <w:t>项目名称</w:t>
            </w:r>
          </w:p>
        </w:tc>
        <w:tc>
          <w:tcPr>
            <w:tcW w:w="6095" w:type="dxa"/>
            <w:gridSpan w:val="3"/>
            <w:vAlign w:val="center"/>
          </w:tcPr>
          <w:p>
            <w:pPr>
              <w:pStyle w:val="13"/>
            </w:pPr>
            <w:r>
              <w:t>全县食盐储备资金项目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保障食盐储备粮充足，维护社会稳定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1.保证食盐储备，促进市场稳定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储存食盐数量</w:t>
            </w:r>
          </w:p>
        </w:tc>
        <w:tc>
          <w:tcPr>
            <w:tcW w:w="5386" w:type="dxa"/>
            <w:vAlign w:val="center"/>
          </w:tcPr>
          <w:p>
            <w:pPr>
              <w:pStyle w:val="13"/>
            </w:pPr>
            <w:r>
              <w:t>储存食盐数量（吨）</w:t>
            </w:r>
          </w:p>
        </w:tc>
        <w:tc>
          <w:tcPr>
            <w:tcW w:w="2268" w:type="dxa"/>
            <w:vAlign w:val="center"/>
          </w:tcPr>
          <w:p>
            <w:pPr>
              <w:pStyle w:val="13"/>
            </w:pPr>
            <w:r>
              <w:t>≥150吨</w:t>
            </w:r>
          </w:p>
        </w:tc>
        <w:tc>
          <w:tcPr>
            <w:tcW w:w="1276" w:type="dxa"/>
            <w:vAlign w:val="center"/>
          </w:tcPr>
          <w:p>
            <w:pPr>
              <w:pStyle w:val="13"/>
            </w:pPr>
            <w:r>
              <w:t>食盐储备要求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储备食盐合格数量/储备食盐数量*100%</w:t>
            </w:r>
          </w:p>
        </w:tc>
        <w:tc>
          <w:tcPr>
            <w:tcW w:w="2268" w:type="dxa"/>
            <w:vAlign w:val="center"/>
          </w:tcPr>
          <w:p>
            <w:pPr>
              <w:pStyle w:val="13"/>
            </w:pPr>
            <w:r>
              <w:t>100%</w:t>
            </w:r>
          </w:p>
        </w:tc>
        <w:tc>
          <w:tcPr>
            <w:tcW w:w="1276" w:type="dxa"/>
            <w:vAlign w:val="center"/>
          </w:tcPr>
          <w:p>
            <w:pPr>
              <w:pStyle w:val="13"/>
            </w:pPr>
            <w:r>
              <w:t>食盐储备要求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市场价格稳定</w:t>
            </w:r>
          </w:p>
        </w:tc>
        <w:tc>
          <w:tcPr>
            <w:tcW w:w="5386" w:type="dxa"/>
            <w:vAlign w:val="center"/>
          </w:tcPr>
          <w:p>
            <w:pPr>
              <w:pStyle w:val="13"/>
            </w:pPr>
            <w:r>
              <w:t>食盐市场价格稳定情况</w:t>
            </w:r>
          </w:p>
        </w:tc>
        <w:tc>
          <w:tcPr>
            <w:tcW w:w="2268" w:type="dxa"/>
            <w:vAlign w:val="center"/>
          </w:tcPr>
          <w:p>
            <w:pPr>
              <w:pStyle w:val="13"/>
            </w:pPr>
            <w:r>
              <w:t>100市场稳定</w:t>
            </w:r>
          </w:p>
        </w:tc>
        <w:tc>
          <w:tcPr>
            <w:tcW w:w="1276" w:type="dxa"/>
            <w:vAlign w:val="center"/>
          </w:tcPr>
          <w:p>
            <w:pPr>
              <w:pStyle w:val="13"/>
            </w:pPr>
            <w:r>
              <w:t>食盐储备目标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食盐储备项目成本</w:t>
            </w:r>
          </w:p>
        </w:tc>
        <w:tc>
          <w:tcPr>
            <w:tcW w:w="2268" w:type="dxa"/>
            <w:vAlign w:val="center"/>
          </w:tcPr>
          <w:p>
            <w:pPr>
              <w:pStyle w:val="13"/>
            </w:pPr>
            <w:r>
              <w:t>0.9万元</w:t>
            </w:r>
          </w:p>
        </w:tc>
        <w:tc>
          <w:tcPr>
            <w:tcW w:w="1276" w:type="dxa"/>
            <w:vAlign w:val="center"/>
          </w:tcPr>
          <w:p>
            <w:pPr>
              <w:pStyle w:val="13"/>
            </w:pPr>
            <w:r>
              <w:t>2026年初预算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应急保障率</w:t>
            </w:r>
          </w:p>
        </w:tc>
        <w:tc>
          <w:tcPr>
            <w:tcW w:w="5386" w:type="dxa"/>
            <w:vAlign w:val="center"/>
          </w:tcPr>
          <w:p>
            <w:pPr>
              <w:pStyle w:val="13"/>
            </w:pPr>
            <w:r>
              <w:t>食盐储备应急保障率</w:t>
            </w:r>
          </w:p>
        </w:tc>
        <w:tc>
          <w:tcPr>
            <w:tcW w:w="2268" w:type="dxa"/>
            <w:vAlign w:val="center"/>
          </w:tcPr>
          <w:p>
            <w:pPr>
              <w:pStyle w:val="13"/>
            </w:pPr>
            <w:r>
              <w:t>100保障市场供应</w:t>
            </w:r>
          </w:p>
        </w:tc>
        <w:tc>
          <w:tcPr>
            <w:tcW w:w="1276" w:type="dxa"/>
            <w:vAlign w:val="center"/>
          </w:tcPr>
          <w:p>
            <w:pPr>
              <w:pStyle w:val="13"/>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≥95%</w:t>
            </w:r>
          </w:p>
        </w:tc>
        <w:tc>
          <w:tcPr>
            <w:tcW w:w="1276" w:type="dxa"/>
            <w:vAlign w:val="center"/>
          </w:tcPr>
          <w:p>
            <w:pPr>
              <w:pStyle w:val="13"/>
            </w:pPr>
            <w:r>
              <w:t>依据历史数据推算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16、全县重点项目建设经费绩效目标表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13052526P000002101475</w:t>
            </w:r>
          </w:p>
        </w:tc>
        <w:tc>
          <w:tcPr>
            <w:tcW w:w="2835" w:type="dxa"/>
            <w:vAlign w:val="center"/>
          </w:tcPr>
          <w:p>
            <w:pPr>
              <w:pStyle w:val="11"/>
            </w:pPr>
            <w:r>
              <w:t>项目名称</w:t>
            </w:r>
          </w:p>
        </w:tc>
        <w:tc>
          <w:tcPr>
            <w:tcW w:w="6095" w:type="dxa"/>
            <w:gridSpan w:val="3"/>
            <w:vAlign w:val="center"/>
          </w:tcPr>
          <w:p>
            <w:pPr>
              <w:pStyle w:val="13"/>
            </w:pPr>
            <w:r>
              <w:t>全县重点项目建设经费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用于建设重点项目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1.积极谋划，争列省市重点，积极推动重点项目建设，促进经济发展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亿元以上建设项目个数</w:t>
            </w:r>
          </w:p>
        </w:tc>
        <w:tc>
          <w:tcPr>
            <w:tcW w:w="5386" w:type="dxa"/>
            <w:vAlign w:val="center"/>
          </w:tcPr>
          <w:p>
            <w:pPr>
              <w:pStyle w:val="13"/>
            </w:pPr>
            <w:r>
              <w:t>亿元以上全年建设项目个数</w:t>
            </w:r>
          </w:p>
        </w:tc>
        <w:tc>
          <w:tcPr>
            <w:tcW w:w="2268" w:type="dxa"/>
            <w:vAlign w:val="center"/>
          </w:tcPr>
          <w:p>
            <w:pPr>
              <w:pStyle w:val="13"/>
            </w:pPr>
            <w:r>
              <w:t>≥8个</w:t>
            </w:r>
          </w:p>
        </w:tc>
        <w:tc>
          <w:tcPr>
            <w:tcW w:w="1276" w:type="dxa"/>
            <w:vAlign w:val="center"/>
          </w:tcPr>
          <w:p>
            <w:pPr>
              <w:pStyle w:val="13"/>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项目完工验收合格率</w:t>
            </w:r>
          </w:p>
        </w:tc>
        <w:tc>
          <w:tcPr>
            <w:tcW w:w="2268" w:type="dxa"/>
            <w:vAlign w:val="center"/>
          </w:tcPr>
          <w:p>
            <w:pPr>
              <w:pStyle w:val="13"/>
            </w:pPr>
            <w:r>
              <w:t>100%</w:t>
            </w:r>
          </w:p>
        </w:tc>
        <w:tc>
          <w:tcPr>
            <w:tcW w:w="1276" w:type="dxa"/>
            <w:vAlign w:val="center"/>
          </w:tcPr>
          <w:p>
            <w:pPr>
              <w:pStyle w:val="13"/>
            </w:pPr>
            <w:r>
              <w:t>项目验收率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项目投产率</w:t>
            </w:r>
          </w:p>
        </w:tc>
        <w:tc>
          <w:tcPr>
            <w:tcW w:w="5386" w:type="dxa"/>
            <w:vAlign w:val="center"/>
          </w:tcPr>
          <w:p>
            <w:pPr>
              <w:pStyle w:val="13"/>
            </w:pPr>
            <w:r>
              <w:t>全年项目完工率</w:t>
            </w:r>
          </w:p>
        </w:tc>
        <w:tc>
          <w:tcPr>
            <w:tcW w:w="2268" w:type="dxa"/>
            <w:vAlign w:val="center"/>
          </w:tcPr>
          <w:p>
            <w:pPr>
              <w:pStyle w:val="13"/>
            </w:pPr>
            <w:r>
              <w:t>≥100%</w:t>
            </w:r>
          </w:p>
        </w:tc>
        <w:tc>
          <w:tcPr>
            <w:tcW w:w="1276" w:type="dxa"/>
            <w:vAlign w:val="center"/>
          </w:tcPr>
          <w:p>
            <w:pPr>
              <w:pStyle w:val="13"/>
            </w:pPr>
            <w:r>
              <w:t>项目完工率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项目总投入</w:t>
            </w:r>
          </w:p>
        </w:tc>
        <w:tc>
          <w:tcPr>
            <w:tcW w:w="5386" w:type="dxa"/>
            <w:vAlign w:val="center"/>
          </w:tcPr>
          <w:p>
            <w:pPr>
              <w:pStyle w:val="13"/>
            </w:pPr>
            <w:r>
              <w:t>全年项目经费总投入</w:t>
            </w:r>
          </w:p>
        </w:tc>
        <w:tc>
          <w:tcPr>
            <w:tcW w:w="2268" w:type="dxa"/>
            <w:vAlign w:val="center"/>
          </w:tcPr>
          <w:p>
            <w:pPr>
              <w:pStyle w:val="13"/>
            </w:pPr>
            <w:r>
              <w:t>2万</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对全县经济社会发展贡献率</w:t>
            </w:r>
          </w:p>
        </w:tc>
        <w:tc>
          <w:tcPr>
            <w:tcW w:w="5386" w:type="dxa"/>
            <w:vAlign w:val="center"/>
          </w:tcPr>
          <w:p>
            <w:pPr>
              <w:pStyle w:val="13"/>
            </w:pPr>
            <w:r>
              <w:t>拉动经济增长百分比</w:t>
            </w:r>
          </w:p>
        </w:tc>
        <w:tc>
          <w:tcPr>
            <w:tcW w:w="2268" w:type="dxa"/>
            <w:vAlign w:val="center"/>
          </w:tcPr>
          <w:p>
            <w:pPr>
              <w:pStyle w:val="13"/>
            </w:pPr>
            <w:r>
              <w:t>≥3%</w:t>
            </w:r>
          </w:p>
        </w:tc>
        <w:tc>
          <w:tcPr>
            <w:tcW w:w="1276" w:type="dxa"/>
            <w:vAlign w:val="center"/>
          </w:tcPr>
          <w:p>
            <w:pPr>
              <w:pStyle w:val="13"/>
            </w:pPr>
            <w:r>
              <w:t>官方公布经济数据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群众对该项目满意程度调查</w:t>
            </w:r>
          </w:p>
        </w:tc>
        <w:tc>
          <w:tcPr>
            <w:tcW w:w="2268" w:type="dxa"/>
            <w:vAlign w:val="center"/>
          </w:tcPr>
          <w:p>
            <w:pPr>
              <w:pStyle w:val="13"/>
            </w:pPr>
            <w:r>
              <w:t>≥90%</w:t>
            </w:r>
          </w:p>
        </w:tc>
        <w:tc>
          <w:tcPr>
            <w:tcW w:w="1276" w:type="dxa"/>
            <w:vAlign w:val="center"/>
          </w:tcPr>
          <w:p>
            <w:pPr>
              <w:pStyle w:val="13"/>
            </w:pPr>
            <w:r>
              <w:t>依据历史数据推算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17、退役军人公益岗绩效目标表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13052526P00870710027B</w:t>
            </w:r>
          </w:p>
        </w:tc>
        <w:tc>
          <w:tcPr>
            <w:tcW w:w="2835" w:type="dxa"/>
            <w:vAlign w:val="center"/>
          </w:tcPr>
          <w:p>
            <w:pPr>
              <w:pStyle w:val="11"/>
            </w:pPr>
            <w:r>
              <w:t>项目名称</w:t>
            </w:r>
          </w:p>
        </w:tc>
        <w:tc>
          <w:tcPr>
            <w:tcW w:w="6095" w:type="dxa"/>
            <w:gridSpan w:val="3"/>
            <w:vAlign w:val="center"/>
          </w:tcPr>
          <w:p>
            <w:pPr>
              <w:pStyle w:val="13"/>
            </w:pPr>
            <w:r>
              <w:t>退役军人公益岗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20.20</w:t>
            </w:r>
          </w:p>
        </w:tc>
        <w:tc>
          <w:tcPr>
            <w:tcW w:w="2835" w:type="dxa"/>
            <w:vAlign w:val="center"/>
          </w:tcPr>
          <w:p>
            <w:pPr>
              <w:pStyle w:val="11"/>
            </w:pPr>
            <w:r>
              <w:t>其中：财政    资金</w:t>
            </w:r>
          </w:p>
        </w:tc>
        <w:tc>
          <w:tcPr>
            <w:tcW w:w="2551" w:type="dxa"/>
            <w:vAlign w:val="center"/>
          </w:tcPr>
          <w:p>
            <w:pPr>
              <w:pStyle w:val="13"/>
            </w:pPr>
            <w:r>
              <w:t>20.20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做好退役军人维稳工作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1.做好退役军人维稳工作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总人数</w:t>
            </w:r>
          </w:p>
        </w:tc>
        <w:tc>
          <w:tcPr>
            <w:tcW w:w="5386" w:type="dxa"/>
            <w:vAlign w:val="center"/>
          </w:tcPr>
          <w:p>
            <w:pPr>
              <w:pStyle w:val="13"/>
            </w:pPr>
            <w:r>
              <w:t>最新退役军人专岗总人数</w:t>
            </w:r>
          </w:p>
        </w:tc>
        <w:tc>
          <w:tcPr>
            <w:tcW w:w="2268" w:type="dxa"/>
            <w:vAlign w:val="center"/>
          </w:tcPr>
          <w:p>
            <w:pPr>
              <w:pStyle w:val="13"/>
            </w:pPr>
            <w:r>
              <w:t>5人</w:t>
            </w:r>
          </w:p>
        </w:tc>
        <w:tc>
          <w:tcPr>
            <w:tcW w:w="1276" w:type="dxa"/>
            <w:vAlign w:val="center"/>
          </w:tcPr>
          <w:p>
            <w:pPr>
              <w:pStyle w:val="13"/>
            </w:pPr>
            <w:r>
              <w:t>最新人员花名册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5386" w:type="dxa"/>
            <w:vAlign w:val="center"/>
          </w:tcPr>
          <w:p>
            <w:pPr>
              <w:pStyle w:val="13"/>
            </w:pPr>
            <w:r>
              <w:t>资金用于退役军人专岗概率</w:t>
            </w:r>
          </w:p>
        </w:tc>
        <w:tc>
          <w:tcPr>
            <w:tcW w:w="2268" w:type="dxa"/>
            <w:vAlign w:val="center"/>
          </w:tcPr>
          <w:p>
            <w:pPr>
              <w:pStyle w:val="13"/>
            </w:pPr>
            <w:r>
              <w:t>100%</w:t>
            </w:r>
          </w:p>
        </w:tc>
        <w:tc>
          <w:tcPr>
            <w:tcW w:w="1276" w:type="dxa"/>
            <w:vAlign w:val="center"/>
          </w:tcPr>
          <w:p>
            <w:pPr>
              <w:pStyle w:val="13"/>
            </w:pPr>
            <w:r>
              <w:t>最新人员花名册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退役军人专岗资金使用率</w:t>
            </w:r>
          </w:p>
        </w:tc>
        <w:tc>
          <w:tcPr>
            <w:tcW w:w="2268" w:type="dxa"/>
            <w:vAlign w:val="center"/>
          </w:tcPr>
          <w:p>
            <w:pPr>
              <w:pStyle w:val="13"/>
            </w:pPr>
            <w:r>
              <w:t>100%</w:t>
            </w:r>
          </w:p>
        </w:tc>
        <w:tc>
          <w:tcPr>
            <w:tcW w:w="1276" w:type="dxa"/>
            <w:vAlign w:val="center"/>
          </w:tcPr>
          <w:p>
            <w:pPr>
              <w:pStyle w:val="13"/>
            </w:pPr>
            <w:r>
              <w:t>最新人员花名册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退役军人专岗总资金</w:t>
            </w:r>
          </w:p>
        </w:tc>
        <w:tc>
          <w:tcPr>
            <w:tcW w:w="2268" w:type="dxa"/>
            <w:vAlign w:val="center"/>
          </w:tcPr>
          <w:p>
            <w:pPr>
              <w:pStyle w:val="13"/>
            </w:pPr>
            <w:r>
              <w:t>202037.2元</w:t>
            </w:r>
          </w:p>
        </w:tc>
        <w:tc>
          <w:tcPr>
            <w:tcW w:w="1276" w:type="dxa"/>
            <w:vAlign w:val="center"/>
          </w:tcPr>
          <w:p>
            <w:pPr>
              <w:pStyle w:val="13"/>
            </w:pPr>
            <w:r>
              <w:t>最新人员花名册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促进社会和谐稳定</w:t>
            </w:r>
          </w:p>
        </w:tc>
        <w:tc>
          <w:tcPr>
            <w:tcW w:w="5386" w:type="dxa"/>
            <w:vAlign w:val="center"/>
          </w:tcPr>
          <w:p>
            <w:pPr>
              <w:pStyle w:val="13"/>
            </w:pPr>
            <w:r>
              <w:t>做好退役军人维稳，促进社会和谐稳定</w:t>
            </w:r>
          </w:p>
        </w:tc>
        <w:tc>
          <w:tcPr>
            <w:tcW w:w="2268" w:type="dxa"/>
            <w:vAlign w:val="center"/>
          </w:tcPr>
          <w:p>
            <w:pPr>
              <w:pStyle w:val="13"/>
            </w:pPr>
            <w:r>
              <w:t>100%</w:t>
            </w:r>
          </w:p>
        </w:tc>
        <w:tc>
          <w:tcPr>
            <w:tcW w:w="1276" w:type="dxa"/>
            <w:vAlign w:val="center"/>
          </w:tcPr>
          <w:p>
            <w:pPr>
              <w:pStyle w:val="13"/>
            </w:pPr>
            <w:r>
              <w:t>最新人员花名册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≥95%</w:t>
            </w:r>
          </w:p>
        </w:tc>
        <w:tc>
          <w:tcPr>
            <w:tcW w:w="1276" w:type="dxa"/>
            <w:vAlign w:val="center"/>
          </w:tcPr>
          <w:p>
            <w:pPr>
              <w:pStyle w:val="13"/>
            </w:pPr>
            <w:r>
              <w:t>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18、县级储备粮利息和储存费用绩效目标表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13052526P00000210168G</w:t>
            </w:r>
          </w:p>
        </w:tc>
        <w:tc>
          <w:tcPr>
            <w:tcW w:w="2835" w:type="dxa"/>
            <w:vAlign w:val="center"/>
          </w:tcPr>
          <w:p>
            <w:pPr>
              <w:pStyle w:val="11"/>
            </w:pPr>
            <w:r>
              <w:t>项目名称</w:t>
            </w:r>
          </w:p>
        </w:tc>
        <w:tc>
          <w:tcPr>
            <w:tcW w:w="6095" w:type="dxa"/>
            <w:gridSpan w:val="3"/>
            <w:vAlign w:val="center"/>
          </w:tcPr>
          <w:p>
            <w:pPr>
              <w:pStyle w:val="13"/>
            </w:pPr>
            <w:r>
              <w:t>县级储备粮利息和储存费用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w:t>
            </w:r>
          </w:p>
        </w:tc>
        <w:tc>
          <w:tcPr>
            <w:tcW w:w="2835" w:type="dxa"/>
            <w:vAlign w:val="center"/>
          </w:tcPr>
          <w:p>
            <w:pPr>
              <w:pStyle w:val="11"/>
            </w:pPr>
            <w:r>
              <w:t>其中：财政    资金</w:t>
            </w:r>
          </w:p>
        </w:tc>
        <w:tc>
          <w:tcPr>
            <w:tcW w:w="2551" w:type="dxa"/>
            <w:vAlign w:val="center"/>
          </w:tcPr>
          <w:p>
            <w:pPr>
              <w:pStyle w:val="13"/>
            </w:pPr>
            <w:r>
              <w:t>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保障粮食安全，维护社会稳定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1.落实县级储备粮政策，保障粮食安全，维护社会稳定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储备粮食数量</w:t>
            </w:r>
          </w:p>
        </w:tc>
        <w:tc>
          <w:tcPr>
            <w:tcW w:w="5386" w:type="dxa"/>
            <w:vAlign w:val="center"/>
          </w:tcPr>
          <w:p>
            <w:pPr>
              <w:pStyle w:val="13"/>
            </w:pPr>
            <w:r>
              <w:t>落实县级储备粮食数量</w:t>
            </w:r>
          </w:p>
        </w:tc>
        <w:tc>
          <w:tcPr>
            <w:tcW w:w="2268" w:type="dxa"/>
            <w:vAlign w:val="center"/>
          </w:tcPr>
          <w:p>
            <w:pPr>
              <w:pStyle w:val="13"/>
            </w:pPr>
            <w:r>
              <w:t>4万吨</w:t>
            </w:r>
          </w:p>
        </w:tc>
        <w:tc>
          <w:tcPr>
            <w:tcW w:w="1276" w:type="dxa"/>
            <w:vAlign w:val="center"/>
          </w:tcPr>
          <w:p>
            <w:pPr>
              <w:pStyle w:val="13"/>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粮食质量达标率</w:t>
            </w:r>
          </w:p>
        </w:tc>
        <w:tc>
          <w:tcPr>
            <w:tcW w:w="5386" w:type="dxa"/>
            <w:vAlign w:val="center"/>
          </w:tcPr>
          <w:p>
            <w:pPr>
              <w:pStyle w:val="13"/>
            </w:pPr>
            <w:r>
              <w:t>县级储备粮食质量达标率*100%</w:t>
            </w:r>
          </w:p>
        </w:tc>
        <w:tc>
          <w:tcPr>
            <w:tcW w:w="2268" w:type="dxa"/>
            <w:vAlign w:val="center"/>
          </w:tcPr>
          <w:p>
            <w:pPr>
              <w:pStyle w:val="13"/>
            </w:pPr>
            <w:r>
              <w:t>≥98%</w:t>
            </w:r>
          </w:p>
        </w:tc>
        <w:tc>
          <w:tcPr>
            <w:tcW w:w="1276" w:type="dxa"/>
            <w:vAlign w:val="center"/>
          </w:tcPr>
          <w:p>
            <w:pPr>
              <w:pStyle w:val="13"/>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完成工作任务及时性</w:t>
            </w:r>
          </w:p>
        </w:tc>
        <w:tc>
          <w:tcPr>
            <w:tcW w:w="5386" w:type="dxa"/>
            <w:vAlign w:val="center"/>
          </w:tcPr>
          <w:p>
            <w:pPr>
              <w:pStyle w:val="13"/>
            </w:pPr>
            <w:r>
              <w:t>完成工作任务及时性</w:t>
            </w:r>
          </w:p>
        </w:tc>
        <w:tc>
          <w:tcPr>
            <w:tcW w:w="2268" w:type="dxa"/>
            <w:vAlign w:val="center"/>
          </w:tcPr>
          <w:p>
            <w:pPr>
              <w:pStyle w:val="13"/>
            </w:pPr>
            <w:r>
              <w:t>100%</w:t>
            </w:r>
          </w:p>
        </w:tc>
        <w:tc>
          <w:tcPr>
            <w:tcW w:w="1276" w:type="dxa"/>
            <w:vAlign w:val="center"/>
          </w:tcPr>
          <w:p>
            <w:pPr>
              <w:pStyle w:val="13"/>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项目预算控制额</w:t>
            </w:r>
          </w:p>
        </w:tc>
        <w:tc>
          <w:tcPr>
            <w:tcW w:w="2268" w:type="dxa"/>
            <w:vAlign w:val="center"/>
          </w:tcPr>
          <w:p>
            <w:pPr>
              <w:pStyle w:val="13"/>
            </w:pPr>
            <w:r>
              <w:t>≤36万元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落实粮食储备政策，维护社会稳定水平</w:t>
            </w:r>
          </w:p>
        </w:tc>
        <w:tc>
          <w:tcPr>
            <w:tcW w:w="2268" w:type="dxa"/>
            <w:vAlign w:val="center"/>
          </w:tcPr>
          <w:p>
            <w:pPr>
              <w:pStyle w:val="13"/>
            </w:pPr>
            <w:r>
              <w:t>100%</w:t>
            </w:r>
          </w:p>
        </w:tc>
        <w:tc>
          <w:tcPr>
            <w:tcW w:w="1276" w:type="dxa"/>
            <w:vAlign w:val="center"/>
          </w:tcPr>
          <w:p>
            <w:pPr>
              <w:pStyle w:val="13"/>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落实上级政策</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7" w:name="_Toc29761"/>
      <w:r>
        <w:rPr>
          <w:rFonts w:hint="eastAsia" w:ascii="黑体" w:hAnsi="黑体" w:eastAsia="黑体" w:cs="黑体"/>
          <w:color w:val="000000"/>
          <w:sz w:val="32"/>
          <w:lang w:eastAsia="zh-CN"/>
        </w:rPr>
        <w:t>九</w:t>
      </w:r>
      <w:r>
        <w:rPr>
          <w:rFonts w:ascii="黑体" w:hAnsi="黑体" w:eastAsia="黑体" w:cs="黑体"/>
          <w:color w:val="000000"/>
          <w:sz w:val="32"/>
        </w:rPr>
        <w:t>、政府采购预算情况</w:t>
      </w:r>
      <w:bookmarkEnd w:id="17"/>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303隆尧县发展和改革局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1500.00</w:t>
            </w:r>
          </w:p>
        </w:tc>
        <w:tc>
          <w:tcPr>
            <w:tcW w:w="964" w:type="dxa"/>
            <w:vAlign w:val="center"/>
          </w:tcPr>
          <w:p>
            <w:pPr>
              <w:pStyle w:val="16"/>
            </w:pPr>
            <w:r>
              <w:t>1500.00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隆尧县发展和改革局本级小计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1500.00</w:t>
            </w:r>
          </w:p>
        </w:tc>
        <w:tc>
          <w:tcPr>
            <w:tcW w:w="964" w:type="dxa"/>
            <w:vAlign w:val="center"/>
          </w:tcPr>
          <w:p>
            <w:pPr>
              <w:pStyle w:val="16"/>
            </w:pPr>
            <w:r>
              <w:t>1500.00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冀财建[2025]126号/中央资金/粮食流通提质增效项目</w:t>
            </w:r>
            <w:r>
              <w:tab/>
            </w:r>
            <w:r>
              <w:tab/>
            </w:r>
          </w:p>
          <w:p>
            <w:pPr>
              <w:pStyle w:val="13"/>
            </w:pPr>
          </w:p>
        </w:tc>
        <w:tc>
          <w:tcPr>
            <w:tcW w:w="964" w:type="dxa"/>
            <w:vAlign w:val="center"/>
          </w:tcPr>
          <w:p>
            <w:pPr>
              <w:pStyle w:val="12"/>
            </w:pPr>
            <w:r>
              <w:t>3500.00</w:t>
            </w:r>
          </w:p>
        </w:tc>
        <w:tc>
          <w:tcPr>
            <w:tcW w:w="1134" w:type="dxa"/>
            <w:vAlign w:val="center"/>
          </w:tcPr>
          <w:p>
            <w:pPr>
              <w:pStyle w:val="13"/>
            </w:pPr>
            <w:r>
              <w:t>仓储用房施工</w:t>
            </w:r>
          </w:p>
        </w:tc>
        <w:tc>
          <w:tcPr>
            <w:tcW w:w="1134" w:type="dxa"/>
            <w:vAlign w:val="center"/>
          </w:tcPr>
          <w:p>
            <w:pPr>
              <w:pStyle w:val="13"/>
            </w:pPr>
            <w:r>
              <w:t>B01022600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1500.00</w:t>
            </w:r>
          </w:p>
        </w:tc>
        <w:tc>
          <w:tcPr>
            <w:tcW w:w="964" w:type="dxa"/>
            <w:vAlign w:val="center"/>
          </w:tcPr>
          <w:p>
            <w:pPr>
              <w:pStyle w:val="12"/>
            </w:pPr>
            <w:r>
              <w:t>1500.00</w:t>
            </w:r>
          </w:p>
        </w:tc>
        <w:tc>
          <w:tcPr>
            <w:tcW w:w="964" w:type="dxa"/>
            <w:vAlign w:val="center"/>
          </w:tcPr>
          <w:p>
            <w:pPr>
              <w:pStyle w:val="12"/>
            </w:pPr>
            <w:r>
              <w:t>1500.00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23076"/>
      <w:r>
        <w:rPr>
          <w:rFonts w:hint="eastAsia" w:ascii="黑体" w:hAnsi="黑体" w:eastAsia="黑体" w:cs="黑体"/>
          <w:color w:val="000000"/>
          <w:sz w:val="32"/>
          <w:lang w:eastAsia="zh-CN"/>
        </w:rPr>
        <w:t>十</w:t>
      </w:r>
      <w:r>
        <w:rPr>
          <w:rFonts w:ascii="黑体" w:hAnsi="黑体" w:eastAsia="黑体" w:cs="黑体"/>
          <w:color w:val="000000"/>
          <w:sz w:val="32"/>
        </w:rPr>
        <w:t>、国有资产信息</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隆尧县发展和改革局（含所属单位）上年末固定资产金额为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303隆尧县发展和改革局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9" w:name="_Toc1576"/>
      <w:r>
        <w:rPr>
          <w:rFonts w:ascii="黑体" w:hAnsi="黑体" w:eastAsia="黑体" w:cs="黑体"/>
          <w:color w:val="000000"/>
          <w:sz w:val="32"/>
        </w:rPr>
        <w:t>十</w:t>
      </w:r>
      <w:r>
        <w:rPr>
          <w:rFonts w:hint="eastAsia" w:ascii="黑体" w:hAnsi="黑体" w:eastAsia="黑体" w:cs="黑体"/>
          <w:color w:val="000000"/>
          <w:sz w:val="32"/>
          <w:lang w:eastAsia="zh-CN"/>
        </w:rPr>
        <w:t>一</w:t>
      </w:r>
      <w:r>
        <w:rPr>
          <w:rFonts w:ascii="黑体" w:hAnsi="黑体" w:eastAsia="黑体" w:cs="黑体"/>
          <w:color w:val="000000"/>
          <w:sz w:val="32"/>
        </w:rPr>
        <w:t>、名词解释</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27201"/>
      <w:r>
        <w:rPr>
          <w:rFonts w:ascii="黑体" w:hAnsi="黑体" w:eastAsia="黑体" w:cs="黑体"/>
          <w:color w:val="000000"/>
          <w:sz w:val="32"/>
        </w:rPr>
        <w:t>十</w:t>
      </w:r>
      <w:r>
        <w:rPr>
          <w:rFonts w:hint="eastAsia" w:ascii="黑体" w:hAnsi="黑体" w:eastAsia="黑体" w:cs="黑体"/>
          <w:color w:val="000000"/>
          <w:sz w:val="32"/>
          <w:lang w:eastAsia="zh-CN"/>
        </w:rPr>
        <w:t>二</w:t>
      </w:r>
      <w:r>
        <w:rPr>
          <w:rFonts w:ascii="黑体" w:hAnsi="黑体" w:eastAsia="黑体" w:cs="黑体"/>
          <w:color w:val="000000"/>
          <w:sz w:val="32"/>
        </w:rPr>
        <w:t>、其他需要说明的事项</w:t>
      </w:r>
      <w:bookmarkEnd w:id="20"/>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989842F"/>
    <w:multiLevelType w:val="singleLevel"/>
    <w:tmpl w:val="A989842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80E5235"/>
    <w:rsid w:val="413139FD"/>
    <w:rsid w:val="4EAD6F88"/>
    <w:rsid w:val="50422C36"/>
    <w:rsid w:val="595D2408"/>
    <w:rsid w:val="69F9268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Words>12643</Words>
  <Characters>16170</Characters>
  <TotalTime>0</TotalTime>
  <ScaleCrop>false</ScaleCrop>
  <LinksUpToDate>false</LinksUpToDate>
  <CharactersWithSpaces>16468</CharactersWithSpaces>
  <Application>WPS Office_11.8.2.12300_F1E327BC-269C-435d-A152-05C5408002CA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2026-02-11T09:14:00Z</dcterms:created>
  <dc:creator>Administrator</dc:creator>
  <cp:lastModifiedBy>-.-</cp:lastModifiedBy>
  <dcterms:modified xsi:type="dcterms:W3CDTF">2026-02-28T03:27:31Z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2052-11.8.2.12300</vt:lpwstr>
  </property>
  <property fmtid="{D5CDD505-2E9C-101B-9397-08002B2CF9AE}" pid="3" name="ICV">
    <vt:lpwstr>DEA2B322D79D4ED5B4488E43B1F776C3</vt:lpwstr>
  </property>
</Properties>
</file>