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72"/>
        </w:tabs>
      </w:pPr>
      <w:r>
        <w:fldChar w:fldCharType="begin"/>
      </w:r>
      <w:r>
        <w:instrText xml:space="preserve">TOC \o "4-4" \h \z \u</w:instrText>
      </w:r>
      <w:r>
        <w:fldChar w:fldCharType="separate"/>
      </w:r>
      <w:r>
        <w:fldChar w:fldCharType="begin"/>
      </w:r>
      <w:r>
        <w:instrText xml:space="preserve"> HYPERLINK \l _Toc26483 </w:instrText>
      </w:r>
      <w:r>
        <w:fldChar w:fldCharType="separate"/>
      </w:r>
      <w:r>
        <w:rPr>
          <w:rFonts w:ascii="方正小标宋_GBK" w:hAnsi="方正小标宋_GBK" w:eastAsia="方正小标宋_GBK" w:cs="方正小标宋_GBK"/>
        </w:rPr>
        <w:t>一、隆尧县发展和改革局本级收支预算</w:t>
      </w:r>
      <w:r>
        <w:tab/>
      </w:r>
      <w:r>
        <w:fldChar w:fldCharType="begin"/>
      </w:r>
      <w:r>
        <w:instrText xml:space="preserve"> PAGEREF _Toc26483 \h </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26483"/>
      <w:r>
        <w:rPr>
          <w:rFonts w:ascii="方正小标宋_GBK" w:hAnsi="方正小标宋_GBK" w:eastAsia="方正小标宋_GBK" w:cs="方正小标宋_GBK"/>
          <w:b w:val="0"/>
          <w:color w:val="000000"/>
          <w:sz w:val="44"/>
        </w:rPr>
        <w:t>一、隆尧县发展和改革局本级收支预算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303001隆尧县发展和改革局本级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6311.44</w:t>
            </w:r>
          </w:p>
        </w:tc>
        <w:tc>
          <w:tcPr>
            <w:tcW w:w="4535" w:type="dxa"/>
            <w:vAlign w:val="center"/>
          </w:tcPr>
          <w:p>
            <w:pPr>
              <w:pStyle w:val="12"/>
            </w:pPr>
            <w:r>
              <w:t>一、一般公共服务支出</w:t>
            </w:r>
          </w:p>
        </w:tc>
        <w:tc>
          <w:tcPr>
            <w:tcW w:w="2126" w:type="dxa"/>
            <w:vAlign w:val="center"/>
          </w:tcPr>
          <w:p>
            <w:pPr>
              <w:pStyle w:val="11"/>
            </w:pPr>
            <w:r>
              <w:t>451.41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2238.33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r>
              <w:t>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r>
              <w:t>3537.64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6311.44</w:t>
            </w:r>
          </w:p>
        </w:tc>
        <w:tc>
          <w:tcPr>
            <w:tcW w:w="4535" w:type="dxa"/>
            <w:vAlign w:val="center"/>
          </w:tcPr>
          <w:p>
            <w:pPr>
              <w:pStyle w:val="14"/>
            </w:pPr>
            <w:r>
              <w:t>本年支出合计</w:t>
            </w:r>
          </w:p>
        </w:tc>
        <w:tc>
          <w:tcPr>
            <w:tcW w:w="2126" w:type="dxa"/>
            <w:vAlign w:val="center"/>
          </w:tcPr>
          <w:p>
            <w:pPr>
              <w:pStyle w:val="15"/>
            </w:pPr>
            <w:r>
              <w:t>6941.44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630.00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6941.44</w:t>
            </w:r>
          </w:p>
        </w:tc>
        <w:tc>
          <w:tcPr>
            <w:tcW w:w="4535" w:type="dxa"/>
            <w:vAlign w:val="center"/>
          </w:tcPr>
          <w:p>
            <w:pPr>
              <w:pStyle w:val="14"/>
            </w:pPr>
            <w:r>
              <w:t>支出总计</w:t>
            </w:r>
          </w:p>
        </w:tc>
        <w:tc>
          <w:tcPr>
            <w:tcW w:w="2126" w:type="dxa"/>
            <w:vAlign w:val="center"/>
          </w:tcPr>
          <w:p>
            <w:pPr>
              <w:pStyle w:val="15"/>
            </w:pPr>
            <w:r>
              <w:t>6941.44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303001隆尧县发展和改革局本级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6941.44</w:t>
            </w:r>
          </w:p>
        </w:tc>
        <w:tc>
          <w:tcPr>
            <w:tcW w:w="1134" w:type="dxa"/>
            <w:vAlign w:val="center"/>
          </w:tcPr>
          <w:p>
            <w:pPr>
              <w:pStyle w:val="15"/>
            </w:pPr>
            <w:r>
              <w:t>6311.44</w:t>
            </w:r>
          </w:p>
        </w:tc>
        <w:tc>
          <w:tcPr>
            <w:tcW w:w="1134" w:type="dxa"/>
            <w:vAlign w:val="center"/>
          </w:tcPr>
          <w:p>
            <w:pPr>
              <w:pStyle w:val="15"/>
            </w:pPr>
            <w:r>
              <w:t>6311.44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451.41</w:t>
            </w:r>
          </w:p>
        </w:tc>
        <w:tc>
          <w:tcPr>
            <w:tcW w:w="1134" w:type="dxa"/>
            <w:vAlign w:val="center"/>
          </w:tcPr>
          <w:p>
            <w:pPr>
              <w:pStyle w:val="11"/>
            </w:pPr>
            <w:r>
              <w:t>451.41</w:t>
            </w:r>
          </w:p>
        </w:tc>
        <w:tc>
          <w:tcPr>
            <w:tcW w:w="1134" w:type="dxa"/>
            <w:vAlign w:val="center"/>
          </w:tcPr>
          <w:p>
            <w:pPr>
              <w:pStyle w:val="11"/>
            </w:pPr>
            <w:r>
              <w:t>451.41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451.41</w:t>
            </w:r>
          </w:p>
        </w:tc>
        <w:tc>
          <w:tcPr>
            <w:tcW w:w="1134" w:type="dxa"/>
            <w:vAlign w:val="center"/>
          </w:tcPr>
          <w:p>
            <w:pPr>
              <w:pStyle w:val="11"/>
            </w:pPr>
            <w:r>
              <w:t>451.41</w:t>
            </w:r>
          </w:p>
        </w:tc>
        <w:tc>
          <w:tcPr>
            <w:tcW w:w="1134" w:type="dxa"/>
            <w:vAlign w:val="center"/>
          </w:tcPr>
          <w:p>
            <w:pPr>
              <w:pStyle w:val="11"/>
            </w:pPr>
            <w:r>
              <w:t>451.41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359.68</w:t>
            </w:r>
          </w:p>
        </w:tc>
        <w:tc>
          <w:tcPr>
            <w:tcW w:w="1134" w:type="dxa"/>
            <w:vAlign w:val="center"/>
          </w:tcPr>
          <w:p>
            <w:pPr>
              <w:pStyle w:val="11"/>
            </w:pPr>
            <w:r>
              <w:t>359.68</w:t>
            </w:r>
          </w:p>
        </w:tc>
        <w:tc>
          <w:tcPr>
            <w:tcW w:w="1134" w:type="dxa"/>
            <w:vAlign w:val="center"/>
          </w:tcPr>
          <w:p>
            <w:pPr>
              <w:pStyle w:val="11"/>
            </w:pPr>
            <w:r>
              <w:t>359.68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2010404</w:t>
            </w:r>
          </w:p>
        </w:tc>
        <w:tc>
          <w:tcPr>
            <w:tcW w:w="1559" w:type="dxa"/>
            <w:vAlign w:val="center"/>
          </w:tcPr>
          <w:p>
            <w:pPr>
              <w:pStyle w:val="12"/>
            </w:pPr>
            <w:r>
              <w:t>战略规划与实施</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2010499</w:t>
            </w:r>
          </w:p>
        </w:tc>
        <w:tc>
          <w:tcPr>
            <w:tcW w:w="1559" w:type="dxa"/>
            <w:vAlign w:val="center"/>
          </w:tcPr>
          <w:p>
            <w:pPr>
              <w:pStyle w:val="12"/>
            </w:pPr>
            <w:r>
              <w:t>其他发展与改革事务支出</w:t>
            </w:r>
          </w:p>
        </w:tc>
        <w:tc>
          <w:tcPr>
            <w:tcW w:w="1134" w:type="dxa"/>
            <w:vAlign w:val="center"/>
          </w:tcPr>
          <w:p>
            <w:pPr>
              <w:pStyle w:val="11"/>
            </w:pPr>
            <w:r>
              <w:t>85.22</w:t>
            </w:r>
          </w:p>
        </w:tc>
        <w:tc>
          <w:tcPr>
            <w:tcW w:w="1134" w:type="dxa"/>
            <w:vAlign w:val="center"/>
          </w:tcPr>
          <w:p>
            <w:pPr>
              <w:pStyle w:val="11"/>
            </w:pPr>
            <w:r>
              <w:t>85.22</w:t>
            </w:r>
          </w:p>
        </w:tc>
        <w:tc>
          <w:tcPr>
            <w:tcW w:w="1134" w:type="dxa"/>
            <w:vAlign w:val="center"/>
          </w:tcPr>
          <w:p>
            <w:pPr>
              <w:pStyle w:val="11"/>
            </w:pPr>
            <w:r>
              <w:t>85.22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37.93</w:t>
            </w:r>
          </w:p>
        </w:tc>
        <w:tc>
          <w:tcPr>
            <w:tcW w:w="1134" w:type="dxa"/>
            <w:vAlign w:val="center"/>
          </w:tcPr>
          <w:p>
            <w:pPr>
              <w:pStyle w:val="11"/>
            </w:pPr>
            <w:r>
              <w:t>37.93</w:t>
            </w:r>
          </w:p>
        </w:tc>
        <w:tc>
          <w:tcPr>
            <w:tcW w:w="1134" w:type="dxa"/>
            <w:vAlign w:val="center"/>
          </w:tcPr>
          <w:p>
            <w:pPr>
              <w:pStyle w:val="11"/>
            </w:pPr>
            <w:r>
              <w:t>37.93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37.93</w:t>
            </w:r>
          </w:p>
        </w:tc>
        <w:tc>
          <w:tcPr>
            <w:tcW w:w="1134" w:type="dxa"/>
            <w:vAlign w:val="center"/>
          </w:tcPr>
          <w:p>
            <w:pPr>
              <w:pStyle w:val="11"/>
            </w:pPr>
            <w:r>
              <w:t>37.93</w:t>
            </w:r>
          </w:p>
        </w:tc>
        <w:tc>
          <w:tcPr>
            <w:tcW w:w="1134" w:type="dxa"/>
            <w:vAlign w:val="center"/>
          </w:tcPr>
          <w:p>
            <w:pPr>
              <w:pStyle w:val="11"/>
            </w:pPr>
            <w:r>
              <w:t>37.93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37.93</w:t>
            </w:r>
          </w:p>
        </w:tc>
        <w:tc>
          <w:tcPr>
            <w:tcW w:w="1134" w:type="dxa"/>
            <w:vAlign w:val="center"/>
          </w:tcPr>
          <w:p>
            <w:pPr>
              <w:pStyle w:val="11"/>
            </w:pPr>
            <w:r>
              <w:t>37.93</w:t>
            </w:r>
          </w:p>
        </w:tc>
        <w:tc>
          <w:tcPr>
            <w:tcW w:w="1134" w:type="dxa"/>
            <w:vAlign w:val="center"/>
          </w:tcPr>
          <w:p>
            <w:pPr>
              <w:pStyle w:val="11"/>
            </w:pPr>
            <w:r>
              <w:t>37.93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17.64</w:t>
            </w:r>
          </w:p>
        </w:tc>
        <w:tc>
          <w:tcPr>
            <w:tcW w:w="1134" w:type="dxa"/>
            <w:vAlign w:val="center"/>
          </w:tcPr>
          <w:p>
            <w:pPr>
              <w:pStyle w:val="11"/>
            </w:pPr>
            <w:r>
              <w:t>17.64</w:t>
            </w:r>
          </w:p>
        </w:tc>
        <w:tc>
          <w:tcPr>
            <w:tcW w:w="1134" w:type="dxa"/>
            <w:vAlign w:val="center"/>
          </w:tcPr>
          <w:p>
            <w:pPr>
              <w:pStyle w:val="11"/>
            </w:pPr>
            <w:r>
              <w:t>17.64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17.64</w:t>
            </w:r>
          </w:p>
        </w:tc>
        <w:tc>
          <w:tcPr>
            <w:tcW w:w="1134" w:type="dxa"/>
            <w:vAlign w:val="center"/>
          </w:tcPr>
          <w:p>
            <w:pPr>
              <w:pStyle w:val="11"/>
            </w:pPr>
            <w:r>
              <w:t>17.64</w:t>
            </w:r>
          </w:p>
        </w:tc>
        <w:tc>
          <w:tcPr>
            <w:tcW w:w="1134" w:type="dxa"/>
            <w:vAlign w:val="center"/>
          </w:tcPr>
          <w:p>
            <w:pPr>
              <w:pStyle w:val="11"/>
            </w:pPr>
            <w:r>
              <w:t>17.64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17.64</w:t>
            </w:r>
          </w:p>
        </w:tc>
        <w:tc>
          <w:tcPr>
            <w:tcW w:w="1134" w:type="dxa"/>
            <w:vAlign w:val="center"/>
          </w:tcPr>
          <w:p>
            <w:pPr>
              <w:pStyle w:val="11"/>
            </w:pPr>
            <w:r>
              <w:t>17.64</w:t>
            </w:r>
          </w:p>
        </w:tc>
        <w:tc>
          <w:tcPr>
            <w:tcW w:w="1134" w:type="dxa"/>
            <w:vAlign w:val="center"/>
          </w:tcPr>
          <w:p>
            <w:pPr>
              <w:pStyle w:val="11"/>
            </w:pPr>
            <w:r>
              <w:t>17.64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2238.33</w:t>
            </w:r>
          </w:p>
        </w:tc>
        <w:tc>
          <w:tcPr>
            <w:tcW w:w="1134" w:type="dxa"/>
            <w:vAlign w:val="center"/>
          </w:tcPr>
          <w:p>
            <w:pPr>
              <w:pStyle w:val="11"/>
            </w:pPr>
            <w:r>
              <w:t>2238.33</w:t>
            </w:r>
          </w:p>
        </w:tc>
        <w:tc>
          <w:tcPr>
            <w:tcW w:w="1134" w:type="dxa"/>
            <w:vAlign w:val="center"/>
          </w:tcPr>
          <w:p>
            <w:pPr>
              <w:pStyle w:val="11"/>
            </w:pPr>
            <w:r>
              <w:t>2238.33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1538.33</w:t>
            </w:r>
          </w:p>
        </w:tc>
        <w:tc>
          <w:tcPr>
            <w:tcW w:w="1134" w:type="dxa"/>
            <w:vAlign w:val="center"/>
          </w:tcPr>
          <w:p>
            <w:pPr>
              <w:pStyle w:val="11"/>
            </w:pPr>
            <w:r>
              <w:t>1538.33</w:t>
            </w:r>
          </w:p>
        </w:tc>
        <w:tc>
          <w:tcPr>
            <w:tcW w:w="1134" w:type="dxa"/>
            <w:vAlign w:val="center"/>
          </w:tcPr>
          <w:p>
            <w:pPr>
              <w:pStyle w:val="11"/>
            </w:pPr>
            <w:r>
              <w:t>1538.33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1538.33</w:t>
            </w:r>
          </w:p>
        </w:tc>
        <w:tc>
          <w:tcPr>
            <w:tcW w:w="1134" w:type="dxa"/>
            <w:vAlign w:val="center"/>
          </w:tcPr>
          <w:p>
            <w:pPr>
              <w:pStyle w:val="11"/>
            </w:pPr>
            <w:r>
              <w:t>1538.33</w:t>
            </w:r>
          </w:p>
        </w:tc>
        <w:tc>
          <w:tcPr>
            <w:tcW w:w="1134" w:type="dxa"/>
            <w:vAlign w:val="center"/>
          </w:tcPr>
          <w:p>
            <w:pPr>
              <w:pStyle w:val="11"/>
            </w:pPr>
            <w:r>
              <w:t>1538.33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21110</w:t>
            </w:r>
          </w:p>
        </w:tc>
        <w:tc>
          <w:tcPr>
            <w:tcW w:w="1559" w:type="dxa"/>
            <w:vAlign w:val="center"/>
          </w:tcPr>
          <w:p>
            <w:pPr>
              <w:pStyle w:val="12"/>
            </w:pPr>
            <w:r>
              <w:t>能源节约利用</w:t>
            </w:r>
          </w:p>
        </w:tc>
        <w:tc>
          <w:tcPr>
            <w:tcW w:w="1134" w:type="dxa"/>
            <w:vAlign w:val="center"/>
          </w:tcPr>
          <w:p>
            <w:pPr>
              <w:pStyle w:val="11"/>
            </w:pPr>
            <w:r>
              <w:t>700.00</w:t>
            </w:r>
          </w:p>
        </w:tc>
        <w:tc>
          <w:tcPr>
            <w:tcW w:w="1134" w:type="dxa"/>
            <w:vAlign w:val="center"/>
          </w:tcPr>
          <w:p>
            <w:pPr>
              <w:pStyle w:val="11"/>
            </w:pPr>
            <w:r>
              <w:t>700.00</w:t>
            </w:r>
          </w:p>
        </w:tc>
        <w:tc>
          <w:tcPr>
            <w:tcW w:w="1134" w:type="dxa"/>
            <w:vAlign w:val="center"/>
          </w:tcPr>
          <w:p>
            <w:pPr>
              <w:pStyle w:val="11"/>
            </w:pPr>
            <w:r>
              <w:t>700.00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2111001</w:t>
            </w:r>
          </w:p>
        </w:tc>
        <w:tc>
          <w:tcPr>
            <w:tcW w:w="1559" w:type="dxa"/>
            <w:vAlign w:val="center"/>
          </w:tcPr>
          <w:p>
            <w:pPr>
              <w:pStyle w:val="12"/>
            </w:pPr>
            <w:r>
              <w:t>能源节约利用</w:t>
            </w:r>
          </w:p>
        </w:tc>
        <w:tc>
          <w:tcPr>
            <w:tcW w:w="1134" w:type="dxa"/>
            <w:vAlign w:val="center"/>
          </w:tcPr>
          <w:p>
            <w:pPr>
              <w:pStyle w:val="11"/>
            </w:pPr>
            <w:r>
              <w:t>700.00</w:t>
            </w:r>
          </w:p>
        </w:tc>
        <w:tc>
          <w:tcPr>
            <w:tcW w:w="1134" w:type="dxa"/>
            <w:vAlign w:val="center"/>
          </w:tcPr>
          <w:p>
            <w:pPr>
              <w:pStyle w:val="11"/>
            </w:pPr>
            <w:r>
              <w:t>700.00</w:t>
            </w:r>
          </w:p>
        </w:tc>
        <w:tc>
          <w:tcPr>
            <w:tcW w:w="1134" w:type="dxa"/>
            <w:vAlign w:val="center"/>
          </w:tcPr>
          <w:p>
            <w:pPr>
              <w:pStyle w:val="11"/>
            </w:pPr>
            <w:r>
              <w:t>700.00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215</w:t>
            </w:r>
          </w:p>
        </w:tc>
        <w:tc>
          <w:tcPr>
            <w:tcW w:w="1559" w:type="dxa"/>
            <w:vAlign w:val="center"/>
          </w:tcPr>
          <w:p>
            <w:pPr>
              <w:pStyle w:val="12"/>
            </w:pPr>
            <w:r>
              <w:t>资源勘探工业信息等支出</w:t>
            </w:r>
          </w:p>
        </w:tc>
        <w:tc>
          <w:tcPr>
            <w:tcW w:w="1134" w:type="dxa"/>
            <w:vAlign w:val="center"/>
          </w:tcPr>
          <w:p>
            <w:pPr>
              <w:pStyle w:val="11"/>
            </w:pPr>
            <w:r>
              <w:t>630.00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21598</w:t>
            </w:r>
          </w:p>
        </w:tc>
        <w:tc>
          <w:tcPr>
            <w:tcW w:w="1559" w:type="dxa"/>
            <w:vAlign w:val="center"/>
          </w:tcPr>
          <w:p>
            <w:pPr>
              <w:pStyle w:val="12"/>
            </w:pPr>
            <w:r>
              <w:t>超长期特别国债安排的支出</w:t>
            </w:r>
          </w:p>
        </w:tc>
        <w:tc>
          <w:tcPr>
            <w:tcW w:w="1134" w:type="dxa"/>
            <w:vAlign w:val="center"/>
          </w:tcPr>
          <w:p>
            <w:pPr>
              <w:pStyle w:val="11"/>
            </w:pPr>
            <w:r>
              <w:t>630.00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2159802</w:t>
            </w:r>
          </w:p>
        </w:tc>
        <w:tc>
          <w:tcPr>
            <w:tcW w:w="1559" w:type="dxa"/>
            <w:vAlign w:val="center"/>
          </w:tcPr>
          <w:p>
            <w:pPr>
              <w:pStyle w:val="12"/>
            </w:pPr>
            <w:r>
              <w:t>制造业</w:t>
            </w:r>
          </w:p>
        </w:tc>
        <w:tc>
          <w:tcPr>
            <w:tcW w:w="1134" w:type="dxa"/>
            <w:vAlign w:val="center"/>
          </w:tcPr>
          <w:p>
            <w:pPr>
              <w:pStyle w:val="11"/>
            </w:pPr>
            <w:r>
              <w:t>630.00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28.49</w:t>
            </w:r>
          </w:p>
        </w:tc>
        <w:tc>
          <w:tcPr>
            <w:tcW w:w="1134" w:type="dxa"/>
            <w:vAlign w:val="center"/>
          </w:tcPr>
          <w:p>
            <w:pPr>
              <w:pStyle w:val="11"/>
            </w:pPr>
            <w:r>
              <w:t>28.49</w:t>
            </w:r>
          </w:p>
        </w:tc>
        <w:tc>
          <w:tcPr>
            <w:tcW w:w="1134" w:type="dxa"/>
            <w:vAlign w:val="center"/>
          </w:tcPr>
          <w:p>
            <w:pPr>
              <w:pStyle w:val="11"/>
            </w:pPr>
            <w:r>
              <w:t>28.49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28.49</w:t>
            </w:r>
          </w:p>
        </w:tc>
        <w:tc>
          <w:tcPr>
            <w:tcW w:w="1134" w:type="dxa"/>
            <w:vAlign w:val="center"/>
          </w:tcPr>
          <w:p>
            <w:pPr>
              <w:pStyle w:val="11"/>
            </w:pPr>
            <w:r>
              <w:t>28.49</w:t>
            </w:r>
          </w:p>
        </w:tc>
        <w:tc>
          <w:tcPr>
            <w:tcW w:w="1134" w:type="dxa"/>
            <w:vAlign w:val="center"/>
          </w:tcPr>
          <w:p>
            <w:pPr>
              <w:pStyle w:val="11"/>
            </w:pPr>
            <w:r>
              <w:t>28.49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28.49</w:t>
            </w:r>
          </w:p>
        </w:tc>
        <w:tc>
          <w:tcPr>
            <w:tcW w:w="1134" w:type="dxa"/>
            <w:vAlign w:val="center"/>
          </w:tcPr>
          <w:p>
            <w:pPr>
              <w:pStyle w:val="11"/>
            </w:pPr>
            <w:r>
              <w:t>28.49</w:t>
            </w:r>
          </w:p>
        </w:tc>
        <w:tc>
          <w:tcPr>
            <w:tcW w:w="1134" w:type="dxa"/>
            <w:vAlign w:val="center"/>
          </w:tcPr>
          <w:p>
            <w:pPr>
              <w:pStyle w:val="11"/>
            </w:pPr>
            <w:r>
              <w:t>28.49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222</w:t>
            </w:r>
          </w:p>
        </w:tc>
        <w:tc>
          <w:tcPr>
            <w:tcW w:w="1559" w:type="dxa"/>
            <w:vAlign w:val="center"/>
          </w:tcPr>
          <w:p>
            <w:pPr>
              <w:pStyle w:val="12"/>
            </w:pPr>
            <w:r>
              <w:t>粮油物资储备支出</w:t>
            </w:r>
          </w:p>
        </w:tc>
        <w:tc>
          <w:tcPr>
            <w:tcW w:w="1134" w:type="dxa"/>
            <w:vAlign w:val="center"/>
          </w:tcPr>
          <w:p>
            <w:pPr>
              <w:pStyle w:val="11"/>
            </w:pPr>
            <w:r>
              <w:t>3537.64</w:t>
            </w:r>
          </w:p>
        </w:tc>
        <w:tc>
          <w:tcPr>
            <w:tcW w:w="1134" w:type="dxa"/>
            <w:vAlign w:val="center"/>
          </w:tcPr>
          <w:p>
            <w:pPr>
              <w:pStyle w:val="11"/>
            </w:pPr>
            <w:r>
              <w:t>3537.64</w:t>
            </w:r>
          </w:p>
        </w:tc>
        <w:tc>
          <w:tcPr>
            <w:tcW w:w="1134" w:type="dxa"/>
            <w:vAlign w:val="center"/>
          </w:tcPr>
          <w:p>
            <w:pPr>
              <w:pStyle w:val="11"/>
            </w:pPr>
            <w:r>
              <w:t>3537.64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22201</w:t>
            </w:r>
          </w:p>
        </w:tc>
        <w:tc>
          <w:tcPr>
            <w:tcW w:w="1559" w:type="dxa"/>
            <w:vAlign w:val="center"/>
          </w:tcPr>
          <w:p>
            <w:pPr>
              <w:pStyle w:val="12"/>
            </w:pPr>
            <w:r>
              <w:t>粮油物资事务</w:t>
            </w:r>
          </w:p>
        </w:tc>
        <w:tc>
          <w:tcPr>
            <w:tcW w:w="1134" w:type="dxa"/>
            <w:vAlign w:val="center"/>
          </w:tcPr>
          <w:p>
            <w:pPr>
              <w:pStyle w:val="11"/>
            </w:pPr>
            <w:r>
              <w:t>2000.20</w:t>
            </w:r>
          </w:p>
        </w:tc>
        <w:tc>
          <w:tcPr>
            <w:tcW w:w="1134" w:type="dxa"/>
            <w:vAlign w:val="center"/>
          </w:tcPr>
          <w:p>
            <w:pPr>
              <w:pStyle w:val="11"/>
            </w:pPr>
            <w:r>
              <w:t>2000.20</w:t>
            </w:r>
          </w:p>
        </w:tc>
        <w:tc>
          <w:tcPr>
            <w:tcW w:w="1134" w:type="dxa"/>
            <w:vAlign w:val="center"/>
          </w:tcPr>
          <w:p>
            <w:pPr>
              <w:pStyle w:val="11"/>
            </w:pPr>
            <w:r>
              <w:t>2000.20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2220199</w:t>
            </w:r>
          </w:p>
        </w:tc>
        <w:tc>
          <w:tcPr>
            <w:tcW w:w="1559" w:type="dxa"/>
            <w:vAlign w:val="center"/>
          </w:tcPr>
          <w:p>
            <w:pPr>
              <w:pStyle w:val="12"/>
            </w:pPr>
            <w:r>
              <w:t>其他粮油物资事务支出</w:t>
            </w:r>
          </w:p>
        </w:tc>
        <w:tc>
          <w:tcPr>
            <w:tcW w:w="1134" w:type="dxa"/>
            <w:vAlign w:val="center"/>
          </w:tcPr>
          <w:p>
            <w:pPr>
              <w:pStyle w:val="11"/>
            </w:pPr>
            <w:r>
              <w:t>2000.20</w:t>
            </w:r>
          </w:p>
        </w:tc>
        <w:tc>
          <w:tcPr>
            <w:tcW w:w="1134" w:type="dxa"/>
            <w:vAlign w:val="center"/>
          </w:tcPr>
          <w:p>
            <w:pPr>
              <w:pStyle w:val="11"/>
            </w:pPr>
            <w:r>
              <w:t>2000.20</w:t>
            </w:r>
          </w:p>
        </w:tc>
        <w:tc>
          <w:tcPr>
            <w:tcW w:w="1134" w:type="dxa"/>
            <w:vAlign w:val="center"/>
          </w:tcPr>
          <w:p>
            <w:pPr>
              <w:pStyle w:val="11"/>
            </w:pPr>
            <w:r>
              <w:t>2000.20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22204</w:t>
            </w:r>
          </w:p>
        </w:tc>
        <w:tc>
          <w:tcPr>
            <w:tcW w:w="1559" w:type="dxa"/>
            <w:vAlign w:val="center"/>
          </w:tcPr>
          <w:p>
            <w:pPr>
              <w:pStyle w:val="12"/>
            </w:pPr>
            <w:r>
              <w:t>粮油储备</w:t>
            </w:r>
          </w:p>
        </w:tc>
        <w:tc>
          <w:tcPr>
            <w:tcW w:w="1134" w:type="dxa"/>
            <w:vAlign w:val="center"/>
          </w:tcPr>
          <w:p>
            <w:pPr>
              <w:pStyle w:val="11"/>
            </w:pPr>
            <w:r>
              <w:t>1537.44</w:t>
            </w:r>
          </w:p>
        </w:tc>
        <w:tc>
          <w:tcPr>
            <w:tcW w:w="1134" w:type="dxa"/>
            <w:vAlign w:val="center"/>
          </w:tcPr>
          <w:p>
            <w:pPr>
              <w:pStyle w:val="11"/>
            </w:pPr>
            <w:r>
              <w:t>1537.44</w:t>
            </w:r>
          </w:p>
        </w:tc>
        <w:tc>
          <w:tcPr>
            <w:tcW w:w="1134" w:type="dxa"/>
            <w:vAlign w:val="center"/>
          </w:tcPr>
          <w:p>
            <w:pPr>
              <w:pStyle w:val="11"/>
            </w:pPr>
            <w:r>
              <w:t>1537.44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2220401</w:t>
            </w:r>
          </w:p>
        </w:tc>
        <w:tc>
          <w:tcPr>
            <w:tcW w:w="1559" w:type="dxa"/>
            <w:vAlign w:val="center"/>
          </w:tcPr>
          <w:p>
            <w:pPr>
              <w:pStyle w:val="12"/>
            </w:pPr>
            <w:r>
              <w:t>储备粮油补贴</w:t>
            </w:r>
          </w:p>
        </w:tc>
        <w:tc>
          <w:tcPr>
            <w:tcW w:w="1134" w:type="dxa"/>
            <w:vAlign w:val="center"/>
          </w:tcPr>
          <w:p>
            <w:pPr>
              <w:pStyle w:val="11"/>
            </w:pPr>
            <w:r>
              <w:t>37.44</w:t>
            </w:r>
          </w:p>
        </w:tc>
        <w:tc>
          <w:tcPr>
            <w:tcW w:w="1134" w:type="dxa"/>
            <w:vAlign w:val="center"/>
          </w:tcPr>
          <w:p>
            <w:pPr>
              <w:pStyle w:val="11"/>
            </w:pPr>
            <w:r>
              <w:t>37.44</w:t>
            </w:r>
          </w:p>
        </w:tc>
        <w:tc>
          <w:tcPr>
            <w:tcW w:w="1134" w:type="dxa"/>
            <w:vAlign w:val="center"/>
          </w:tcPr>
          <w:p>
            <w:pPr>
              <w:pStyle w:val="11"/>
            </w:pPr>
            <w:r>
              <w:t>37.44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2220403</w:t>
            </w:r>
          </w:p>
        </w:tc>
        <w:tc>
          <w:tcPr>
            <w:tcW w:w="1559" w:type="dxa"/>
            <w:vAlign w:val="center"/>
          </w:tcPr>
          <w:p>
            <w:pPr>
              <w:pStyle w:val="12"/>
            </w:pPr>
            <w:r>
              <w:t>储备粮（油）库建设</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6941.44</w:t>
            </w:r>
          </w:p>
        </w:tc>
        <w:tc>
          <w:tcPr>
            <w:tcW w:w="1361" w:type="dxa"/>
            <w:vAlign w:val="center"/>
          </w:tcPr>
          <w:p>
            <w:pPr>
              <w:pStyle w:val="15"/>
            </w:pPr>
            <w:r>
              <w:t>443.75</w:t>
            </w:r>
          </w:p>
        </w:tc>
        <w:tc>
          <w:tcPr>
            <w:tcW w:w="1361" w:type="dxa"/>
            <w:vAlign w:val="center"/>
          </w:tcPr>
          <w:p>
            <w:pPr>
              <w:pStyle w:val="15"/>
            </w:pPr>
            <w:r>
              <w:t>6497.70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451.41</w:t>
            </w:r>
          </w:p>
        </w:tc>
        <w:tc>
          <w:tcPr>
            <w:tcW w:w="1361" w:type="dxa"/>
            <w:vAlign w:val="center"/>
          </w:tcPr>
          <w:p>
            <w:pPr>
              <w:pStyle w:val="11"/>
            </w:pPr>
            <w:r>
              <w:t>359.68</w:t>
            </w:r>
          </w:p>
        </w:tc>
        <w:tc>
          <w:tcPr>
            <w:tcW w:w="1361" w:type="dxa"/>
            <w:vAlign w:val="center"/>
          </w:tcPr>
          <w:p>
            <w:pPr>
              <w:pStyle w:val="11"/>
            </w:pPr>
            <w:r>
              <w:t>91.72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451.41</w:t>
            </w:r>
          </w:p>
        </w:tc>
        <w:tc>
          <w:tcPr>
            <w:tcW w:w="1361" w:type="dxa"/>
            <w:vAlign w:val="center"/>
          </w:tcPr>
          <w:p>
            <w:pPr>
              <w:pStyle w:val="11"/>
            </w:pPr>
            <w:r>
              <w:t>359.68</w:t>
            </w:r>
          </w:p>
        </w:tc>
        <w:tc>
          <w:tcPr>
            <w:tcW w:w="1361" w:type="dxa"/>
            <w:vAlign w:val="center"/>
          </w:tcPr>
          <w:p>
            <w:pPr>
              <w:pStyle w:val="11"/>
            </w:pPr>
            <w:r>
              <w:t>91.72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359.68</w:t>
            </w:r>
          </w:p>
        </w:tc>
        <w:tc>
          <w:tcPr>
            <w:tcW w:w="1361" w:type="dxa"/>
            <w:vAlign w:val="center"/>
          </w:tcPr>
          <w:p>
            <w:pPr>
              <w:pStyle w:val="11"/>
            </w:pPr>
            <w:r>
              <w:t>359.68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2010404</w:t>
            </w:r>
          </w:p>
        </w:tc>
        <w:tc>
          <w:tcPr>
            <w:tcW w:w="4535" w:type="dxa"/>
            <w:vAlign w:val="center"/>
          </w:tcPr>
          <w:p>
            <w:pPr>
              <w:pStyle w:val="12"/>
            </w:pPr>
            <w:r>
              <w:t>战略规划与实施</w:t>
            </w: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2010499</w:t>
            </w:r>
          </w:p>
        </w:tc>
        <w:tc>
          <w:tcPr>
            <w:tcW w:w="4535" w:type="dxa"/>
            <w:vAlign w:val="center"/>
          </w:tcPr>
          <w:p>
            <w:pPr>
              <w:pStyle w:val="12"/>
            </w:pPr>
            <w:r>
              <w:t>其他发展与改革事务支出</w:t>
            </w:r>
          </w:p>
        </w:tc>
        <w:tc>
          <w:tcPr>
            <w:tcW w:w="1361" w:type="dxa"/>
            <w:vAlign w:val="center"/>
          </w:tcPr>
          <w:p>
            <w:pPr>
              <w:pStyle w:val="11"/>
            </w:pPr>
            <w:r>
              <w:t>85.22</w:t>
            </w:r>
          </w:p>
        </w:tc>
        <w:tc>
          <w:tcPr>
            <w:tcW w:w="1361" w:type="dxa"/>
            <w:vAlign w:val="center"/>
          </w:tcPr>
          <w:p>
            <w:pPr>
              <w:pStyle w:val="11"/>
            </w:pPr>
          </w:p>
        </w:tc>
        <w:tc>
          <w:tcPr>
            <w:tcW w:w="1361" w:type="dxa"/>
            <w:vAlign w:val="center"/>
          </w:tcPr>
          <w:p>
            <w:pPr>
              <w:pStyle w:val="11"/>
            </w:pPr>
            <w:r>
              <w:t>85.22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37.93</w:t>
            </w:r>
          </w:p>
        </w:tc>
        <w:tc>
          <w:tcPr>
            <w:tcW w:w="1361" w:type="dxa"/>
            <w:vAlign w:val="center"/>
          </w:tcPr>
          <w:p>
            <w:pPr>
              <w:pStyle w:val="11"/>
            </w:pPr>
            <w:r>
              <w:t>37.93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37.93</w:t>
            </w:r>
          </w:p>
        </w:tc>
        <w:tc>
          <w:tcPr>
            <w:tcW w:w="1361" w:type="dxa"/>
            <w:vAlign w:val="center"/>
          </w:tcPr>
          <w:p>
            <w:pPr>
              <w:pStyle w:val="11"/>
            </w:pPr>
            <w:r>
              <w:t>37.93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37.93</w:t>
            </w:r>
          </w:p>
        </w:tc>
        <w:tc>
          <w:tcPr>
            <w:tcW w:w="1361" w:type="dxa"/>
            <w:vAlign w:val="center"/>
          </w:tcPr>
          <w:p>
            <w:pPr>
              <w:pStyle w:val="11"/>
            </w:pPr>
            <w:r>
              <w:t>37.93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17.64</w:t>
            </w:r>
          </w:p>
        </w:tc>
        <w:tc>
          <w:tcPr>
            <w:tcW w:w="1361" w:type="dxa"/>
            <w:vAlign w:val="center"/>
          </w:tcPr>
          <w:p>
            <w:pPr>
              <w:pStyle w:val="11"/>
            </w:pPr>
            <w:r>
              <w:t>17.64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17.64</w:t>
            </w:r>
          </w:p>
        </w:tc>
        <w:tc>
          <w:tcPr>
            <w:tcW w:w="1361" w:type="dxa"/>
            <w:vAlign w:val="center"/>
          </w:tcPr>
          <w:p>
            <w:pPr>
              <w:pStyle w:val="11"/>
            </w:pPr>
            <w:r>
              <w:t>17.64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17.64</w:t>
            </w:r>
          </w:p>
        </w:tc>
        <w:tc>
          <w:tcPr>
            <w:tcW w:w="1361" w:type="dxa"/>
            <w:vAlign w:val="center"/>
          </w:tcPr>
          <w:p>
            <w:pPr>
              <w:pStyle w:val="11"/>
            </w:pPr>
            <w:r>
              <w:t>17.64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2238.33</w:t>
            </w:r>
          </w:p>
        </w:tc>
        <w:tc>
          <w:tcPr>
            <w:tcW w:w="1361" w:type="dxa"/>
            <w:vAlign w:val="center"/>
          </w:tcPr>
          <w:p>
            <w:pPr>
              <w:pStyle w:val="11"/>
            </w:pPr>
          </w:p>
        </w:tc>
        <w:tc>
          <w:tcPr>
            <w:tcW w:w="1361" w:type="dxa"/>
            <w:vAlign w:val="center"/>
          </w:tcPr>
          <w:p>
            <w:pPr>
              <w:pStyle w:val="11"/>
            </w:pPr>
            <w:r>
              <w:t>2238.33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1538.33</w:t>
            </w:r>
          </w:p>
        </w:tc>
        <w:tc>
          <w:tcPr>
            <w:tcW w:w="1361" w:type="dxa"/>
            <w:vAlign w:val="center"/>
          </w:tcPr>
          <w:p>
            <w:pPr>
              <w:pStyle w:val="11"/>
            </w:pPr>
          </w:p>
        </w:tc>
        <w:tc>
          <w:tcPr>
            <w:tcW w:w="1361" w:type="dxa"/>
            <w:vAlign w:val="center"/>
          </w:tcPr>
          <w:p>
            <w:pPr>
              <w:pStyle w:val="11"/>
            </w:pPr>
            <w:r>
              <w:t>1538.33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1538.33</w:t>
            </w:r>
          </w:p>
        </w:tc>
        <w:tc>
          <w:tcPr>
            <w:tcW w:w="1361" w:type="dxa"/>
            <w:vAlign w:val="center"/>
          </w:tcPr>
          <w:p>
            <w:pPr>
              <w:pStyle w:val="11"/>
            </w:pPr>
          </w:p>
        </w:tc>
        <w:tc>
          <w:tcPr>
            <w:tcW w:w="1361" w:type="dxa"/>
            <w:vAlign w:val="center"/>
          </w:tcPr>
          <w:p>
            <w:pPr>
              <w:pStyle w:val="11"/>
            </w:pPr>
            <w:r>
              <w:t>1538.33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21110</w:t>
            </w:r>
          </w:p>
        </w:tc>
        <w:tc>
          <w:tcPr>
            <w:tcW w:w="4535" w:type="dxa"/>
            <w:vAlign w:val="center"/>
          </w:tcPr>
          <w:p>
            <w:pPr>
              <w:pStyle w:val="12"/>
            </w:pPr>
            <w:r>
              <w:t>能源节约利用</w:t>
            </w:r>
          </w:p>
        </w:tc>
        <w:tc>
          <w:tcPr>
            <w:tcW w:w="1361" w:type="dxa"/>
            <w:vAlign w:val="center"/>
          </w:tcPr>
          <w:p>
            <w:pPr>
              <w:pStyle w:val="11"/>
            </w:pPr>
            <w:r>
              <w:t>700.00</w:t>
            </w:r>
          </w:p>
        </w:tc>
        <w:tc>
          <w:tcPr>
            <w:tcW w:w="1361" w:type="dxa"/>
            <w:vAlign w:val="center"/>
          </w:tcPr>
          <w:p>
            <w:pPr>
              <w:pStyle w:val="11"/>
            </w:pPr>
          </w:p>
        </w:tc>
        <w:tc>
          <w:tcPr>
            <w:tcW w:w="1361" w:type="dxa"/>
            <w:vAlign w:val="center"/>
          </w:tcPr>
          <w:p>
            <w:pPr>
              <w:pStyle w:val="11"/>
            </w:pPr>
            <w:r>
              <w:t>700.00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2111001</w:t>
            </w:r>
          </w:p>
        </w:tc>
        <w:tc>
          <w:tcPr>
            <w:tcW w:w="4535" w:type="dxa"/>
            <w:vAlign w:val="center"/>
          </w:tcPr>
          <w:p>
            <w:pPr>
              <w:pStyle w:val="12"/>
            </w:pPr>
            <w:r>
              <w:t>能源节约利用</w:t>
            </w:r>
          </w:p>
        </w:tc>
        <w:tc>
          <w:tcPr>
            <w:tcW w:w="1361" w:type="dxa"/>
            <w:vAlign w:val="center"/>
          </w:tcPr>
          <w:p>
            <w:pPr>
              <w:pStyle w:val="11"/>
            </w:pPr>
            <w:r>
              <w:t>700.00</w:t>
            </w:r>
          </w:p>
        </w:tc>
        <w:tc>
          <w:tcPr>
            <w:tcW w:w="1361" w:type="dxa"/>
            <w:vAlign w:val="center"/>
          </w:tcPr>
          <w:p>
            <w:pPr>
              <w:pStyle w:val="11"/>
            </w:pPr>
          </w:p>
        </w:tc>
        <w:tc>
          <w:tcPr>
            <w:tcW w:w="1361" w:type="dxa"/>
            <w:vAlign w:val="center"/>
          </w:tcPr>
          <w:p>
            <w:pPr>
              <w:pStyle w:val="11"/>
            </w:pPr>
            <w:r>
              <w:t>700.00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215</w:t>
            </w:r>
          </w:p>
        </w:tc>
        <w:tc>
          <w:tcPr>
            <w:tcW w:w="4535" w:type="dxa"/>
            <w:vAlign w:val="center"/>
          </w:tcPr>
          <w:p>
            <w:pPr>
              <w:pStyle w:val="12"/>
            </w:pPr>
            <w:r>
              <w:t>资源勘探工业信息等支出</w:t>
            </w:r>
          </w:p>
        </w:tc>
        <w:tc>
          <w:tcPr>
            <w:tcW w:w="1361" w:type="dxa"/>
            <w:vAlign w:val="center"/>
          </w:tcPr>
          <w:p>
            <w:pPr>
              <w:pStyle w:val="11"/>
            </w:pPr>
            <w:r>
              <w:t>630.00</w:t>
            </w:r>
          </w:p>
        </w:tc>
        <w:tc>
          <w:tcPr>
            <w:tcW w:w="1361" w:type="dxa"/>
            <w:vAlign w:val="center"/>
          </w:tcPr>
          <w:p>
            <w:pPr>
              <w:pStyle w:val="11"/>
            </w:pPr>
          </w:p>
        </w:tc>
        <w:tc>
          <w:tcPr>
            <w:tcW w:w="1361" w:type="dxa"/>
            <w:vAlign w:val="center"/>
          </w:tcPr>
          <w:p>
            <w:pPr>
              <w:pStyle w:val="11"/>
            </w:pPr>
            <w:r>
              <w:t>630.00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21598</w:t>
            </w:r>
          </w:p>
        </w:tc>
        <w:tc>
          <w:tcPr>
            <w:tcW w:w="4535" w:type="dxa"/>
            <w:vAlign w:val="center"/>
          </w:tcPr>
          <w:p>
            <w:pPr>
              <w:pStyle w:val="12"/>
            </w:pPr>
            <w:r>
              <w:t>超长期特别国债安排的支出</w:t>
            </w:r>
          </w:p>
        </w:tc>
        <w:tc>
          <w:tcPr>
            <w:tcW w:w="1361" w:type="dxa"/>
            <w:vAlign w:val="center"/>
          </w:tcPr>
          <w:p>
            <w:pPr>
              <w:pStyle w:val="11"/>
            </w:pPr>
            <w:r>
              <w:t>630.00</w:t>
            </w:r>
          </w:p>
        </w:tc>
        <w:tc>
          <w:tcPr>
            <w:tcW w:w="1361" w:type="dxa"/>
            <w:vAlign w:val="center"/>
          </w:tcPr>
          <w:p>
            <w:pPr>
              <w:pStyle w:val="11"/>
            </w:pPr>
          </w:p>
        </w:tc>
        <w:tc>
          <w:tcPr>
            <w:tcW w:w="1361" w:type="dxa"/>
            <w:vAlign w:val="center"/>
          </w:tcPr>
          <w:p>
            <w:pPr>
              <w:pStyle w:val="11"/>
            </w:pPr>
            <w:r>
              <w:t>630.00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2159802</w:t>
            </w:r>
          </w:p>
        </w:tc>
        <w:tc>
          <w:tcPr>
            <w:tcW w:w="4535" w:type="dxa"/>
            <w:vAlign w:val="center"/>
          </w:tcPr>
          <w:p>
            <w:pPr>
              <w:pStyle w:val="12"/>
            </w:pPr>
            <w:r>
              <w:t>制造业</w:t>
            </w:r>
          </w:p>
        </w:tc>
        <w:tc>
          <w:tcPr>
            <w:tcW w:w="1361" w:type="dxa"/>
            <w:vAlign w:val="center"/>
          </w:tcPr>
          <w:p>
            <w:pPr>
              <w:pStyle w:val="11"/>
            </w:pPr>
            <w:r>
              <w:t>630.00</w:t>
            </w:r>
          </w:p>
        </w:tc>
        <w:tc>
          <w:tcPr>
            <w:tcW w:w="1361" w:type="dxa"/>
            <w:vAlign w:val="center"/>
          </w:tcPr>
          <w:p>
            <w:pPr>
              <w:pStyle w:val="11"/>
            </w:pPr>
          </w:p>
        </w:tc>
        <w:tc>
          <w:tcPr>
            <w:tcW w:w="1361" w:type="dxa"/>
            <w:vAlign w:val="center"/>
          </w:tcPr>
          <w:p>
            <w:pPr>
              <w:pStyle w:val="11"/>
            </w:pPr>
            <w:r>
              <w:t>630.00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28.49</w:t>
            </w:r>
          </w:p>
        </w:tc>
        <w:tc>
          <w:tcPr>
            <w:tcW w:w="1361" w:type="dxa"/>
            <w:vAlign w:val="center"/>
          </w:tcPr>
          <w:p>
            <w:pPr>
              <w:pStyle w:val="11"/>
            </w:pPr>
            <w:r>
              <w:t>28.49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28.49</w:t>
            </w:r>
          </w:p>
        </w:tc>
        <w:tc>
          <w:tcPr>
            <w:tcW w:w="1361" w:type="dxa"/>
            <w:vAlign w:val="center"/>
          </w:tcPr>
          <w:p>
            <w:pPr>
              <w:pStyle w:val="11"/>
            </w:pPr>
            <w:r>
              <w:t>28.49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28.49</w:t>
            </w:r>
          </w:p>
        </w:tc>
        <w:tc>
          <w:tcPr>
            <w:tcW w:w="1361" w:type="dxa"/>
            <w:vAlign w:val="center"/>
          </w:tcPr>
          <w:p>
            <w:pPr>
              <w:pStyle w:val="11"/>
            </w:pPr>
            <w:r>
              <w:t>28.49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222</w:t>
            </w:r>
          </w:p>
        </w:tc>
        <w:tc>
          <w:tcPr>
            <w:tcW w:w="4535" w:type="dxa"/>
            <w:vAlign w:val="center"/>
          </w:tcPr>
          <w:p>
            <w:pPr>
              <w:pStyle w:val="12"/>
            </w:pPr>
            <w:r>
              <w:t>粮油物资储备支出</w:t>
            </w:r>
          </w:p>
        </w:tc>
        <w:tc>
          <w:tcPr>
            <w:tcW w:w="1361" w:type="dxa"/>
            <w:vAlign w:val="center"/>
          </w:tcPr>
          <w:p>
            <w:pPr>
              <w:pStyle w:val="11"/>
            </w:pPr>
            <w:r>
              <w:t>3537.64</w:t>
            </w:r>
          </w:p>
        </w:tc>
        <w:tc>
          <w:tcPr>
            <w:tcW w:w="1361" w:type="dxa"/>
            <w:vAlign w:val="center"/>
          </w:tcPr>
          <w:p>
            <w:pPr>
              <w:pStyle w:val="11"/>
            </w:pPr>
          </w:p>
        </w:tc>
        <w:tc>
          <w:tcPr>
            <w:tcW w:w="1361" w:type="dxa"/>
            <w:vAlign w:val="center"/>
          </w:tcPr>
          <w:p>
            <w:pPr>
              <w:pStyle w:val="11"/>
            </w:pPr>
            <w:r>
              <w:t>3537.64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22201</w:t>
            </w:r>
          </w:p>
        </w:tc>
        <w:tc>
          <w:tcPr>
            <w:tcW w:w="4535" w:type="dxa"/>
            <w:vAlign w:val="center"/>
          </w:tcPr>
          <w:p>
            <w:pPr>
              <w:pStyle w:val="12"/>
            </w:pPr>
            <w:r>
              <w:t>粮油物资事务</w:t>
            </w:r>
          </w:p>
        </w:tc>
        <w:tc>
          <w:tcPr>
            <w:tcW w:w="1361" w:type="dxa"/>
            <w:vAlign w:val="center"/>
          </w:tcPr>
          <w:p>
            <w:pPr>
              <w:pStyle w:val="11"/>
            </w:pPr>
            <w:r>
              <w:t>2000.20</w:t>
            </w:r>
          </w:p>
        </w:tc>
        <w:tc>
          <w:tcPr>
            <w:tcW w:w="1361" w:type="dxa"/>
            <w:vAlign w:val="center"/>
          </w:tcPr>
          <w:p>
            <w:pPr>
              <w:pStyle w:val="11"/>
            </w:pPr>
          </w:p>
        </w:tc>
        <w:tc>
          <w:tcPr>
            <w:tcW w:w="1361" w:type="dxa"/>
            <w:vAlign w:val="center"/>
          </w:tcPr>
          <w:p>
            <w:pPr>
              <w:pStyle w:val="11"/>
            </w:pPr>
            <w:r>
              <w:t>2000.20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2220199</w:t>
            </w:r>
          </w:p>
        </w:tc>
        <w:tc>
          <w:tcPr>
            <w:tcW w:w="4535" w:type="dxa"/>
            <w:vAlign w:val="center"/>
          </w:tcPr>
          <w:p>
            <w:pPr>
              <w:pStyle w:val="12"/>
            </w:pPr>
            <w:r>
              <w:t>其他粮油物资事务支出</w:t>
            </w:r>
          </w:p>
        </w:tc>
        <w:tc>
          <w:tcPr>
            <w:tcW w:w="1361" w:type="dxa"/>
            <w:vAlign w:val="center"/>
          </w:tcPr>
          <w:p>
            <w:pPr>
              <w:pStyle w:val="11"/>
            </w:pPr>
            <w:r>
              <w:t>2000.20</w:t>
            </w:r>
          </w:p>
        </w:tc>
        <w:tc>
          <w:tcPr>
            <w:tcW w:w="1361" w:type="dxa"/>
            <w:vAlign w:val="center"/>
          </w:tcPr>
          <w:p>
            <w:pPr>
              <w:pStyle w:val="11"/>
            </w:pPr>
          </w:p>
        </w:tc>
        <w:tc>
          <w:tcPr>
            <w:tcW w:w="1361" w:type="dxa"/>
            <w:vAlign w:val="center"/>
          </w:tcPr>
          <w:p>
            <w:pPr>
              <w:pStyle w:val="11"/>
            </w:pPr>
            <w:r>
              <w:t>2000.20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22204</w:t>
            </w:r>
          </w:p>
        </w:tc>
        <w:tc>
          <w:tcPr>
            <w:tcW w:w="4535" w:type="dxa"/>
            <w:vAlign w:val="center"/>
          </w:tcPr>
          <w:p>
            <w:pPr>
              <w:pStyle w:val="12"/>
            </w:pPr>
            <w:r>
              <w:t>粮油储备</w:t>
            </w:r>
          </w:p>
        </w:tc>
        <w:tc>
          <w:tcPr>
            <w:tcW w:w="1361" w:type="dxa"/>
            <w:vAlign w:val="center"/>
          </w:tcPr>
          <w:p>
            <w:pPr>
              <w:pStyle w:val="11"/>
            </w:pPr>
            <w:r>
              <w:t>1537.44</w:t>
            </w:r>
          </w:p>
        </w:tc>
        <w:tc>
          <w:tcPr>
            <w:tcW w:w="1361" w:type="dxa"/>
            <w:vAlign w:val="center"/>
          </w:tcPr>
          <w:p>
            <w:pPr>
              <w:pStyle w:val="11"/>
            </w:pPr>
          </w:p>
        </w:tc>
        <w:tc>
          <w:tcPr>
            <w:tcW w:w="1361" w:type="dxa"/>
            <w:vAlign w:val="center"/>
          </w:tcPr>
          <w:p>
            <w:pPr>
              <w:pStyle w:val="11"/>
            </w:pPr>
            <w:r>
              <w:t>1537.44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2220401</w:t>
            </w:r>
          </w:p>
        </w:tc>
        <w:tc>
          <w:tcPr>
            <w:tcW w:w="4535" w:type="dxa"/>
            <w:vAlign w:val="center"/>
          </w:tcPr>
          <w:p>
            <w:pPr>
              <w:pStyle w:val="12"/>
            </w:pPr>
            <w:r>
              <w:t>储备粮油补贴</w:t>
            </w:r>
          </w:p>
        </w:tc>
        <w:tc>
          <w:tcPr>
            <w:tcW w:w="1361" w:type="dxa"/>
            <w:vAlign w:val="center"/>
          </w:tcPr>
          <w:p>
            <w:pPr>
              <w:pStyle w:val="11"/>
            </w:pPr>
            <w:r>
              <w:t>37.44</w:t>
            </w:r>
          </w:p>
        </w:tc>
        <w:tc>
          <w:tcPr>
            <w:tcW w:w="1361" w:type="dxa"/>
            <w:vAlign w:val="center"/>
          </w:tcPr>
          <w:p>
            <w:pPr>
              <w:pStyle w:val="11"/>
            </w:pPr>
          </w:p>
        </w:tc>
        <w:tc>
          <w:tcPr>
            <w:tcW w:w="1361" w:type="dxa"/>
            <w:vAlign w:val="center"/>
          </w:tcPr>
          <w:p>
            <w:pPr>
              <w:pStyle w:val="11"/>
            </w:pPr>
            <w:r>
              <w:t>37.44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2220403</w:t>
            </w:r>
          </w:p>
        </w:tc>
        <w:tc>
          <w:tcPr>
            <w:tcW w:w="4535" w:type="dxa"/>
            <w:vAlign w:val="center"/>
          </w:tcPr>
          <w:p>
            <w:pPr>
              <w:pStyle w:val="12"/>
            </w:pPr>
            <w:r>
              <w:t>储备粮（油）库建设</w:t>
            </w: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6311.44</w:t>
            </w:r>
          </w:p>
        </w:tc>
        <w:tc>
          <w:tcPr>
            <w:tcW w:w="3402" w:type="dxa"/>
            <w:vAlign w:val="center"/>
          </w:tcPr>
          <w:p>
            <w:pPr>
              <w:pStyle w:val="12"/>
            </w:pPr>
            <w:r>
              <w:t>一、一般公共服务支出</w:t>
            </w:r>
          </w:p>
        </w:tc>
        <w:tc>
          <w:tcPr>
            <w:tcW w:w="1474" w:type="dxa"/>
            <w:vAlign w:val="center"/>
          </w:tcPr>
          <w:p>
            <w:pPr>
              <w:pStyle w:val="11"/>
            </w:pPr>
            <w:r>
              <w:t>451.41</w:t>
            </w:r>
          </w:p>
        </w:tc>
        <w:tc>
          <w:tcPr>
            <w:tcW w:w="1474" w:type="dxa"/>
            <w:vAlign w:val="center"/>
          </w:tcPr>
          <w:p>
            <w:pPr>
              <w:pStyle w:val="11"/>
            </w:pPr>
            <w:r>
              <w:t>451.41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37.93</w:t>
            </w:r>
          </w:p>
        </w:tc>
        <w:tc>
          <w:tcPr>
            <w:tcW w:w="1474" w:type="dxa"/>
            <w:vAlign w:val="center"/>
          </w:tcPr>
          <w:p>
            <w:pPr>
              <w:pStyle w:val="11"/>
            </w:pPr>
            <w:r>
              <w:t>37.93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17.64</w:t>
            </w:r>
          </w:p>
        </w:tc>
        <w:tc>
          <w:tcPr>
            <w:tcW w:w="1474" w:type="dxa"/>
            <w:vAlign w:val="center"/>
          </w:tcPr>
          <w:p>
            <w:pPr>
              <w:pStyle w:val="11"/>
            </w:pPr>
            <w:r>
              <w:t>17.64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2238.33</w:t>
            </w:r>
          </w:p>
        </w:tc>
        <w:tc>
          <w:tcPr>
            <w:tcW w:w="1474" w:type="dxa"/>
            <w:vAlign w:val="center"/>
          </w:tcPr>
          <w:p>
            <w:pPr>
              <w:pStyle w:val="11"/>
            </w:pPr>
            <w:r>
              <w:t>2238.33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r>
              <w:t>630.00</w:t>
            </w:r>
          </w:p>
        </w:tc>
        <w:tc>
          <w:tcPr>
            <w:tcW w:w="1474" w:type="dxa"/>
            <w:vAlign w:val="center"/>
          </w:tcPr>
          <w:p>
            <w:pPr>
              <w:pStyle w:val="11"/>
            </w:pPr>
          </w:p>
        </w:tc>
        <w:tc>
          <w:tcPr>
            <w:tcW w:w="1474" w:type="dxa"/>
            <w:vAlign w:val="center"/>
          </w:tcPr>
          <w:p>
            <w:pPr>
              <w:pStyle w:val="11"/>
            </w:pPr>
            <w:r>
              <w:t>630.00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28.49</w:t>
            </w:r>
          </w:p>
        </w:tc>
        <w:tc>
          <w:tcPr>
            <w:tcW w:w="1474" w:type="dxa"/>
            <w:vAlign w:val="center"/>
          </w:tcPr>
          <w:p>
            <w:pPr>
              <w:pStyle w:val="11"/>
            </w:pPr>
            <w:r>
              <w:t>28.49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r>
              <w:t>3537.64</w:t>
            </w:r>
          </w:p>
        </w:tc>
        <w:tc>
          <w:tcPr>
            <w:tcW w:w="1474" w:type="dxa"/>
            <w:vAlign w:val="center"/>
          </w:tcPr>
          <w:p>
            <w:pPr>
              <w:pStyle w:val="11"/>
            </w:pPr>
            <w:r>
              <w:t>3537.64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6311.44</w:t>
            </w:r>
          </w:p>
        </w:tc>
        <w:tc>
          <w:tcPr>
            <w:tcW w:w="3402" w:type="dxa"/>
            <w:vAlign w:val="center"/>
          </w:tcPr>
          <w:p>
            <w:pPr>
              <w:pStyle w:val="14"/>
            </w:pPr>
            <w:r>
              <w:t>本年支出合计</w:t>
            </w:r>
          </w:p>
        </w:tc>
        <w:tc>
          <w:tcPr>
            <w:tcW w:w="1474" w:type="dxa"/>
            <w:vAlign w:val="center"/>
          </w:tcPr>
          <w:p>
            <w:pPr>
              <w:pStyle w:val="15"/>
            </w:pPr>
            <w:r>
              <w:t>6941.44</w:t>
            </w:r>
          </w:p>
        </w:tc>
        <w:tc>
          <w:tcPr>
            <w:tcW w:w="1474" w:type="dxa"/>
            <w:vAlign w:val="center"/>
          </w:tcPr>
          <w:p>
            <w:pPr>
              <w:pStyle w:val="15"/>
            </w:pPr>
            <w:r>
              <w:t>6311.44</w:t>
            </w:r>
          </w:p>
        </w:tc>
        <w:tc>
          <w:tcPr>
            <w:tcW w:w="1474" w:type="dxa"/>
            <w:vAlign w:val="center"/>
          </w:tcPr>
          <w:p>
            <w:pPr>
              <w:pStyle w:val="15"/>
            </w:pPr>
            <w:r>
              <w:t>630.00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630.00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630.00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6941.44</w:t>
            </w:r>
          </w:p>
        </w:tc>
        <w:tc>
          <w:tcPr>
            <w:tcW w:w="3402" w:type="dxa"/>
            <w:vAlign w:val="center"/>
          </w:tcPr>
          <w:p>
            <w:pPr>
              <w:pStyle w:val="14"/>
            </w:pPr>
            <w:r>
              <w:t>支出总计</w:t>
            </w:r>
          </w:p>
        </w:tc>
        <w:tc>
          <w:tcPr>
            <w:tcW w:w="1474" w:type="dxa"/>
            <w:vAlign w:val="center"/>
          </w:tcPr>
          <w:p>
            <w:pPr>
              <w:pStyle w:val="15"/>
            </w:pPr>
            <w:r>
              <w:t>6941.44</w:t>
            </w:r>
          </w:p>
        </w:tc>
        <w:tc>
          <w:tcPr>
            <w:tcW w:w="1474" w:type="dxa"/>
            <w:vAlign w:val="center"/>
          </w:tcPr>
          <w:p>
            <w:pPr>
              <w:pStyle w:val="15"/>
            </w:pPr>
            <w:r>
              <w:t>6311.44</w:t>
            </w:r>
          </w:p>
        </w:tc>
        <w:tc>
          <w:tcPr>
            <w:tcW w:w="1474" w:type="dxa"/>
            <w:vAlign w:val="center"/>
          </w:tcPr>
          <w:p>
            <w:pPr>
              <w:pStyle w:val="15"/>
            </w:pPr>
            <w:r>
              <w:t>630.00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6311.44</w:t>
            </w:r>
          </w:p>
        </w:tc>
        <w:tc>
          <w:tcPr>
            <w:tcW w:w="2551" w:type="dxa"/>
            <w:vAlign w:val="center"/>
          </w:tcPr>
          <w:p>
            <w:pPr>
              <w:pStyle w:val="15"/>
            </w:pPr>
            <w:r>
              <w:t>443.75</w:t>
            </w:r>
          </w:p>
        </w:tc>
        <w:tc>
          <w:tcPr>
            <w:tcW w:w="2551" w:type="dxa"/>
            <w:vAlign w:val="center"/>
          </w:tcPr>
          <w:p>
            <w:pPr>
              <w:pStyle w:val="15"/>
            </w:pPr>
            <w:r>
              <w:t>5867.70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451.41</w:t>
            </w:r>
          </w:p>
        </w:tc>
        <w:tc>
          <w:tcPr>
            <w:tcW w:w="2551" w:type="dxa"/>
            <w:vAlign w:val="center"/>
          </w:tcPr>
          <w:p>
            <w:pPr>
              <w:pStyle w:val="11"/>
            </w:pPr>
            <w:r>
              <w:t>359.68</w:t>
            </w:r>
          </w:p>
        </w:tc>
        <w:tc>
          <w:tcPr>
            <w:tcW w:w="2551" w:type="dxa"/>
            <w:vAlign w:val="center"/>
          </w:tcPr>
          <w:p>
            <w:pPr>
              <w:pStyle w:val="11"/>
            </w:pPr>
            <w:r>
              <w:t>91.72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451.41</w:t>
            </w:r>
          </w:p>
        </w:tc>
        <w:tc>
          <w:tcPr>
            <w:tcW w:w="2551" w:type="dxa"/>
            <w:vAlign w:val="center"/>
          </w:tcPr>
          <w:p>
            <w:pPr>
              <w:pStyle w:val="11"/>
            </w:pPr>
            <w:r>
              <w:t>359.68</w:t>
            </w:r>
          </w:p>
        </w:tc>
        <w:tc>
          <w:tcPr>
            <w:tcW w:w="2551" w:type="dxa"/>
            <w:vAlign w:val="center"/>
          </w:tcPr>
          <w:p>
            <w:pPr>
              <w:pStyle w:val="11"/>
            </w:pPr>
            <w:r>
              <w:t>91.72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359.68</w:t>
            </w:r>
          </w:p>
        </w:tc>
        <w:tc>
          <w:tcPr>
            <w:tcW w:w="2551" w:type="dxa"/>
            <w:vAlign w:val="center"/>
          </w:tcPr>
          <w:p>
            <w:pPr>
              <w:pStyle w:val="11"/>
            </w:pPr>
            <w:r>
              <w:t>359.68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2010404</w:t>
            </w:r>
          </w:p>
        </w:tc>
        <w:tc>
          <w:tcPr>
            <w:tcW w:w="4535" w:type="dxa"/>
            <w:vAlign w:val="center"/>
          </w:tcPr>
          <w:p>
            <w:pPr>
              <w:pStyle w:val="12"/>
            </w:pPr>
            <w:r>
              <w:t>战略规划与实施</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2010499</w:t>
            </w:r>
          </w:p>
        </w:tc>
        <w:tc>
          <w:tcPr>
            <w:tcW w:w="4535" w:type="dxa"/>
            <w:vAlign w:val="center"/>
          </w:tcPr>
          <w:p>
            <w:pPr>
              <w:pStyle w:val="12"/>
            </w:pPr>
            <w:r>
              <w:t>其他发展与改革事务支出</w:t>
            </w:r>
          </w:p>
        </w:tc>
        <w:tc>
          <w:tcPr>
            <w:tcW w:w="2551" w:type="dxa"/>
            <w:vAlign w:val="center"/>
          </w:tcPr>
          <w:p>
            <w:pPr>
              <w:pStyle w:val="11"/>
            </w:pPr>
            <w:r>
              <w:t>85.22</w:t>
            </w:r>
          </w:p>
        </w:tc>
        <w:tc>
          <w:tcPr>
            <w:tcW w:w="2551" w:type="dxa"/>
            <w:vAlign w:val="center"/>
          </w:tcPr>
          <w:p>
            <w:pPr>
              <w:pStyle w:val="11"/>
            </w:pPr>
          </w:p>
        </w:tc>
        <w:tc>
          <w:tcPr>
            <w:tcW w:w="2551" w:type="dxa"/>
            <w:vAlign w:val="center"/>
          </w:tcPr>
          <w:p>
            <w:pPr>
              <w:pStyle w:val="11"/>
            </w:pPr>
            <w:r>
              <w:t>85.22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37.93</w:t>
            </w:r>
          </w:p>
        </w:tc>
        <w:tc>
          <w:tcPr>
            <w:tcW w:w="2551" w:type="dxa"/>
            <w:vAlign w:val="center"/>
          </w:tcPr>
          <w:p>
            <w:pPr>
              <w:pStyle w:val="11"/>
            </w:pPr>
            <w:r>
              <w:t>37.93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37.93</w:t>
            </w:r>
          </w:p>
        </w:tc>
        <w:tc>
          <w:tcPr>
            <w:tcW w:w="2551" w:type="dxa"/>
            <w:vAlign w:val="center"/>
          </w:tcPr>
          <w:p>
            <w:pPr>
              <w:pStyle w:val="11"/>
            </w:pPr>
            <w:r>
              <w:t>37.93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37.93</w:t>
            </w:r>
          </w:p>
        </w:tc>
        <w:tc>
          <w:tcPr>
            <w:tcW w:w="2551" w:type="dxa"/>
            <w:vAlign w:val="center"/>
          </w:tcPr>
          <w:p>
            <w:pPr>
              <w:pStyle w:val="11"/>
            </w:pPr>
            <w:r>
              <w:t>37.93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17.64</w:t>
            </w:r>
          </w:p>
        </w:tc>
        <w:tc>
          <w:tcPr>
            <w:tcW w:w="2551" w:type="dxa"/>
            <w:vAlign w:val="center"/>
          </w:tcPr>
          <w:p>
            <w:pPr>
              <w:pStyle w:val="11"/>
            </w:pPr>
            <w:r>
              <w:t>17.64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17.64</w:t>
            </w:r>
          </w:p>
        </w:tc>
        <w:tc>
          <w:tcPr>
            <w:tcW w:w="2551" w:type="dxa"/>
            <w:vAlign w:val="center"/>
          </w:tcPr>
          <w:p>
            <w:pPr>
              <w:pStyle w:val="11"/>
            </w:pPr>
            <w:r>
              <w:t>17.64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17.64</w:t>
            </w:r>
          </w:p>
        </w:tc>
        <w:tc>
          <w:tcPr>
            <w:tcW w:w="2551" w:type="dxa"/>
            <w:vAlign w:val="center"/>
          </w:tcPr>
          <w:p>
            <w:pPr>
              <w:pStyle w:val="11"/>
            </w:pPr>
            <w:r>
              <w:t>17.64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2238.33</w:t>
            </w:r>
          </w:p>
        </w:tc>
        <w:tc>
          <w:tcPr>
            <w:tcW w:w="2551" w:type="dxa"/>
            <w:vAlign w:val="center"/>
          </w:tcPr>
          <w:p>
            <w:pPr>
              <w:pStyle w:val="11"/>
            </w:pPr>
          </w:p>
        </w:tc>
        <w:tc>
          <w:tcPr>
            <w:tcW w:w="2551" w:type="dxa"/>
            <w:vAlign w:val="center"/>
          </w:tcPr>
          <w:p>
            <w:pPr>
              <w:pStyle w:val="11"/>
            </w:pPr>
            <w:r>
              <w:t>2238.33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1538.33</w:t>
            </w:r>
          </w:p>
        </w:tc>
        <w:tc>
          <w:tcPr>
            <w:tcW w:w="2551" w:type="dxa"/>
            <w:vAlign w:val="center"/>
          </w:tcPr>
          <w:p>
            <w:pPr>
              <w:pStyle w:val="11"/>
            </w:pPr>
          </w:p>
        </w:tc>
        <w:tc>
          <w:tcPr>
            <w:tcW w:w="2551" w:type="dxa"/>
            <w:vAlign w:val="center"/>
          </w:tcPr>
          <w:p>
            <w:pPr>
              <w:pStyle w:val="11"/>
            </w:pPr>
            <w:r>
              <w:t>1538.33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1538.33</w:t>
            </w:r>
          </w:p>
        </w:tc>
        <w:tc>
          <w:tcPr>
            <w:tcW w:w="2551" w:type="dxa"/>
            <w:vAlign w:val="center"/>
          </w:tcPr>
          <w:p>
            <w:pPr>
              <w:pStyle w:val="11"/>
            </w:pPr>
          </w:p>
        </w:tc>
        <w:tc>
          <w:tcPr>
            <w:tcW w:w="2551" w:type="dxa"/>
            <w:vAlign w:val="center"/>
          </w:tcPr>
          <w:p>
            <w:pPr>
              <w:pStyle w:val="11"/>
            </w:pPr>
            <w:r>
              <w:t>1538.33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21110</w:t>
            </w:r>
          </w:p>
        </w:tc>
        <w:tc>
          <w:tcPr>
            <w:tcW w:w="4535" w:type="dxa"/>
            <w:vAlign w:val="center"/>
          </w:tcPr>
          <w:p>
            <w:pPr>
              <w:pStyle w:val="12"/>
            </w:pPr>
            <w:r>
              <w:t>能源节约利用</w:t>
            </w:r>
          </w:p>
        </w:tc>
        <w:tc>
          <w:tcPr>
            <w:tcW w:w="2551" w:type="dxa"/>
            <w:vAlign w:val="center"/>
          </w:tcPr>
          <w:p>
            <w:pPr>
              <w:pStyle w:val="11"/>
            </w:pPr>
            <w:r>
              <w:t>700.00</w:t>
            </w:r>
          </w:p>
        </w:tc>
        <w:tc>
          <w:tcPr>
            <w:tcW w:w="2551" w:type="dxa"/>
            <w:vAlign w:val="center"/>
          </w:tcPr>
          <w:p>
            <w:pPr>
              <w:pStyle w:val="11"/>
            </w:pPr>
          </w:p>
        </w:tc>
        <w:tc>
          <w:tcPr>
            <w:tcW w:w="2551" w:type="dxa"/>
            <w:vAlign w:val="center"/>
          </w:tcPr>
          <w:p>
            <w:pPr>
              <w:pStyle w:val="11"/>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2111001</w:t>
            </w:r>
          </w:p>
        </w:tc>
        <w:tc>
          <w:tcPr>
            <w:tcW w:w="4535" w:type="dxa"/>
            <w:vAlign w:val="center"/>
          </w:tcPr>
          <w:p>
            <w:pPr>
              <w:pStyle w:val="12"/>
            </w:pPr>
            <w:r>
              <w:t>能源节约利用</w:t>
            </w:r>
          </w:p>
        </w:tc>
        <w:tc>
          <w:tcPr>
            <w:tcW w:w="2551" w:type="dxa"/>
            <w:vAlign w:val="center"/>
          </w:tcPr>
          <w:p>
            <w:pPr>
              <w:pStyle w:val="11"/>
            </w:pPr>
            <w:r>
              <w:t>700.00</w:t>
            </w:r>
          </w:p>
        </w:tc>
        <w:tc>
          <w:tcPr>
            <w:tcW w:w="2551" w:type="dxa"/>
            <w:vAlign w:val="center"/>
          </w:tcPr>
          <w:p>
            <w:pPr>
              <w:pStyle w:val="11"/>
            </w:pPr>
          </w:p>
        </w:tc>
        <w:tc>
          <w:tcPr>
            <w:tcW w:w="2551" w:type="dxa"/>
            <w:vAlign w:val="center"/>
          </w:tcPr>
          <w:p>
            <w:pPr>
              <w:pStyle w:val="11"/>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28.49</w:t>
            </w:r>
          </w:p>
        </w:tc>
        <w:tc>
          <w:tcPr>
            <w:tcW w:w="2551" w:type="dxa"/>
            <w:vAlign w:val="center"/>
          </w:tcPr>
          <w:p>
            <w:pPr>
              <w:pStyle w:val="11"/>
            </w:pPr>
            <w:r>
              <w:t>28.49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28.49</w:t>
            </w:r>
          </w:p>
        </w:tc>
        <w:tc>
          <w:tcPr>
            <w:tcW w:w="2551" w:type="dxa"/>
            <w:vAlign w:val="center"/>
          </w:tcPr>
          <w:p>
            <w:pPr>
              <w:pStyle w:val="11"/>
            </w:pPr>
            <w:r>
              <w:t>28.49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28.49</w:t>
            </w:r>
          </w:p>
        </w:tc>
        <w:tc>
          <w:tcPr>
            <w:tcW w:w="2551" w:type="dxa"/>
            <w:vAlign w:val="center"/>
          </w:tcPr>
          <w:p>
            <w:pPr>
              <w:pStyle w:val="11"/>
            </w:pPr>
            <w:r>
              <w:t>28.49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222</w:t>
            </w:r>
          </w:p>
        </w:tc>
        <w:tc>
          <w:tcPr>
            <w:tcW w:w="4535" w:type="dxa"/>
            <w:vAlign w:val="center"/>
          </w:tcPr>
          <w:p>
            <w:pPr>
              <w:pStyle w:val="12"/>
            </w:pPr>
            <w:r>
              <w:t>粮油物资储备支出</w:t>
            </w:r>
          </w:p>
        </w:tc>
        <w:tc>
          <w:tcPr>
            <w:tcW w:w="2551" w:type="dxa"/>
            <w:vAlign w:val="center"/>
          </w:tcPr>
          <w:p>
            <w:pPr>
              <w:pStyle w:val="11"/>
            </w:pPr>
            <w:r>
              <w:t>3537.64</w:t>
            </w:r>
          </w:p>
        </w:tc>
        <w:tc>
          <w:tcPr>
            <w:tcW w:w="2551" w:type="dxa"/>
            <w:vAlign w:val="center"/>
          </w:tcPr>
          <w:p>
            <w:pPr>
              <w:pStyle w:val="11"/>
            </w:pPr>
          </w:p>
        </w:tc>
        <w:tc>
          <w:tcPr>
            <w:tcW w:w="2551" w:type="dxa"/>
            <w:vAlign w:val="center"/>
          </w:tcPr>
          <w:p>
            <w:pPr>
              <w:pStyle w:val="11"/>
            </w:pPr>
            <w:r>
              <w:t>3537.64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22201</w:t>
            </w:r>
          </w:p>
        </w:tc>
        <w:tc>
          <w:tcPr>
            <w:tcW w:w="4535" w:type="dxa"/>
            <w:vAlign w:val="center"/>
          </w:tcPr>
          <w:p>
            <w:pPr>
              <w:pStyle w:val="12"/>
            </w:pPr>
            <w:r>
              <w:t>粮油物资事务</w:t>
            </w:r>
          </w:p>
        </w:tc>
        <w:tc>
          <w:tcPr>
            <w:tcW w:w="2551" w:type="dxa"/>
            <w:vAlign w:val="center"/>
          </w:tcPr>
          <w:p>
            <w:pPr>
              <w:pStyle w:val="11"/>
            </w:pPr>
            <w:r>
              <w:t>2000.20</w:t>
            </w:r>
          </w:p>
        </w:tc>
        <w:tc>
          <w:tcPr>
            <w:tcW w:w="2551" w:type="dxa"/>
            <w:vAlign w:val="center"/>
          </w:tcPr>
          <w:p>
            <w:pPr>
              <w:pStyle w:val="11"/>
            </w:pPr>
          </w:p>
        </w:tc>
        <w:tc>
          <w:tcPr>
            <w:tcW w:w="2551" w:type="dxa"/>
            <w:vAlign w:val="center"/>
          </w:tcPr>
          <w:p>
            <w:pPr>
              <w:pStyle w:val="11"/>
            </w:pPr>
            <w:r>
              <w:t>2000.20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2220199</w:t>
            </w:r>
          </w:p>
        </w:tc>
        <w:tc>
          <w:tcPr>
            <w:tcW w:w="4535" w:type="dxa"/>
            <w:vAlign w:val="center"/>
          </w:tcPr>
          <w:p>
            <w:pPr>
              <w:pStyle w:val="12"/>
            </w:pPr>
            <w:r>
              <w:t>其他粮油物资事务支出</w:t>
            </w:r>
          </w:p>
        </w:tc>
        <w:tc>
          <w:tcPr>
            <w:tcW w:w="2551" w:type="dxa"/>
            <w:vAlign w:val="center"/>
          </w:tcPr>
          <w:p>
            <w:pPr>
              <w:pStyle w:val="11"/>
            </w:pPr>
            <w:r>
              <w:t>2000.20</w:t>
            </w:r>
          </w:p>
        </w:tc>
        <w:tc>
          <w:tcPr>
            <w:tcW w:w="2551" w:type="dxa"/>
            <w:vAlign w:val="center"/>
          </w:tcPr>
          <w:p>
            <w:pPr>
              <w:pStyle w:val="11"/>
            </w:pPr>
          </w:p>
        </w:tc>
        <w:tc>
          <w:tcPr>
            <w:tcW w:w="2551" w:type="dxa"/>
            <w:vAlign w:val="center"/>
          </w:tcPr>
          <w:p>
            <w:pPr>
              <w:pStyle w:val="11"/>
            </w:pPr>
            <w:r>
              <w:t>2000.20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22204</w:t>
            </w:r>
          </w:p>
        </w:tc>
        <w:tc>
          <w:tcPr>
            <w:tcW w:w="4535" w:type="dxa"/>
            <w:vAlign w:val="center"/>
          </w:tcPr>
          <w:p>
            <w:pPr>
              <w:pStyle w:val="12"/>
            </w:pPr>
            <w:r>
              <w:t>粮油储备</w:t>
            </w:r>
          </w:p>
        </w:tc>
        <w:tc>
          <w:tcPr>
            <w:tcW w:w="2551" w:type="dxa"/>
            <w:vAlign w:val="center"/>
          </w:tcPr>
          <w:p>
            <w:pPr>
              <w:pStyle w:val="11"/>
            </w:pPr>
            <w:r>
              <w:t>1537.44</w:t>
            </w:r>
          </w:p>
        </w:tc>
        <w:tc>
          <w:tcPr>
            <w:tcW w:w="2551" w:type="dxa"/>
            <w:vAlign w:val="center"/>
          </w:tcPr>
          <w:p>
            <w:pPr>
              <w:pStyle w:val="11"/>
            </w:pPr>
          </w:p>
        </w:tc>
        <w:tc>
          <w:tcPr>
            <w:tcW w:w="2551" w:type="dxa"/>
            <w:vAlign w:val="center"/>
          </w:tcPr>
          <w:p>
            <w:pPr>
              <w:pStyle w:val="11"/>
            </w:pPr>
            <w:r>
              <w:t>1537.44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2220401</w:t>
            </w:r>
          </w:p>
        </w:tc>
        <w:tc>
          <w:tcPr>
            <w:tcW w:w="4535" w:type="dxa"/>
            <w:vAlign w:val="center"/>
          </w:tcPr>
          <w:p>
            <w:pPr>
              <w:pStyle w:val="12"/>
            </w:pPr>
            <w:r>
              <w:t>储备粮油补贴</w:t>
            </w:r>
          </w:p>
        </w:tc>
        <w:tc>
          <w:tcPr>
            <w:tcW w:w="2551" w:type="dxa"/>
            <w:vAlign w:val="center"/>
          </w:tcPr>
          <w:p>
            <w:pPr>
              <w:pStyle w:val="11"/>
            </w:pPr>
            <w:r>
              <w:t>37.44</w:t>
            </w:r>
          </w:p>
        </w:tc>
        <w:tc>
          <w:tcPr>
            <w:tcW w:w="2551" w:type="dxa"/>
            <w:vAlign w:val="center"/>
          </w:tcPr>
          <w:p>
            <w:pPr>
              <w:pStyle w:val="11"/>
            </w:pPr>
          </w:p>
        </w:tc>
        <w:tc>
          <w:tcPr>
            <w:tcW w:w="2551" w:type="dxa"/>
            <w:vAlign w:val="center"/>
          </w:tcPr>
          <w:p>
            <w:pPr>
              <w:pStyle w:val="11"/>
            </w:pPr>
            <w:r>
              <w:t>37.44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2220403</w:t>
            </w:r>
          </w:p>
        </w:tc>
        <w:tc>
          <w:tcPr>
            <w:tcW w:w="4535" w:type="dxa"/>
            <w:vAlign w:val="center"/>
          </w:tcPr>
          <w:p>
            <w:pPr>
              <w:pStyle w:val="12"/>
            </w:pPr>
            <w:r>
              <w:t>储备粮（油）库建设</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443.75</w:t>
            </w:r>
          </w:p>
        </w:tc>
        <w:tc>
          <w:tcPr>
            <w:tcW w:w="2551" w:type="dxa"/>
            <w:vAlign w:val="center"/>
          </w:tcPr>
          <w:p>
            <w:pPr>
              <w:pStyle w:val="15"/>
            </w:pPr>
            <w:r>
              <w:t>412.61</w:t>
            </w:r>
          </w:p>
        </w:tc>
        <w:tc>
          <w:tcPr>
            <w:tcW w:w="2551" w:type="dxa"/>
            <w:vAlign w:val="center"/>
          </w:tcPr>
          <w:p>
            <w:pPr>
              <w:pStyle w:val="15"/>
            </w:pPr>
            <w:r>
              <w:t>31.14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367.09</w:t>
            </w:r>
          </w:p>
        </w:tc>
        <w:tc>
          <w:tcPr>
            <w:tcW w:w="2551" w:type="dxa"/>
            <w:vAlign w:val="center"/>
          </w:tcPr>
          <w:p>
            <w:pPr>
              <w:pStyle w:val="11"/>
            </w:pPr>
            <w:r>
              <w:t>367.09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163.38</w:t>
            </w:r>
          </w:p>
        </w:tc>
        <w:tc>
          <w:tcPr>
            <w:tcW w:w="2551" w:type="dxa"/>
            <w:vAlign w:val="center"/>
          </w:tcPr>
          <w:p>
            <w:pPr>
              <w:pStyle w:val="11"/>
            </w:pPr>
            <w:r>
              <w:t>163.38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33.19</w:t>
            </w:r>
          </w:p>
        </w:tc>
        <w:tc>
          <w:tcPr>
            <w:tcW w:w="2551" w:type="dxa"/>
            <w:vAlign w:val="center"/>
          </w:tcPr>
          <w:p>
            <w:pPr>
              <w:pStyle w:val="11"/>
            </w:pPr>
            <w:r>
              <w:t>33.19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52.16</w:t>
            </w:r>
          </w:p>
        </w:tc>
        <w:tc>
          <w:tcPr>
            <w:tcW w:w="2551" w:type="dxa"/>
            <w:vAlign w:val="center"/>
          </w:tcPr>
          <w:p>
            <w:pPr>
              <w:pStyle w:val="11"/>
            </w:pPr>
            <w:r>
              <w:t>52.16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33.22</w:t>
            </w:r>
          </w:p>
        </w:tc>
        <w:tc>
          <w:tcPr>
            <w:tcW w:w="2551" w:type="dxa"/>
            <w:vAlign w:val="center"/>
          </w:tcPr>
          <w:p>
            <w:pPr>
              <w:pStyle w:val="11"/>
            </w:pPr>
            <w:r>
              <w:t>33.22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37.93</w:t>
            </w:r>
          </w:p>
        </w:tc>
        <w:tc>
          <w:tcPr>
            <w:tcW w:w="2551" w:type="dxa"/>
            <w:vAlign w:val="center"/>
          </w:tcPr>
          <w:p>
            <w:pPr>
              <w:pStyle w:val="11"/>
            </w:pPr>
            <w:r>
              <w:t>37.93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17.64</w:t>
            </w:r>
          </w:p>
        </w:tc>
        <w:tc>
          <w:tcPr>
            <w:tcW w:w="2551" w:type="dxa"/>
            <w:vAlign w:val="center"/>
          </w:tcPr>
          <w:p>
            <w:pPr>
              <w:pStyle w:val="11"/>
            </w:pPr>
            <w:r>
              <w:t>17.64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1.08</w:t>
            </w:r>
          </w:p>
        </w:tc>
        <w:tc>
          <w:tcPr>
            <w:tcW w:w="2551" w:type="dxa"/>
            <w:vAlign w:val="center"/>
          </w:tcPr>
          <w:p>
            <w:pPr>
              <w:pStyle w:val="11"/>
            </w:pPr>
            <w:r>
              <w:t>1.08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28.49</w:t>
            </w:r>
          </w:p>
        </w:tc>
        <w:tc>
          <w:tcPr>
            <w:tcW w:w="2551" w:type="dxa"/>
            <w:vAlign w:val="center"/>
          </w:tcPr>
          <w:p>
            <w:pPr>
              <w:pStyle w:val="11"/>
            </w:pPr>
            <w:r>
              <w:t>28.49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31.14</w:t>
            </w:r>
          </w:p>
        </w:tc>
        <w:tc>
          <w:tcPr>
            <w:tcW w:w="2551" w:type="dxa"/>
            <w:vAlign w:val="center"/>
          </w:tcPr>
          <w:p>
            <w:pPr>
              <w:pStyle w:val="11"/>
            </w:pPr>
          </w:p>
        </w:tc>
        <w:tc>
          <w:tcPr>
            <w:tcW w:w="2551" w:type="dxa"/>
            <w:vAlign w:val="center"/>
          </w:tcPr>
          <w:p>
            <w:pPr>
              <w:pStyle w:val="11"/>
            </w:pPr>
            <w:r>
              <w:t>31.14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1.54</w:t>
            </w:r>
          </w:p>
        </w:tc>
        <w:tc>
          <w:tcPr>
            <w:tcW w:w="2551" w:type="dxa"/>
            <w:vAlign w:val="center"/>
          </w:tcPr>
          <w:p>
            <w:pPr>
              <w:pStyle w:val="11"/>
            </w:pPr>
          </w:p>
        </w:tc>
        <w:tc>
          <w:tcPr>
            <w:tcW w:w="2551" w:type="dxa"/>
            <w:vAlign w:val="center"/>
          </w:tcPr>
          <w:p>
            <w:pPr>
              <w:pStyle w:val="11"/>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2.60</w:t>
            </w:r>
          </w:p>
        </w:tc>
        <w:tc>
          <w:tcPr>
            <w:tcW w:w="2551" w:type="dxa"/>
            <w:vAlign w:val="center"/>
          </w:tcPr>
          <w:p>
            <w:pPr>
              <w:pStyle w:val="11"/>
            </w:pPr>
          </w:p>
        </w:tc>
        <w:tc>
          <w:tcPr>
            <w:tcW w:w="2551" w:type="dxa"/>
            <w:vAlign w:val="center"/>
          </w:tcPr>
          <w:p>
            <w:pPr>
              <w:pStyle w:val="11"/>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1.80</w:t>
            </w:r>
          </w:p>
        </w:tc>
        <w:tc>
          <w:tcPr>
            <w:tcW w:w="2551" w:type="dxa"/>
            <w:vAlign w:val="center"/>
          </w:tcPr>
          <w:p>
            <w:pPr>
              <w:pStyle w:val="11"/>
            </w:pPr>
          </w:p>
        </w:tc>
        <w:tc>
          <w:tcPr>
            <w:tcW w:w="2551"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0.64</w:t>
            </w:r>
          </w:p>
        </w:tc>
        <w:tc>
          <w:tcPr>
            <w:tcW w:w="2551" w:type="dxa"/>
            <w:vAlign w:val="center"/>
          </w:tcPr>
          <w:p>
            <w:pPr>
              <w:pStyle w:val="11"/>
            </w:pPr>
          </w:p>
        </w:tc>
        <w:tc>
          <w:tcPr>
            <w:tcW w:w="2551"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19.62</w:t>
            </w:r>
          </w:p>
        </w:tc>
        <w:tc>
          <w:tcPr>
            <w:tcW w:w="2551" w:type="dxa"/>
            <w:vAlign w:val="center"/>
          </w:tcPr>
          <w:p>
            <w:pPr>
              <w:pStyle w:val="11"/>
            </w:pPr>
          </w:p>
        </w:tc>
        <w:tc>
          <w:tcPr>
            <w:tcW w:w="2551" w:type="dxa"/>
            <w:vAlign w:val="center"/>
          </w:tcPr>
          <w:p>
            <w:pPr>
              <w:pStyle w:val="11"/>
            </w:pPr>
            <w:r>
              <w:t>19.62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45.52</w:t>
            </w:r>
          </w:p>
        </w:tc>
        <w:tc>
          <w:tcPr>
            <w:tcW w:w="2551" w:type="dxa"/>
            <w:vAlign w:val="center"/>
          </w:tcPr>
          <w:p>
            <w:pPr>
              <w:pStyle w:val="11"/>
            </w:pPr>
            <w:r>
              <w:t>45.52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44.80</w:t>
            </w:r>
          </w:p>
        </w:tc>
        <w:tc>
          <w:tcPr>
            <w:tcW w:w="2551" w:type="dxa"/>
            <w:vAlign w:val="center"/>
          </w:tcPr>
          <w:p>
            <w:pPr>
              <w:pStyle w:val="11"/>
            </w:pPr>
            <w:r>
              <w:t>44.80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0.72</w:t>
            </w:r>
          </w:p>
        </w:tc>
        <w:tc>
          <w:tcPr>
            <w:tcW w:w="2551" w:type="dxa"/>
            <w:vAlign w:val="center"/>
          </w:tcPr>
          <w:p>
            <w:pPr>
              <w:pStyle w:val="11"/>
            </w:pPr>
            <w:r>
              <w:t>0.72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630.00</w:t>
            </w:r>
          </w:p>
        </w:tc>
        <w:tc>
          <w:tcPr>
            <w:tcW w:w="2551" w:type="dxa"/>
            <w:vAlign w:val="center"/>
          </w:tcPr>
          <w:p>
            <w:pPr>
              <w:pStyle w:val="15"/>
            </w:pPr>
          </w:p>
        </w:tc>
        <w:tc>
          <w:tcPr>
            <w:tcW w:w="2551" w:type="dxa"/>
            <w:vAlign w:val="center"/>
          </w:tcPr>
          <w:p>
            <w:pPr>
              <w:pStyle w:val="15"/>
            </w:pPr>
            <w:r>
              <w:t>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215</w:t>
            </w:r>
          </w:p>
        </w:tc>
        <w:tc>
          <w:tcPr>
            <w:tcW w:w="4535" w:type="dxa"/>
            <w:vAlign w:val="center"/>
          </w:tcPr>
          <w:p>
            <w:pPr>
              <w:pStyle w:val="12"/>
            </w:pPr>
            <w:r>
              <w:t>资源勘探工业信息等支出</w:t>
            </w:r>
          </w:p>
        </w:tc>
        <w:tc>
          <w:tcPr>
            <w:tcW w:w="2551" w:type="dxa"/>
            <w:vAlign w:val="center"/>
          </w:tcPr>
          <w:p>
            <w:pPr>
              <w:pStyle w:val="11"/>
            </w:pPr>
            <w:r>
              <w:t>630.00</w:t>
            </w:r>
          </w:p>
        </w:tc>
        <w:tc>
          <w:tcPr>
            <w:tcW w:w="2551" w:type="dxa"/>
            <w:vAlign w:val="center"/>
          </w:tcPr>
          <w:p>
            <w:pPr>
              <w:pStyle w:val="11"/>
            </w:pPr>
          </w:p>
        </w:tc>
        <w:tc>
          <w:tcPr>
            <w:tcW w:w="2551" w:type="dxa"/>
            <w:vAlign w:val="center"/>
          </w:tcPr>
          <w:p>
            <w:pPr>
              <w:pStyle w:val="11"/>
            </w:pPr>
            <w:r>
              <w:t>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21598</w:t>
            </w:r>
          </w:p>
        </w:tc>
        <w:tc>
          <w:tcPr>
            <w:tcW w:w="4535" w:type="dxa"/>
            <w:vAlign w:val="center"/>
          </w:tcPr>
          <w:p>
            <w:pPr>
              <w:pStyle w:val="12"/>
            </w:pPr>
            <w:r>
              <w:t>超长期特别国债安排的支出</w:t>
            </w:r>
          </w:p>
        </w:tc>
        <w:tc>
          <w:tcPr>
            <w:tcW w:w="2551" w:type="dxa"/>
            <w:vAlign w:val="center"/>
          </w:tcPr>
          <w:p>
            <w:pPr>
              <w:pStyle w:val="11"/>
            </w:pPr>
            <w:r>
              <w:t>630.00</w:t>
            </w:r>
          </w:p>
        </w:tc>
        <w:tc>
          <w:tcPr>
            <w:tcW w:w="2551" w:type="dxa"/>
            <w:vAlign w:val="center"/>
          </w:tcPr>
          <w:p>
            <w:pPr>
              <w:pStyle w:val="11"/>
            </w:pPr>
          </w:p>
        </w:tc>
        <w:tc>
          <w:tcPr>
            <w:tcW w:w="2551" w:type="dxa"/>
            <w:vAlign w:val="center"/>
          </w:tcPr>
          <w:p>
            <w:pPr>
              <w:pStyle w:val="11"/>
            </w:pPr>
            <w:r>
              <w:t>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2159802</w:t>
            </w:r>
          </w:p>
        </w:tc>
        <w:tc>
          <w:tcPr>
            <w:tcW w:w="4535" w:type="dxa"/>
            <w:vAlign w:val="center"/>
          </w:tcPr>
          <w:p>
            <w:pPr>
              <w:pStyle w:val="12"/>
            </w:pPr>
            <w:r>
              <w:t>制造业</w:t>
            </w:r>
          </w:p>
        </w:tc>
        <w:tc>
          <w:tcPr>
            <w:tcW w:w="2551" w:type="dxa"/>
            <w:vAlign w:val="center"/>
          </w:tcPr>
          <w:p>
            <w:pPr>
              <w:pStyle w:val="11"/>
            </w:pPr>
            <w:r>
              <w:t>630.00</w:t>
            </w:r>
          </w:p>
        </w:tc>
        <w:tc>
          <w:tcPr>
            <w:tcW w:w="2551" w:type="dxa"/>
            <w:vAlign w:val="center"/>
          </w:tcPr>
          <w:p>
            <w:pPr>
              <w:pStyle w:val="11"/>
            </w:pPr>
          </w:p>
        </w:tc>
        <w:tc>
          <w:tcPr>
            <w:tcW w:w="2551" w:type="dxa"/>
            <w:vAlign w:val="center"/>
          </w:tcPr>
          <w:p>
            <w:pPr>
              <w:pStyle w:val="11"/>
            </w:pPr>
            <w:r>
              <w:t>630.00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303001隆尧县发展和改革局本级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隆尧县发展和改革局本级2026年单位预算信息公开情况说明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按照《中华人民共和国预算法》、《地方预决算公开操作规程》和《关于进一步推进预算公开工作的实施意见》规定，现将隆尧县发展和改革局本级2026年单位预算公开如下：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根据《中共邢台市委办公室邢台市人民政府办公室关于印发〈隆尧县机构改革方案〉的通知》（邢办字〔2018〕79号），成立隆尧县发展和改革局（简称县发展和改革局）为县政府工作部门, 机构规格正科级，加挂隆尧县粮食和物资储备局牌子。 中共隆尧县委财经委员会办公室（简称县委财经办）设在县发展和改革局，接受中共隆尧县委财经委员会的直接领导，承担中共隆尧县委财经委员会具体工作。  贯彻落实党中央和省委、市委、县委关于国民经济和社会发展以及粮食流通的方针政策和决策部署，坚持和加强党对发展改革工作的统一领导。主要职责是：</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一）贯彻执行国家和省、市有关国民经济和社会发展以及粮食流通和县级储备粮管理的方针、政策和法律、法规。拟订并组织实施全县国民经济和社会发展中长期规划和年度计划；统筹协调经济社会发展，提出全县国民经济发展和优化经济结构的目标、政策，提出综合运用各种经济手段和政策的建议；指导全县粮食流通体制改革。</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（二）贯彻落实国家和省、市宏观调控政策，统筹提出全县国民经济和社会发展主要目标，监测经济和社会发展态势，研究分析经济形势，提出政策建议。</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（三）指导推进和综合协调经济体制改革有关工作，研究全县经济体制改革的重大问题，组织拟订综合性经济体制改革方案。</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（四）拟订固定资产投资规模和投资结构的调控目标、政策及措施；安排县重点建设项目，组织申报省、市重点项目；指导和协调全县招标投标工作。</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（五）推进经济结构战略性调整。组织实施综合性产业政策，负责协调全县第一、二、三产业发展的重大问题并衔接平衡相关发展规划和重大政策，做好与国民经济和社会发展规划、计划的衔接平衡。</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（六）提出能源发展战略的建议，协调能源发展和改革中的重大问题，负责能源行业节能和资源综合利用。</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（七）推进可持续发展战略，负责节能综合协调工作；协调发展循环经济、生态建设、能源资源节约和综合利用的重大问题。</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（八）组织实施全县国民经济动员有关工作；承担县国防动员委员会交办的有关具体工作。</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九）组织实施有关价格政策，组织制定由县级管理的重要商品、服务价格和重要收费标准。研究提出全县价格总水平年度调控计划和目标；预测全县价格总水平及结构变化趋势，提出调控意见和建议；对实行政府定价和政府指导价的商品和服务价格进行直接管理。</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（十）组织谋划、实施事关全县经济和社会发展全局的重大建设项目；编制全县重点建设项目年度工作计划并监督执行；调度重点建设项目实施进度，协调解决重大问题。</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一）制定全县粮食流通产业结构调整和布局调整实施意见。负责全县粮食流通和物资储备的设施建设规划布局。指导全县粮食流通和物资储备体制改革。拟订全县粮食总量和品种平衡计划。负责全县粮食流通宏观调控的具体工作。负责落实粮食最低收购价政策；指导全县粮食市场供应。</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二）负责县级储备粮的行政管理工作。监督检查县级储备粮的数量、质量和储存安全。管理国家委托代管的中央、省、市级储备粮。研究提出县级粮食和物资储备规划、储备品种目录建议，组织实施县级粮食和救灾物资等物资的收储、轮换和日常管理。贯彻国家和省、市粮食流通和物资储备有关标准、粮食质量标准和有关技术规范并监督执行。按规定审核上报中央储备粮代储企业承储资格。</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（十三）对贯彻落实有关粮食法律法规、政策制度进行监督检查。负责社会粮食流通执法检查，负责粮食收购、储存、运输环节粮食质量安全和原粮卫生的监督管理，组织实施全县粮食库存检查工作。</w:t>
      </w:r>
    </w:p>
    <w:p>
      <w:pPr>
        <w:widowControl/>
        <w:jc w:val="left"/>
      </w:pPr>
      <w:r>
        <w:rPr>
          <w:rFonts w:hint="eastAsia" w:ascii="Times New Roman" w:hAnsi="Times New Roman" w:eastAsia="方正仿宋_GBK" w:cs="Times New Roman"/>
          <w:sz w:val="28"/>
          <w:szCs w:val="24"/>
          <w:lang w:val="en-US" w:eastAsia="uk-UA" w:bidi="ar-SA"/>
        </w:rPr>
        <w:t>（十四）完成县委、县政府交办的其他任务。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按照预算管理有关规定，目前我县部门预算的编制实行综合预算管理，即全部收入和支出都反映在预算中。隆尧县发展和改革局机关及所属事业单位的收支包含在部门预算中。</w:t>
      </w:r>
    </w:p>
    <w:p>
      <w:pPr>
        <w:pStyle w:val="22"/>
      </w:pPr>
      <w:r>
        <w:t>1、收入说明</w:t>
      </w:r>
    </w:p>
    <w:p>
      <w:pPr>
        <w:pStyle w:val="22"/>
      </w:pPr>
      <w:r>
        <w:t>反映本</w:t>
      </w:r>
      <w:r>
        <w:rPr>
          <w:rFonts w:hint="eastAsia"/>
          <w:lang w:eastAsia="zh-CN"/>
        </w:rPr>
        <w:t>单位</w:t>
      </w:r>
      <w:r>
        <w:t>当年全部收入。202</w:t>
      </w:r>
      <w:r>
        <w:rPr>
          <w:rFonts w:hint="eastAsia"/>
          <w:lang w:val="en-US" w:eastAsia="zh-CN"/>
        </w:rPr>
        <w:t>6</w:t>
      </w:r>
      <w:r>
        <w:t>年预算收入</w:t>
      </w:r>
      <w:r>
        <w:rPr>
          <w:rFonts w:hint="eastAsia"/>
          <w:lang w:val="en-US" w:eastAsia="zh-CN"/>
        </w:rPr>
        <w:t>6941.44</w:t>
      </w:r>
      <w:r>
        <w:t>万元，其中：一般公共预算收入</w:t>
      </w:r>
      <w:r>
        <w:rPr>
          <w:rFonts w:hint="eastAsia"/>
          <w:lang w:val="en-US" w:eastAsia="zh-CN"/>
        </w:rPr>
        <w:t>6311.44</w:t>
      </w:r>
      <w:r>
        <w:t>万元，上年结转收入</w:t>
      </w:r>
      <w:r>
        <w:rPr>
          <w:rFonts w:hint="eastAsia"/>
          <w:lang w:val="en-US" w:eastAsia="zh-CN"/>
        </w:rPr>
        <w:t>630</w:t>
      </w:r>
      <w:r>
        <w:t>万元。</w:t>
      </w:r>
    </w:p>
    <w:p>
      <w:pPr>
        <w:pStyle w:val="22"/>
      </w:pPr>
      <w:r>
        <w:t>2、支出说明</w:t>
      </w:r>
    </w:p>
    <w:p>
      <w:pPr>
        <w:pStyle w:val="22"/>
      </w:pPr>
      <w:r>
        <w:t>收支预算总表支出栏、基本支出表、项目支出表按经济分类和支出功能分类科目编制，反映隆尧县发展和改革局年度</w:t>
      </w:r>
      <w:r>
        <w:rPr>
          <w:rFonts w:hint="eastAsia"/>
          <w:lang w:eastAsia="zh-CN"/>
        </w:rPr>
        <w:t>单位</w:t>
      </w:r>
      <w:r>
        <w:t>预算支出预算的总体情况。202</w:t>
      </w:r>
      <w:r>
        <w:rPr>
          <w:rFonts w:hint="eastAsia"/>
          <w:lang w:val="en-US" w:eastAsia="zh-CN"/>
        </w:rPr>
        <w:t>6</w:t>
      </w:r>
      <w:r>
        <w:t>年</w:t>
      </w:r>
      <w:r>
        <w:rPr>
          <w:rFonts w:hint="eastAsia"/>
          <w:lang w:eastAsia="zh-CN"/>
        </w:rPr>
        <w:t>单位</w:t>
      </w:r>
      <w:r>
        <w:t>支出预算为</w:t>
      </w:r>
      <w:r>
        <w:rPr>
          <w:rFonts w:hint="eastAsia"/>
          <w:lang w:val="en-US" w:eastAsia="zh-CN"/>
        </w:rPr>
        <w:t>6941.44</w:t>
      </w:r>
      <w:r>
        <w:t>万元，其中基本支出</w:t>
      </w:r>
      <w:r>
        <w:rPr>
          <w:rFonts w:hint="eastAsia"/>
          <w:lang w:val="en-US" w:eastAsia="zh-CN"/>
        </w:rPr>
        <w:t>443.75</w:t>
      </w:r>
      <w:r>
        <w:t>万元，包括人员经费</w:t>
      </w:r>
      <w:r>
        <w:rPr>
          <w:rFonts w:hint="eastAsia"/>
          <w:lang w:val="en-US" w:eastAsia="zh-CN"/>
        </w:rPr>
        <w:t>412.61</w:t>
      </w:r>
      <w:r>
        <w:t>万元和日常公用经费</w:t>
      </w:r>
      <w:r>
        <w:rPr>
          <w:rFonts w:hint="eastAsia"/>
          <w:lang w:val="en-US" w:eastAsia="zh-CN"/>
        </w:rPr>
        <w:t>31.14</w:t>
      </w:r>
      <w:r>
        <w:t>万元;项目支出</w:t>
      </w:r>
      <w:r>
        <w:rPr>
          <w:rFonts w:hint="eastAsia"/>
          <w:lang w:val="en-US" w:eastAsia="zh-CN"/>
        </w:rPr>
        <w:t>6497.7</w:t>
      </w:r>
      <w:r>
        <w:t>万元，主要为2025-2026年采暖季农村煤改气用户天然气终端销售价格补贴预算县级配套</w:t>
      </w:r>
      <w:r>
        <w:rPr>
          <w:rFonts w:hint="eastAsia"/>
          <w:lang w:val="en-US" w:eastAsia="zh-CN"/>
        </w:rPr>
        <w:t>217.35万元，</w:t>
      </w:r>
      <w:r>
        <w:t>2025-2026年采暖季农村煤改气用户天然气终端销售价格补贴预算县级配套资金</w:t>
      </w:r>
      <w:r>
        <w:rPr>
          <w:rFonts w:hint="eastAsia"/>
          <w:lang w:val="en-US" w:eastAsia="zh-CN"/>
        </w:rPr>
        <w:t>570万元，</w:t>
      </w:r>
      <w:r>
        <w:t>2026年度燃气气价倒挂补贴资金</w:t>
      </w:r>
      <w:r>
        <w:rPr>
          <w:rFonts w:hint="eastAsia"/>
          <w:lang w:val="en-US" w:eastAsia="zh-CN"/>
        </w:rPr>
        <w:t>388.73万元，</w:t>
      </w:r>
      <w:r>
        <w:t>冀财建[2025]126号/中央资金/粮食流通提质增效项目</w:t>
      </w:r>
      <w:r>
        <w:rPr>
          <w:rFonts w:hint="eastAsia"/>
          <w:lang w:val="en-US" w:eastAsia="zh-CN"/>
        </w:rPr>
        <w:t>3500万元，</w:t>
      </w:r>
      <w:r>
        <w:t>大数据中心工作经费</w:t>
      </w:r>
      <w:r>
        <w:rPr>
          <w:rFonts w:hint="eastAsia"/>
          <w:lang w:val="en-US" w:eastAsia="zh-CN"/>
        </w:rPr>
        <w:t>40万元，冀财建[2025]213号/提前下达2026年省级大气污染防治（节能与循环经济）专项资金/邢台君岚再生资源有限公司年综合利用建筑施工废弃物20万吨项目700万元，</w:t>
      </w:r>
      <w:r>
        <w:t>冀财建[2026]3号/提前下达2025-2026年采暖季农村煤改气用户天然气终端销售价格补贴预算</w:t>
      </w:r>
      <w:r>
        <w:rPr>
          <w:rFonts w:hint="eastAsia"/>
          <w:lang w:val="en-US" w:eastAsia="zh-CN"/>
        </w:rPr>
        <w:t>362.25万元，</w:t>
      </w:r>
      <w:r>
        <w:t>冀财建〔2025〕98号/超长期特别国债/远大阀门集团有限公司智能阀门生产设备更新改造项目</w:t>
      </w:r>
      <w:r>
        <w:rPr>
          <w:rFonts w:hint="eastAsia"/>
          <w:lang w:val="en-US" w:eastAsia="zh-CN"/>
        </w:rPr>
        <w:t>630万元，</w:t>
      </w:r>
      <w:r>
        <w:t>县级储备粮利息和储存费用</w:t>
      </w:r>
      <w:r>
        <w:rPr>
          <w:rFonts w:hint="eastAsia"/>
          <w:lang w:val="en-US" w:eastAsia="zh-CN"/>
        </w:rPr>
        <w:t>36万元</w:t>
      </w:r>
      <w:r>
        <w:t>。</w:t>
      </w:r>
    </w:p>
    <w:p>
      <w:pPr>
        <w:pStyle w:val="22"/>
      </w:pPr>
      <w:r>
        <w:t>3、比上年增减情况</w:t>
      </w:r>
    </w:p>
    <w:p>
      <w:pPr>
        <w:pStyle w:val="22"/>
      </w:pPr>
      <w:r>
        <w:t>202</w:t>
      </w:r>
      <w:r>
        <w:rPr>
          <w:rFonts w:hint="eastAsia"/>
          <w:lang w:val="en-US" w:eastAsia="zh-CN"/>
        </w:rPr>
        <w:t>6</w:t>
      </w:r>
      <w:r>
        <w:t>年</w:t>
      </w:r>
      <w:r>
        <w:rPr>
          <w:rFonts w:hint="eastAsia"/>
          <w:lang w:eastAsia="zh-CN"/>
        </w:rPr>
        <w:t>单位</w:t>
      </w:r>
      <w:r>
        <w:t>预算收支安排</w:t>
      </w:r>
      <w:r>
        <w:rPr>
          <w:rFonts w:hint="eastAsia"/>
          <w:lang w:val="en-US" w:eastAsia="zh-CN"/>
        </w:rPr>
        <w:t>6941.44</w:t>
      </w:r>
      <w:r>
        <w:t>万元，较202</w:t>
      </w:r>
      <w:r>
        <w:rPr>
          <w:rFonts w:hint="eastAsia"/>
          <w:lang w:val="en-US" w:eastAsia="zh-CN"/>
        </w:rPr>
        <w:t>5</w:t>
      </w:r>
      <w:r>
        <w:t>年</w:t>
      </w:r>
      <w:r>
        <w:rPr>
          <w:rFonts w:hint="eastAsia"/>
          <w:lang w:eastAsia="zh-CN"/>
        </w:rPr>
        <w:t>增加</w:t>
      </w:r>
      <w:r>
        <w:rPr>
          <w:rFonts w:hint="eastAsia"/>
          <w:lang w:val="en-US" w:eastAsia="zh-CN"/>
        </w:rPr>
        <w:t>3704.5</w:t>
      </w:r>
      <w:r>
        <w:t>万元，其中：项目支出</w:t>
      </w:r>
      <w:r>
        <w:rPr>
          <w:rFonts w:hint="eastAsia"/>
          <w:lang w:eastAsia="zh-CN"/>
        </w:rPr>
        <w:t>增加</w:t>
      </w:r>
      <w:r>
        <w:rPr>
          <w:rFonts w:hint="eastAsia"/>
          <w:lang w:val="en-US" w:eastAsia="zh-CN"/>
        </w:rPr>
        <w:t>3723.7</w:t>
      </w:r>
      <w:r>
        <w:t>万元，主要是</w:t>
      </w:r>
      <w:r>
        <w:rPr>
          <w:rFonts w:hint="eastAsia"/>
          <w:lang w:eastAsia="zh-CN"/>
        </w:rPr>
        <w:t>项目资金增加，例如</w:t>
      </w:r>
      <w:r>
        <w:t>冀财建[2025]126号/中央资金/粮食流通提质增效项目</w:t>
      </w:r>
      <w:r>
        <w:rPr>
          <w:rFonts w:hint="eastAsia"/>
          <w:lang w:val="en-US" w:eastAsia="zh-CN"/>
        </w:rPr>
        <w:t>3500万元，</w:t>
      </w:r>
      <w:r>
        <w:t>2025-2026年采暖季农村煤改气用户天然气终端销售价格补贴预算县级配套资金</w:t>
      </w:r>
      <w:r>
        <w:rPr>
          <w:rFonts w:hint="eastAsia"/>
          <w:lang w:val="en-US" w:eastAsia="zh-CN"/>
        </w:rPr>
        <w:t>570万元等</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202</w:t>
      </w:r>
      <w:r>
        <w:rPr>
          <w:rFonts w:hint="eastAsia"/>
          <w:lang w:val="en-US" w:eastAsia="zh-CN"/>
        </w:rPr>
        <w:t>6</w:t>
      </w:r>
      <w:r>
        <w:t>年我</w:t>
      </w:r>
      <w:r>
        <w:rPr>
          <w:rFonts w:hint="eastAsia"/>
          <w:lang w:eastAsia="zh-CN"/>
        </w:rPr>
        <w:t>单位</w:t>
      </w:r>
      <w:r>
        <w:t>运行经费共计安排</w:t>
      </w:r>
      <w:r>
        <w:rPr>
          <w:rFonts w:hint="eastAsia"/>
          <w:lang w:val="en-US" w:eastAsia="zh-CN"/>
        </w:rPr>
        <w:t>31.14</w:t>
      </w:r>
      <w:r>
        <w:t>万元，主要用于</w:t>
      </w:r>
      <w:r>
        <w:rPr>
          <w:highlight w:val="none"/>
        </w:rPr>
        <w:t>办公费、邮电费、劳务费、电费、手续费、水费、工会经费、</w:t>
      </w:r>
      <w:r>
        <w:rPr>
          <w:rFonts w:hint="eastAsia"/>
          <w:highlight w:val="none"/>
          <w:lang w:eastAsia="zh-CN"/>
        </w:rPr>
        <w:t>取暖费</w:t>
      </w:r>
      <w:r>
        <w:rPr>
          <w:highlight w:val="none"/>
        </w:rPr>
        <w:t>、</w:t>
      </w:r>
      <w:r>
        <w:rPr>
          <w:rFonts w:hint="eastAsia"/>
          <w:highlight w:val="none"/>
          <w:lang w:eastAsia="zh-CN"/>
        </w:rPr>
        <w:t>物业管理费、</w:t>
      </w:r>
      <w:r>
        <w:rPr>
          <w:highlight w:val="none"/>
        </w:rPr>
        <w:t>其他商品和服务支出及公务交通补贴等</w:t>
      </w:r>
      <w:r>
        <w:t>日常运行支出。</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pPr>
        <w:pStyle w:val="20"/>
        <w:rPr>
          <w:rFonts w:hint="eastAsia"/>
        </w:rPr>
      </w:pPr>
      <w:r>
        <w:rPr>
          <w:rFonts w:hint="eastAsia"/>
        </w:rPr>
        <w:t>2026年，我</w:t>
      </w:r>
      <w:r>
        <w:rPr>
          <w:rFonts w:hint="eastAsia"/>
          <w:lang w:eastAsia="zh-CN"/>
        </w:rPr>
        <w:t>单位</w:t>
      </w:r>
      <w:r>
        <w:rPr>
          <w:rFonts w:hint="eastAsia"/>
        </w:rPr>
        <w:t>拨款“三公”经费预算安排0万元，与2025年持平。</w:t>
      </w:r>
    </w:p>
    <w:p>
      <w:pPr>
        <w:spacing w:before="10" w:after="10" w:line="240" w:lineRule="auto"/>
        <w:ind w:firstLine="64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hint="eastAsia" w:ascii="黑体" w:hAnsi="黑体" w:eastAsia="黑体" w:cs="黑体"/>
          <w:color w:val="000000"/>
          <w:sz w:val="32"/>
        </w:rPr>
        <w:t>委托业务费单独说明</w:t>
      </w:r>
      <w:r>
        <w:rPr>
          <w:rFonts w:ascii="黑体" w:hAnsi="黑体" w:eastAsia="黑体" w:cs="黑体"/>
          <w:color w:val="000000"/>
          <w:sz w:val="32"/>
        </w:rPr>
        <w:t>及增减变化原因</w:t>
      </w:r>
    </w:p>
    <w:p>
      <w:pPr>
        <w:pStyle w:val="23"/>
        <w:rPr>
          <w:rFonts w:hint="default" w:eastAsia="方正仿宋_GBK"/>
          <w:lang w:val="en-US" w:eastAsia="zh-CN"/>
        </w:rPr>
      </w:pPr>
      <w:r>
        <w:rPr>
          <w:rFonts w:hint="eastAsia"/>
          <w:lang w:val="en-US" w:eastAsia="zh-CN"/>
        </w:rPr>
        <w:t>2026年，我单位委托业务费安排12.68万元，主要为隆尧县“十五五”规划编制经费，大数据中心工作经费，燃气审计项目。2025年我单位委托业务费安排30.0176万元，2026年较2025年减少17.3376万元，降低了57.76%，主要原因为2026年项目的委托业务费所需资金减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六</w:t>
      </w:r>
      <w:r>
        <w:rPr>
          <w:rFonts w:ascii="黑体" w:hAnsi="黑体" w:eastAsia="黑体" w:cs="黑体"/>
          <w:color w:val="000000"/>
          <w:sz w:val="32"/>
        </w:rPr>
        <w:t>、单位项目预算安排情况及绩效目标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1、2025-2026年采暖季农村煤改气用户天然气终端销售价格补贴预算县级配套绩效目标表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13052526P00001810017H</w:t>
            </w:r>
          </w:p>
        </w:tc>
        <w:tc>
          <w:tcPr>
            <w:tcW w:w="2835" w:type="dxa"/>
            <w:vAlign w:val="center"/>
          </w:tcPr>
          <w:p>
            <w:pPr>
              <w:pStyle w:val="10"/>
            </w:pPr>
            <w:r>
              <w:t>项目名称</w:t>
            </w:r>
          </w:p>
        </w:tc>
        <w:tc>
          <w:tcPr>
            <w:tcW w:w="6095" w:type="dxa"/>
            <w:gridSpan w:val="3"/>
            <w:vAlign w:val="center"/>
          </w:tcPr>
          <w:p>
            <w:pPr>
              <w:pStyle w:val="12"/>
            </w:pPr>
            <w:r>
              <w:t>2025-2026年采暖季农村煤改气用户天然气终端销售价格补贴预算县级配套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217.35</w:t>
            </w:r>
          </w:p>
        </w:tc>
        <w:tc>
          <w:tcPr>
            <w:tcW w:w="2835" w:type="dxa"/>
            <w:vAlign w:val="center"/>
          </w:tcPr>
          <w:p>
            <w:pPr>
              <w:pStyle w:val="10"/>
            </w:pPr>
            <w:r>
              <w:t>其中：财政    资金</w:t>
            </w:r>
          </w:p>
        </w:tc>
        <w:tc>
          <w:tcPr>
            <w:tcW w:w="2551" w:type="dxa"/>
            <w:vAlign w:val="center"/>
          </w:tcPr>
          <w:p>
            <w:pPr>
              <w:pStyle w:val="12"/>
            </w:pPr>
            <w:r>
              <w:t>217.35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保障2026年燃气供应，保障居民正常取暖，维护社会稳定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1.保障2026年燃气供应，保障居民正常取暖，维护社会稳定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供暖温度达标，居民用户的室内温度不得低于当地规定的温度</w:t>
            </w:r>
          </w:p>
        </w:tc>
        <w:tc>
          <w:tcPr>
            <w:tcW w:w="5386" w:type="dxa"/>
            <w:vAlign w:val="center"/>
          </w:tcPr>
          <w:p>
            <w:pPr>
              <w:pStyle w:val="12"/>
            </w:pPr>
            <w:r>
              <w:t>居民室内供暖温度大于等于规定温度</w:t>
            </w:r>
          </w:p>
        </w:tc>
        <w:tc>
          <w:tcPr>
            <w:tcW w:w="2268" w:type="dxa"/>
            <w:vAlign w:val="center"/>
          </w:tcPr>
          <w:p>
            <w:pPr>
              <w:pStyle w:val="12"/>
            </w:pPr>
            <w:r>
              <w:t>≥18摄氏度</w:t>
            </w:r>
          </w:p>
        </w:tc>
        <w:tc>
          <w:tcPr>
            <w:tcW w:w="1276" w:type="dxa"/>
            <w:vAlign w:val="center"/>
          </w:tcPr>
          <w:p>
            <w:pPr>
              <w:pStyle w:val="12"/>
            </w:pPr>
            <w:r>
              <w:t>2025-2026年采暖季农村煤改气用户天然气终端销售价格补贴预算县级配套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供暖达标率</w:t>
            </w:r>
          </w:p>
        </w:tc>
        <w:tc>
          <w:tcPr>
            <w:tcW w:w="5386" w:type="dxa"/>
            <w:vAlign w:val="center"/>
          </w:tcPr>
          <w:p>
            <w:pPr>
              <w:pStyle w:val="12"/>
            </w:pPr>
            <w:r>
              <w:t>供暖达标天数/应达标天数*100%</w:t>
            </w:r>
          </w:p>
        </w:tc>
        <w:tc>
          <w:tcPr>
            <w:tcW w:w="2268" w:type="dxa"/>
            <w:vAlign w:val="center"/>
          </w:tcPr>
          <w:p>
            <w:pPr>
              <w:pStyle w:val="12"/>
            </w:pPr>
            <w:r>
              <w:t>≥95%</w:t>
            </w:r>
          </w:p>
        </w:tc>
        <w:tc>
          <w:tcPr>
            <w:tcW w:w="1276" w:type="dxa"/>
            <w:vAlign w:val="center"/>
          </w:tcPr>
          <w:p>
            <w:pPr>
              <w:pStyle w:val="12"/>
            </w:pPr>
            <w:r>
              <w:t>2025-2026年采暖季农村煤改气用户天然气终端销售价格补贴预算县级配套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获得支持的城燃企业运行率</w:t>
            </w:r>
          </w:p>
        </w:tc>
        <w:tc>
          <w:tcPr>
            <w:tcW w:w="5386" w:type="dxa"/>
            <w:vAlign w:val="center"/>
          </w:tcPr>
          <w:p>
            <w:pPr>
              <w:pStyle w:val="12"/>
            </w:pPr>
            <w:r>
              <w:t>城燃企业运行时间/应运行时间*100%</w:t>
            </w:r>
          </w:p>
        </w:tc>
        <w:tc>
          <w:tcPr>
            <w:tcW w:w="2268" w:type="dxa"/>
            <w:vAlign w:val="center"/>
          </w:tcPr>
          <w:p>
            <w:pPr>
              <w:pStyle w:val="12"/>
            </w:pPr>
            <w:r>
              <w:t>100%</w:t>
            </w:r>
          </w:p>
        </w:tc>
        <w:tc>
          <w:tcPr>
            <w:tcW w:w="1276" w:type="dxa"/>
            <w:vAlign w:val="center"/>
          </w:tcPr>
          <w:p>
            <w:pPr>
              <w:pStyle w:val="12"/>
            </w:pPr>
            <w:r>
              <w:t>2025-2026年采暖季农村煤改气用户天然气终端销售价格补贴预算县级配套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资金支出率</w:t>
            </w:r>
          </w:p>
        </w:tc>
        <w:tc>
          <w:tcPr>
            <w:tcW w:w="5386" w:type="dxa"/>
            <w:vAlign w:val="center"/>
          </w:tcPr>
          <w:p>
            <w:pPr>
              <w:pStyle w:val="12"/>
            </w:pPr>
            <w:r>
              <w:t>城燃补贴资金支出率</w:t>
            </w:r>
          </w:p>
        </w:tc>
        <w:tc>
          <w:tcPr>
            <w:tcW w:w="2268" w:type="dxa"/>
            <w:vAlign w:val="center"/>
          </w:tcPr>
          <w:p>
            <w:pPr>
              <w:pStyle w:val="12"/>
            </w:pPr>
            <w:r>
              <w:t>100%</w:t>
            </w:r>
          </w:p>
        </w:tc>
        <w:tc>
          <w:tcPr>
            <w:tcW w:w="1276" w:type="dxa"/>
            <w:vAlign w:val="center"/>
          </w:tcPr>
          <w:p>
            <w:pPr>
              <w:pStyle w:val="12"/>
            </w:pPr>
            <w:r>
              <w:t>2025-2026年采暖季农村煤改气用户天然气终端销售价格补贴预算县级配套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出现保暖保供重大负面舆情</w:t>
            </w:r>
          </w:p>
        </w:tc>
        <w:tc>
          <w:tcPr>
            <w:tcW w:w="5386" w:type="dxa"/>
            <w:vAlign w:val="center"/>
          </w:tcPr>
          <w:p>
            <w:pPr>
              <w:pStyle w:val="12"/>
            </w:pPr>
            <w:r>
              <w:t>出现保暖保供重大负面舆情次数</w:t>
            </w:r>
          </w:p>
        </w:tc>
        <w:tc>
          <w:tcPr>
            <w:tcW w:w="2268" w:type="dxa"/>
            <w:vAlign w:val="center"/>
          </w:tcPr>
          <w:p>
            <w:pPr>
              <w:pStyle w:val="12"/>
            </w:pPr>
            <w:r>
              <w:t>&lt;1次</w:t>
            </w:r>
          </w:p>
        </w:tc>
        <w:tc>
          <w:tcPr>
            <w:tcW w:w="1276" w:type="dxa"/>
            <w:vAlign w:val="center"/>
          </w:tcPr>
          <w:p>
            <w:pPr>
              <w:pStyle w:val="12"/>
            </w:pPr>
            <w:r>
              <w:t>2025-2026年采暖季农村煤改气用户天然气终端销售价格补贴预算县级配套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享受供暖服务群众满意度</w:t>
            </w:r>
          </w:p>
        </w:tc>
        <w:tc>
          <w:tcPr>
            <w:tcW w:w="2268" w:type="dxa"/>
            <w:vAlign w:val="center"/>
          </w:tcPr>
          <w:p>
            <w:pPr>
              <w:pStyle w:val="12"/>
            </w:pPr>
            <w:r>
              <w:t>≥90%</w:t>
            </w:r>
          </w:p>
        </w:tc>
        <w:tc>
          <w:tcPr>
            <w:tcW w:w="1276" w:type="dxa"/>
            <w:vAlign w:val="center"/>
          </w:tcPr>
          <w:p>
            <w:pPr>
              <w:pStyle w:val="12"/>
            </w:pPr>
            <w:r>
              <w:t>2025-2026年采暖季农村煤改气用户天然气终端销售价格补贴预算县级配套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2、2025-2026年采暖季农村煤改气用户天然气终端销售价格补贴预算县级配套资金绩效目标表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13052526P000018100204</w:t>
            </w:r>
          </w:p>
        </w:tc>
        <w:tc>
          <w:tcPr>
            <w:tcW w:w="2835" w:type="dxa"/>
            <w:vAlign w:val="center"/>
          </w:tcPr>
          <w:p>
            <w:pPr>
              <w:pStyle w:val="10"/>
            </w:pPr>
            <w:r>
              <w:t>项目名称</w:t>
            </w:r>
          </w:p>
        </w:tc>
        <w:tc>
          <w:tcPr>
            <w:tcW w:w="6095" w:type="dxa"/>
            <w:gridSpan w:val="3"/>
            <w:vAlign w:val="center"/>
          </w:tcPr>
          <w:p>
            <w:pPr>
              <w:pStyle w:val="12"/>
            </w:pPr>
            <w:r>
              <w:t>2025-2026年采暖季农村煤改气用户天然气终端销售价格补贴预算县级配套资金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570.00</w:t>
            </w:r>
          </w:p>
        </w:tc>
        <w:tc>
          <w:tcPr>
            <w:tcW w:w="2835" w:type="dxa"/>
            <w:vAlign w:val="center"/>
          </w:tcPr>
          <w:p>
            <w:pPr>
              <w:pStyle w:val="10"/>
            </w:pPr>
            <w:r>
              <w:t>其中：财政    资金</w:t>
            </w:r>
          </w:p>
        </w:tc>
        <w:tc>
          <w:tcPr>
            <w:tcW w:w="2551" w:type="dxa"/>
            <w:vAlign w:val="center"/>
          </w:tcPr>
          <w:p>
            <w:pPr>
              <w:pStyle w:val="12"/>
            </w:pPr>
            <w:r>
              <w:t>570.00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保障农村居民取暖，维护社会稳定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1.保障2026年燃气供应，保障居民正常取暖，维护社会稳定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供暖温度达标，居民用户的室内温度不得低于当地规定的温度</w:t>
            </w:r>
          </w:p>
        </w:tc>
        <w:tc>
          <w:tcPr>
            <w:tcW w:w="5386" w:type="dxa"/>
            <w:vAlign w:val="center"/>
          </w:tcPr>
          <w:p>
            <w:pPr>
              <w:pStyle w:val="12"/>
            </w:pPr>
            <w:r>
              <w:t>居民室内供暖温度大于等于规定温度</w:t>
            </w:r>
          </w:p>
        </w:tc>
        <w:tc>
          <w:tcPr>
            <w:tcW w:w="2268" w:type="dxa"/>
            <w:vAlign w:val="center"/>
          </w:tcPr>
          <w:p>
            <w:pPr>
              <w:pStyle w:val="12"/>
            </w:pPr>
            <w:r>
              <w:t>≥18摄氏度</w:t>
            </w:r>
          </w:p>
        </w:tc>
        <w:tc>
          <w:tcPr>
            <w:tcW w:w="1276" w:type="dxa"/>
            <w:vAlign w:val="center"/>
          </w:tcPr>
          <w:p>
            <w:pPr>
              <w:pStyle w:val="12"/>
            </w:pPr>
            <w:r>
              <w:t>2025-2026年采暖季农村煤改气用户天然气终端销售价格补贴预算县级配套资金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供暖达标率</w:t>
            </w:r>
          </w:p>
        </w:tc>
        <w:tc>
          <w:tcPr>
            <w:tcW w:w="5386" w:type="dxa"/>
            <w:vAlign w:val="center"/>
          </w:tcPr>
          <w:p>
            <w:pPr>
              <w:pStyle w:val="12"/>
            </w:pPr>
            <w:r>
              <w:t>供暖达标天数/应达标天数*100%</w:t>
            </w:r>
          </w:p>
        </w:tc>
        <w:tc>
          <w:tcPr>
            <w:tcW w:w="2268" w:type="dxa"/>
            <w:vAlign w:val="center"/>
          </w:tcPr>
          <w:p>
            <w:pPr>
              <w:pStyle w:val="12"/>
            </w:pPr>
            <w:r>
              <w:t>≥95%</w:t>
            </w:r>
          </w:p>
        </w:tc>
        <w:tc>
          <w:tcPr>
            <w:tcW w:w="1276" w:type="dxa"/>
            <w:vAlign w:val="center"/>
          </w:tcPr>
          <w:p>
            <w:pPr>
              <w:pStyle w:val="12"/>
            </w:pPr>
            <w:r>
              <w:t>2025-2026年采暖季农村煤改气用户天然气终端销售价格补贴预算县级配套资金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获得支持的城燃企业运行率</w:t>
            </w:r>
          </w:p>
        </w:tc>
        <w:tc>
          <w:tcPr>
            <w:tcW w:w="5386" w:type="dxa"/>
            <w:vAlign w:val="center"/>
          </w:tcPr>
          <w:p>
            <w:pPr>
              <w:pStyle w:val="12"/>
            </w:pPr>
            <w:r>
              <w:t>城燃企业运行时间/应运行时间*100%</w:t>
            </w:r>
          </w:p>
        </w:tc>
        <w:tc>
          <w:tcPr>
            <w:tcW w:w="2268" w:type="dxa"/>
            <w:vAlign w:val="center"/>
          </w:tcPr>
          <w:p>
            <w:pPr>
              <w:pStyle w:val="12"/>
            </w:pPr>
            <w:r>
              <w:t>100%</w:t>
            </w:r>
          </w:p>
        </w:tc>
        <w:tc>
          <w:tcPr>
            <w:tcW w:w="1276" w:type="dxa"/>
            <w:vAlign w:val="center"/>
          </w:tcPr>
          <w:p>
            <w:pPr>
              <w:pStyle w:val="12"/>
            </w:pPr>
            <w:r>
              <w:t>2025-2026年采暖季农村煤改气用户天然气终端销售价格补贴预算县级配套资金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资金支出率</w:t>
            </w:r>
          </w:p>
        </w:tc>
        <w:tc>
          <w:tcPr>
            <w:tcW w:w="5386" w:type="dxa"/>
            <w:vAlign w:val="center"/>
          </w:tcPr>
          <w:p>
            <w:pPr>
              <w:pStyle w:val="12"/>
            </w:pPr>
            <w:r>
              <w:t>城燃补贴资金支出率</w:t>
            </w:r>
          </w:p>
        </w:tc>
        <w:tc>
          <w:tcPr>
            <w:tcW w:w="2268" w:type="dxa"/>
            <w:vAlign w:val="center"/>
          </w:tcPr>
          <w:p>
            <w:pPr>
              <w:pStyle w:val="12"/>
            </w:pPr>
            <w:r>
              <w:t>100%</w:t>
            </w:r>
          </w:p>
        </w:tc>
        <w:tc>
          <w:tcPr>
            <w:tcW w:w="1276" w:type="dxa"/>
            <w:vAlign w:val="center"/>
          </w:tcPr>
          <w:p>
            <w:pPr>
              <w:pStyle w:val="12"/>
            </w:pPr>
            <w:r>
              <w:t>2025-2026年采暖季农村煤改气用户天然气终端销售价格补贴预算县级配套资金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出现保暖保供重大负面舆情</w:t>
            </w:r>
          </w:p>
        </w:tc>
        <w:tc>
          <w:tcPr>
            <w:tcW w:w="5386" w:type="dxa"/>
            <w:vAlign w:val="center"/>
          </w:tcPr>
          <w:p>
            <w:pPr>
              <w:pStyle w:val="12"/>
            </w:pPr>
            <w:r>
              <w:t>出现保暖保供重大负面舆情次数</w:t>
            </w:r>
          </w:p>
        </w:tc>
        <w:tc>
          <w:tcPr>
            <w:tcW w:w="2268" w:type="dxa"/>
            <w:vAlign w:val="center"/>
          </w:tcPr>
          <w:p>
            <w:pPr>
              <w:pStyle w:val="12"/>
            </w:pPr>
            <w:r>
              <w:t>&lt;1次</w:t>
            </w:r>
          </w:p>
        </w:tc>
        <w:tc>
          <w:tcPr>
            <w:tcW w:w="1276" w:type="dxa"/>
            <w:vAlign w:val="center"/>
          </w:tcPr>
          <w:p>
            <w:pPr>
              <w:pStyle w:val="12"/>
            </w:pPr>
            <w:r>
              <w:t>2025-2026年采暖季农村煤改气用户天然气终端销售价格补贴预算县级配套资金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享受供暖服务群众满意度</w:t>
            </w:r>
          </w:p>
        </w:tc>
        <w:tc>
          <w:tcPr>
            <w:tcW w:w="2268" w:type="dxa"/>
            <w:vAlign w:val="center"/>
          </w:tcPr>
          <w:p>
            <w:pPr>
              <w:pStyle w:val="12"/>
            </w:pPr>
            <w:r>
              <w:t>≥90%</w:t>
            </w:r>
          </w:p>
        </w:tc>
        <w:tc>
          <w:tcPr>
            <w:tcW w:w="1276" w:type="dxa"/>
            <w:vAlign w:val="center"/>
          </w:tcPr>
          <w:p>
            <w:pPr>
              <w:pStyle w:val="12"/>
            </w:pPr>
            <w:r>
              <w:t>2025-2026年采暖季农村煤改气用户天然气终端销售价格补贴预算县级配套资金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3、2025-2026年度燃气审计项目绩效目标表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13052526P000002101642</w:t>
            </w:r>
          </w:p>
        </w:tc>
        <w:tc>
          <w:tcPr>
            <w:tcW w:w="2835" w:type="dxa"/>
            <w:vAlign w:val="center"/>
          </w:tcPr>
          <w:p>
            <w:pPr>
              <w:pStyle w:val="10"/>
            </w:pPr>
            <w:r>
              <w:t>项目名称</w:t>
            </w:r>
          </w:p>
        </w:tc>
        <w:tc>
          <w:tcPr>
            <w:tcW w:w="6095" w:type="dxa"/>
            <w:gridSpan w:val="3"/>
            <w:vAlign w:val="center"/>
          </w:tcPr>
          <w:p>
            <w:pPr>
              <w:pStyle w:val="12"/>
            </w:pPr>
            <w:r>
              <w:t>2025-2026年度燃气审计项目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w:t>
            </w:r>
          </w:p>
        </w:tc>
        <w:tc>
          <w:tcPr>
            <w:tcW w:w="2835" w:type="dxa"/>
            <w:vAlign w:val="center"/>
          </w:tcPr>
          <w:p>
            <w:pPr>
              <w:pStyle w:val="10"/>
            </w:pPr>
            <w:r>
              <w:t>其中：财政    资金</w:t>
            </w:r>
          </w:p>
        </w:tc>
        <w:tc>
          <w:tcPr>
            <w:tcW w:w="2551" w:type="dxa"/>
            <w:vAlign w:val="center"/>
          </w:tcPr>
          <w:p>
            <w:pPr>
              <w:pStyle w:val="12"/>
            </w:pPr>
            <w:r>
              <w:t>1.08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保障燃气供应稳定，维护社会秩序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1.保障燃气供应，维护社会稳定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供暖温度达标，居民用户的室内温度不得低于当地规定的温度</w:t>
            </w:r>
          </w:p>
        </w:tc>
        <w:tc>
          <w:tcPr>
            <w:tcW w:w="5386" w:type="dxa"/>
            <w:vAlign w:val="center"/>
          </w:tcPr>
          <w:p>
            <w:pPr>
              <w:pStyle w:val="12"/>
            </w:pPr>
            <w:r>
              <w:t>居民室内供暖温度大于等于规定温度</w:t>
            </w:r>
          </w:p>
        </w:tc>
        <w:tc>
          <w:tcPr>
            <w:tcW w:w="2268" w:type="dxa"/>
            <w:vAlign w:val="center"/>
          </w:tcPr>
          <w:p>
            <w:pPr>
              <w:pStyle w:val="12"/>
            </w:pPr>
            <w:r>
              <w:t>≥18摄氏度</w:t>
            </w:r>
          </w:p>
        </w:tc>
        <w:tc>
          <w:tcPr>
            <w:tcW w:w="1276" w:type="dxa"/>
            <w:vAlign w:val="center"/>
          </w:tcPr>
          <w:p>
            <w:pPr>
              <w:pStyle w:val="12"/>
            </w:pPr>
            <w:r>
              <w:t>隆发改字[2025]3号，第三方测算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供暖达标率</w:t>
            </w:r>
          </w:p>
        </w:tc>
        <w:tc>
          <w:tcPr>
            <w:tcW w:w="5386" w:type="dxa"/>
            <w:vAlign w:val="center"/>
          </w:tcPr>
          <w:p>
            <w:pPr>
              <w:pStyle w:val="12"/>
            </w:pPr>
            <w:r>
              <w:t>供暖达标天数/应达标天数*100%</w:t>
            </w:r>
          </w:p>
        </w:tc>
        <w:tc>
          <w:tcPr>
            <w:tcW w:w="2268" w:type="dxa"/>
            <w:vAlign w:val="center"/>
          </w:tcPr>
          <w:p>
            <w:pPr>
              <w:pStyle w:val="12"/>
            </w:pPr>
            <w:r>
              <w:t>≥95%</w:t>
            </w:r>
          </w:p>
        </w:tc>
        <w:tc>
          <w:tcPr>
            <w:tcW w:w="1276" w:type="dxa"/>
            <w:vAlign w:val="center"/>
          </w:tcPr>
          <w:p>
            <w:pPr>
              <w:pStyle w:val="12"/>
            </w:pPr>
            <w:r>
              <w:t>隆发改字[2025]3号，第三方测算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获得支持的城燃企业运行率</w:t>
            </w:r>
          </w:p>
        </w:tc>
        <w:tc>
          <w:tcPr>
            <w:tcW w:w="5386" w:type="dxa"/>
            <w:vAlign w:val="center"/>
          </w:tcPr>
          <w:p>
            <w:pPr>
              <w:pStyle w:val="12"/>
            </w:pPr>
            <w:r>
              <w:t>城燃企业运行时间/应运行时间*100%</w:t>
            </w:r>
          </w:p>
        </w:tc>
        <w:tc>
          <w:tcPr>
            <w:tcW w:w="2268" w:type="dxa"/>
            <w:vAlign w:val="center"/>
          </w:tcPr>
          <w:p>
            <w:pPr>
              <w:pStyle w:val="12"/>
            </w:pPr>
            <w:r>
              <w:t>100%</w:t>
            </w:r>
          </w:p>
        </w:tc>
        <w:tc>
          <w:tcPr>
            <w:tcW w:w="1276" w:type="dxa"/>
            <w:vAlign w:val="center"/>
          </w:tcPr>
          <w:p>
            <w:pPr>
              <w:pStyle w:val="12"/>
            </w:pPr>
            <w:r>
              <w:t>隆发改字[2025]3号，第三方测算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资金支出率</w:t>
            </w:r>
          </w:p>
        </w:tc>
        <w:tc>
          <w:tcPr>
            <w:tcW w:w="5386" w:type="dxa"/>
            <w:vAlign w:val="center"/>
          </w:tcPr>
          <w:p>
            <w:pPr>
              <w:pStyle w:val="12"/>
            </w:pPr>
            <w:r>
              <w:t>补贴资金支出率</w:t>
            </w:r>
          </w:p>
        </w:tc>
        <w:tc>
          <w:tcPr>
            <w:tcW w:w="2268" w:type="dxa"/>
            <w:vAlign w:val="center"/>
          </w:tcPr>
          <w:p>
            <w:pPr>
              <w:pStyle w:val="12"/>
            </w:pPr>
            <w:r>
              <w:t>≤1.08%</w:t>
            </w:r>
          </w:p>
        </w:tc>
        <w:tc>
          <w:tcPr>
            <w:tcW w:w="1276" w:type="dxa"/>
            <w:vAlign w:val="center"/>
          </w:tcPr>
          <w:p>
            <w:pPr>
              <w:pStyle w:val="12"/>
            </w:pPr>
            <w:r>
              <w:t>隆发改字[2025]3号，第三方测算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出现保暖保供重大负面舆情</w:t>
            </w:r>
          </w:p>
        </w:tc>
        <w:tc>
          <w:tcPr>
            <w:tcW w:w="5386" w:type="dxa"/>
            <w:vAlign w:val="center"/>
          </w:tcPr>
          <w:p>
            <w:pPr>
              <w:pStyle w:val="12"/>
            </w:pPr>
            <w:r>
              <w:t>出现保暖保供重大负面舆情次数</w:t>
            </w:r>
          </w:p>
        </w:tc>
        <w:tc>
          <w:tcPr>
            <w:tcW w:w="2268" w:type="dxa"/>
            <w:vAlign w:val="center"/>
          </w:tcPr>
          <w:p>
            <w:pPr>
              <w:pStyle w:val="12"/>
            </w:pPr>
            <w:r>
              <w:t>&lt;1次</w:t>
            </w:r>
          </w:p>
        </w:tc>
        <w:tc>
          <w:tcPr>
            <w:tcW w:w="1276" w:type="dxa"/>
            <w:vAlign w:val="center"/>
          </w:tcPr>
          <w:p>
            <w:pPr>
              <w:pStyle w:val="12"/>
            </w:pPr>
            <w:r>
              <w:t>隆发改字[2025]3号，第三方测算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享受供暖服务群众满意度</w:t>
            </w:r>
          </w:p>
        </w:tc>
        <w:tc>
          <w:tcPr>
            <w:tcW w:w="2268" w:type="dxa"/>
            <w:vAlign w:val="center"/>
          </w:tcPr>
          <w:p>
            <w:pPr>
              <w:pStyle w:val="12"/>
            </w:pPr>
            <w:r>
              <w:t>≥90%</w:t>
            </w:r>
          </w:p>
        </w:tc>
        <w:tc>
          <w:tcPr>
            <w:tcW w:w="1276" w:type="dxa"/>
            <w:vAlign w:val="center"/>
          </w:tcPr>
          <w:p>
            <w:pPr>
              <w:pStyle w:val="12"/>
            </w:pPr>
            <w:r>
              <w:t>隆发改字[2025]3号，第三方测算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4、2026年度燃气气价倒挂补贴资金绩效目标表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13052526P00001810019Q</w:t>
            </w:r>
          </w:p>
        </w:tc>
        <w:tc>
          <w:tcPr>
            <w:tcW w:w="2835" w:type="dxa"/>
            <w:vAlign w:val="center"/>
          </w:tcPr>
          <w:p>
            <w:pPr>
              <w:pStyle w:val="10"/>
            </w:pPr>
            <w:r>
              <w:t>项目名称</w:t>
            </w:r>
          </w:p>
        </w:tc>
        <w:tc>
          <w:tcPr>
            <w:tcW w:w="6095" w:type="dxa"/>
            <w:gridSpan w:val="3"/>
            <w:vAlign w:val="center"/>
          </w:tcPr>
          <w:p>
            <w:pPr>
              <w:pStyle w:val="12"/>
            </w:pPr>
            <w:r>
              <w:t>2026年度燃气气价倒挂补贴资金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388.73</w:t>
            </w:r>
          </w:p>
        </w:tc>
        <w:tc>
          <w:tcPr>
            <w:tcW w:w="2835" w:type="dxa"/>
            <w:vAlign w:val="center"/>
          </w:tcPr>
          <w:p>
            <w:pPr>
              <w:pStyle w:val="10"/>
            </w:pPr>
            <w:r>
              <w:t>其中：财政    资金</w:t>
            </w:r>
          </w:p>
        </w:tc>
        <w:tc>
          <w:tcPr>
            <w:tcW w:w="2551" w:type="dxa"/>
            <w:vAlign w:val="center"/>
          </w:tcPr>
          <w:p>
            <w:pPr>
              <w:pStyle w:val="12"/>
            </w:pPr>
            <w:r>
              <w:t>388.73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用于补贴燃气资金，保障群众温暖过冬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1.保障2026年燃气供应，保障居民正常取暖，维护社会稳定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企业数量</w:t>
            </w:r>
          </w:p>
        </w:tc>
        <w:tc>
          <w:tcPr>
            <w:tcW w:w="5386" w:type="dxa"/>
            <w:vAlign w:val="center"/>
          </w:tcPr>
          <w:p>
            <w:pPr>
              <w:pStyle w:val="12"/>
            </w:pPr>
            <w:r>
              <w:t>涉及燃气企业数量</w:t>
            </w:r>
          </w:p>
        </w:tc>
        <w:tc>
          <w:tcPr>
            <w:tcW w:w="2268" w:type="dxa"/>
            <w:vAlign w:val="center"/>
          </w:tcPr>
          <w:p>
            <w:pPr>
              <w:pStyle w:val="12"/>
            </w:pPr>
            <w:r>
              <w:t>3家</w:t>
            </w:r>
          </w:p>
        </w:tc>
        <w:tc>
          <w:tcPr>
            <w:tcW w:w="1276" w:type="dxa"/>
            <w:vAlign w:val="center"/>
          </w:tcPr>
          <w:p>
            <w:pPr>
              <w:pStyle w:val="12"/>
            </w:pPr>
            <w:r>
              <w:t>依据《隆尧县2025-2026年度采暖季燃气企业气价补贴实施方案》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供暖达标率</w:t>
            </w:r>
          </w:p>
        </w:tc>
        <w:tc>
          <w:tcPr>
            <w:tcW w:w="5386" w:type="dxa"/>
            <w:vAlign w:val="center"/>
          </w:tcPr>
          <w:p>
            <w:pPr>
              <w:pStyle w:val="12"/>
            </w:pPr>
            <w:r>
              <w:t>供暖达标天数/供暖总共天数*100%</w:t>
            </w:r>
          </w:p>
        </w:tc>
        <w:tc>
          <w:tcPr>
            <w:tcW w:w="2268" w:type="dxa"/>
            <w:vAlign w:val="center"/>
          </w:tcPr>
          <w:p>
            <w:pPr>
              <w:pStyle w:val="12"/>
            </w:pPr>
            <w:r>
              <w:t>≥90%</w:t>
            </w:r>
          </w:p>
        </w:tc>
        <w:tc>
          <w:tcPr>
            <w:tcW w:w="1276" w:type="dxa"/>
            <w:vAlign w:val="center"/>
          </w:tcPr>
          <w:p>
            <w:pPr>
              <w:pStyle w:val="12"/>
            </w:pPr>
            <w:r>
              <w:t>依据《隆尧县2025-2026年度采暖季燃气企业气价补贴实施方案》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资金按时拨付</w:t>
            </w:r>
          </w:p>
        </w:tc>
        <w:tc>
          <w:tcPr>
            <w:tcW w:w="5386" w:type="dxa"/>
            <w:vAlign w:val="center"/>
          </w:tcPr>
          <w:p>
            <w:pPr>
              <w:pStyle w:val="12"/>
            </w:pPr>
            <w:r>
              <w:t>补贴资金按时拨付率</w:t>
            </w:r>
          </w:p>
        </w:tc>
        <w:tc>
          <w:tcPr>
            <w:tcW w:w="2268" w:type="dxa"/>
            <w:vAlign w:val="center"/>
          </w:tcPr>
          <w:p>
            <w:pPr>
              <w:pStyle w:val="12"/>
            </w:pPr>
            <w:r>
              <w:t>≥95%</w:t>
            </w:r>
          </w:p>
        </w:tc>
        <w:tc>
          <w:tcPr>
            <w:tcW w:w="1276" w:type="dxa"/>
            <w:vAlign w:val="center"/>
          </w:tcPr>
          <w:p>
            <w:pPr>
              <w:pStyle w:val="12"/>
            </w:pPr>
            <w:r>
              <w:t>依据《隆尧县2025-2026年度采暖季燃气企业气价补贴实施方案》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项目预算成本</w:t>
            </w:r>
          </w:p>
        </w:tc>
        <w:tc>
          <w:tcPr>
            <w:tcW w:w="5386" w:type="dxa"/>
            <w:vAlign w:val="center"/>
          </w:tcPr>
          <w:p>
            <w:pPr>
              <w:pStyle w:val="12"/>
            </w:pPr>
            <w:r>
              <w:t>项目补贴企业金额</w:t>
            </w:r>
          </w:p>
        </w:tc>
        <w:tc>
          <w:tcPr>
            <w:tcW w:w="2268" w:type="dxa"/>
            <w:vAlign w:val="center"/>
          </w:tcPr>
          <w:p>
            <w:pPr>
              <w:pStyle w:val="12"/>
            </w:pPr>
            <w:r>
              <w:t>≥388.72万元</w:t>
            </w:r>
          </w:p>
        </w:tc>
        <w:tc>
          <w:tcPr>
            <w:tcW w:w="1276" w:type="dxa"/>
            <w:vAlign w:val="center"/>
          </w:tcPr>
          <w:p>
            <w:pPr>
              <w:pStyle w:val="12"/>
            </w:pPr>
            <w:r>
              <w:t>依据《隆尧县2025-2026年度采暖季燃气企业气价补贴实施方案》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维护社会稳定</w:t>
            </w:r>
          </w:p>
        </w:tc>
        <w:tc>
          <w:tcPr>
            <w:tcW w:w="5386" w:type="dxa"/>
            <w:vAlign w:val="center"/>
          </w:tcPr>
          <w:p>
            <w:pPr>
              <w:pStyle w:val="12"/>
            </w:pPr>
            <w:r>
              <w:t>保障供暖正常维护社会稳定</w:t>
            </w:r>
          </w:p>
        </w:tc>
        <w:tc>
          <w:tcPr>
            <w:tcW w:w="2268" w:type="dxa"/>
            <w:vAlign w:val="center"/>
          </w:tcPr>
          <w:p>
            <w:pPr>
              <w:pStyle w:val="12"/>
            </w:pPr>
            <w:r>
              <w:t>≥95%</w:t>
            </w:r>
          </w:p>
        </w:tc>
        <w:tc>
          <w:tcPr>
            <w:tcW w:w="1276" w:type="dxa"/>
            <w:vAlign w:val="center"/>
          </w:tcPr>
          <w:p>
            <w:pPr>
              <w:pStyle w:val="12"/>
            </w:pPr>
            <w:r>
              <w:t>依据《隆尧县2025-2026年度采暖季燃气企业气价补贴实施方案》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w:t>
            </w:r>
          </w:p>
        </w:tc>
        <w:tc>
          <w:tcPr>
            <w:tcW w:w="5386" w:type="dxa"/>
            <w:vAlign w:val="center"/>
          </w:tcPr>
          <w:p>
            <w:pPr>
              <w:pStyle w:val="12"/>
            </w:pPr>
            <w:r>
              <w:t>保障供暖持续发挥作用</w:t>
            </w:r>
          </w:p>
        </w:tc>
        <w:tc>
          <w:tcPr>
            <w:tcW w:w="2268" w:type="dxa"/>
            <w:vAlign w:val="center"/>
          </w:tcPr>
          <w:p>
            <w:pPr>
              <w:pStyle w:val="12"/>
            </w:pPr>
            <w:r>
              <w:t>≥95%</w:t>
            </w:r>
          </w:p>
        </w:tc>
        <w:tc>
          <w:tcPr>
            <w:tcW w:w="1276" w:type="dxa"/>
            <w:vAlign w:val="center"/>
          </w:tcPr>
          <w:p>
            <w:pPr>
              <w:pStyle w:val="12"/>
            </w:pPr>
            <w:r>
              <w:t>依据《隆尧县2025-2026年度采暖季燃气企业气价补贴实施方案》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依据《隆尧县2025-2026年度采暖季燃气企业气价补贴实施方案》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5、办案补助/自收自支人员绩效目标表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13052526P000002100178</w:t>
            </w:r>
          </w:p>
        </w:tc>
        <w:tc>
          <w:tcPr>
            <w:tcW w:w="2835" w:type="dxa"/>
            <w:vAlign w:val="center"/>
          </w:tcPr>
          <w:p>
            <w:pPr>
              <w:pStyle w:val="10"/>
            </w:pPr>
            <w:r>
              <w:t>项目名称</w:t>
            </w:r>
          </w:p>
        </w:tc>
        <w:tc>
          <w:tcPr>
            <w:tcW w:w="6095" w:type="dxa"/>
            <w:gridSpan w:val="3"/>
            <w:vAlign w:val="center"/>
          </w:tcPr>
          <w:p>
            <w:pPr>
              <w:pStyle w:val="12"/>
            </w:pPr>
            <w:r>
              <w:t>办案补助/自收自支人员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23.04</w:t>
            </w:r>
          </w:p>
        </w:tc>
        <w:tc>
          <w:tcPr>
            <w:tcW w:w="2835" w:type="dxa"/>
            <w:vAlign w:val="center"/>
          </w:tcPr>
          <w:p>
            <w:pPr>
              <w:pStyle w:val="10"/>
            </w:pPr>
            <w:r>
              <w:t>其中：财政    资金</w:t>
            </w:r>
          </w:p>
        </w:tc>
        <w:tc>
          <w:tcPr>
            <w:tcW w:w="2551" w:type="dxa"/>
            <w:vAlign w:val="center"/>
          </w:tcPr>
          <w:p>
            <w:pPr>
              <w:pStyle w:val="12"/>
            </w:pPr>
            <w:r>
              <w:t>23.04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保障自收自支保险及工资发放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1.保障自收自支2026年度保险及工资发放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发放工资人数</w:t>
            </w:r>
          </w:p>
        </w:tc>
        <w:tc>
          <w:tcPr>
            <w:tcW w:w="5386" w:type="dxa"/>
            <w:vAlign w:val="center"/>
          </w:tcPr>
          <w:p>
            <w:pPr>
              <w:pStyle w:val="12"/>
            </w:pPr>
            <w:r>
              <w:t>自支人员数量</w:t>
            </w:r>
          </w:p>
        </w:tc>
        <w:tc>
          <w:tcPr>
            <w:tcW w:w="2268" w:type="dxa"/>
            <w:vAlign w:val="center"/>
          </w:tcPr>
          <w:p>
            <w:pPr>
              <w:pStyle w:val="12"/>
            </w:pPr>
            <w:r>
              <w:t>10人</w:t>
            </w:r>
          </w:p>
        </w:tc>
        <w:tc>
          <w:tcPr>
            <w:tcW w:w="1276" w:type="dxa"/>
            <w:vAlign w:val="center"/>
          </w:tcPr>
          <w:p>
            <w:pPr>
              <w:pStyle w:val="12"/>
            </w:pPr>
            <w:r>
              <w:t>保险及工资花名册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人员经费保障率</w:t>
            </w:r>
          </w:p>
        </w:tc>
        <w:tc>
          <w:tcPr>
            <w:tcW w:w="5386" w:type="dxa"/>
            <w:vAlign w:val="center"/>
          </w:tcPr>
          <w:p>
            <w:pPr>
              <w:pStyle w:val="12"/>
            </w:pPr>
            <w:r>
              <w:t>用于工资发放及社保缴费率</w:t>
            </w:r>
          </w:p>
        </w:tc>
        <w:tc>
          <w:tcPr>
            <w:tcW w:w="2268" w:type="dxa"/>
            <w:vAlign w:val="center"/>
          </w:tcPr>
          <w:p>
            <w:pPr>
              <w:pStyle w:val="12"/>
            </w:pPr>
            <w:r>
              <w:t>100%</w:t>
            </w:r>
          </w:p>
        </w:tc>
        <w:tc>
          <w:tcPr>
            <w:tcW w:w="1276" w:type="dxa"/>
            <w:vAlign w:val="center"/>
          </w:tcPr>
          <w:p>
            <w:pPr>
              <w:pStyle w:val="12"/>
            </w:pPr>
            <w:r>
              <w:t>保险及工资花名册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按时发放工资及缴纳社保率</w:t>
            </w:r>
          </w:p>
        </w:tc>
        <w:tc>
          <w:tcPr>
            <w:tcW w:w="2268" w:type="dxa"/>
            <w:vAlign w:val="center"/>
          </w:tcPr>
          <w:p>
            <w:pPr>
              <w:pStyle w:val="12"/>
            </w:pPr>
            <w:r>
              <w:t>≥95%</w:t>
            </w:r>
          </w:p>
        </w:tc>
        <w:tc>
          <w:tcPr>
            <w:tcW w:w="1276" w:type="dxa"/>
            <w:vAlign w:val="center"/>
          </w:tcPr>
          <w:p>
            <w:pPr>
              <w:pStyle w:val="12"/>
            </w:pPr>
            <w:r>
              <w:t>保险及工资花名册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项目预算成本</w:t>
            </w:r>
          </w:p>
        </w:tc>
        <w:tc>
          <w:tcPr>
            <w:tcW w:w="5386" w:type="dxa"/>
            <w:vAlign w:val="center"/>
          </w:tcPr>
          <w:p>
            <w:pPr>
              <w:pStyle w:val="12"/>
            </w:pPr>
            <w:r>
              <w:t>自收自支保险工资预算成本</w:t>
            </w:r>
          </w:p>
        </w:tc>
        <w:tc>
          <w:tcPr>
            <w:tcW w:w="2268" w:type="dxa"/>
            <w:vAlign w:val="center"/>
          </w:tcPr>
          <w:p>
            <w:pPr>
              <w:pStyle w:val="12"/>
            </w:pPr>
            <w:r>
              <w:t>23.04万元</w:t>
            </w:r>
          </w:p>
        </w:tc>
        <w:tc>
          <w:tcPr>
            <w:tcW w:w="1276" w:type="dxa"/>
            <w:vAlign w:val="center"/>
          </w:tcPr>
          <w:p>
            <w:pPr>
              <w:pStyle w:val="12"/>
            </w:pPr>
            <w:r>
              <w:t>保险及工资花名册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职工积极性</w:t>
            </w:r>
          </w:p>
        </w:tc>
        <w:tc>
          <w:tcPr>
            <w:tcW w:w="5386" w:type="dxa"/>
            <w:vAlign w:val="center"/>
          </w:tcPr>
          <w:p>
            <w:pPr>
              <w:pStyle w:val="12"/>
            </w:pPr>
            <w:r>
              <w:t>保障工资福利激发员工积极性</w:t>
            </w:r>
          </w:p>
        </w:tc>
        <w:tc>
          <w:tcPr>
            <w:tcW w:w="2268" w:type="dxa"/>
            <w:vAlign w:val="center"/>
          </w:tcPr>
          <w:p>
            <w:pPr>
              <w:pStyle w:val="12"/>
            </w:pPr>
            <w:r>
              <w:t>≥95%</w:t>
            </w:r>
          </w:p>
        </w:tc>
        <w:tc>
          <w:tcPr>
            <w:tcW w:w="1276" w:type="dxa"/>
            <w:vAlign w:val="center"/>
          </w:tcPr>
          <w:p>
            <w:pPr>
              <w:pStyle w:val="12"/>
            </w:pPr>
            <w:r>
              <w:t>保险及工资花名册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保险及工资花名册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6、成品粮储备项目补贴绩效目标表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13052526P000006100073</w:t>
            </w:r>
          </w:p>
        </w:tc>
        <w:tc>
          <w:tcPr>
            <w:tcW w:w="2835" w:type="dxa"/>
            <w:vAlign w:val="center"/>
          </w:tcPr>
          <w:p>
            <w:pPr>
              <w:pStyle w:val="10"/>
            </w:pPr>
            <w:r>
              <w:t>项目名称</w:t>
            </w:r>
          </w:p>
        </w:tc>
        <w:tc>
          <w:tcPr>
            <w:tcW w:w="6095" w:type="dxa"/>
            <w:gridSpan w:val="3"/>
            <w:vAlign w:val="center"/>
          </w:tcPr>
          <w:p>
            <w:pPr>
              <w:pStyle w:val="12"/>
            </w:pPr>
            <w:r>
              <w:t>成品粮储备项目补贴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保障面粉安全供应，维护社会稳定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1.保障面粉供应，维护社会稳定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储存面粉数量</w:t>
            </w:r>
          </w:p>
        </w:tc>
        <w:tc>
          <w:tcPr>
            <w:tcW w:w="5386" w:type="dxa"/>
            <w:vAlign w:val="center"/>
          </w:tcPr>
          <w:p>
            <w:pPr>
              <w:pStyle w:val="12"/>
            </w:pPr>
            <w:r>
              <w:t>应急储备面粉数量（吨）</w:t>
            </w:r>
          </w:p>
        </w:tc>
        <w:tc>
          <w:tcPr>
            <w:tcW w:w="2268" w:type="dxa"/>
            <w:vAlign w:val="center"/>
          </w:tcPr>
          <w:p>
            <w:pPr>
              <w:pStyle w:val="12"/>
            </w:pPr>
            <w:r>
              <w:t>2000吨</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质量安全率</w:t>
            </w:r>
          </w:p>
        </w:tc>
        <w:tc>
          <w:tcPr>
            <w:tcW w:w="5386" w:type="dxa"/>
            <w:vAlign w:val="center"/>
          </w:tcPr>
          <w:p>
            <w:pPr>
              <w:pStyle w:val="12"/>
            </w:pPr>
            <w:r>
              <w:t>储存安全面粉数量/储存面粉数量*100%</w:t>
            </w:r>
          </w:p>
        </w:tc>
        <w:tc>
          <w:tcPr>
            <w:tcW w:w="2268" w:type="dxa"/>
            <w:vAlign w:val="center"/>
          </w:tcPr>
          <w:p>
            <w:pPr>
              <w:pStyle w:val="12"/>
            </w:pPr>
            <w:r>
              <w:t>100%</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任务完成程度</w:t>
            </w:r>
          </w:p>
        </w:tc>
        <w:tc>
          <w:tcPr>
            <w:tcW w:w="2268" w:type="dxa"/>
            <w:vAlign w:val="center"/>
          </w:tcPr>
          <w:p>
            <w:pPr>
              <w:pStyle w:val="12"/>
            </w:pPr>
            <w:r>
              <w:t>保证经常储存量2000吨</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储备物资成本</w:t>
            </w:r>
          </w:p>
        </w:tc>
        <w:tc>
          <w:tcPr>
            <w:tcW w:w="5386" w:type="dxa"/>
            <w:vAlign w:val="center"/>
          </w:tcPr>
          <w:p>
            <w:pPr>
              <w:pStyle w:val="12"/>
            </w:pPr>
            <w:r>
              <w:t>2000吨储备物资总成本</w:t>
            </w:r>
          </w:p>
        </w:tc>
        <w:tc>
          <w:tcPr>
            <w:tcW w:w="2268" w:type="dxa"/>
            <w:vAlign w:val="center"/>
          </w:tcPr>
          <w:p>
            <w:pPr>
              <w:pStyle w:val="12"/>
            </w:pPr>
            <w:r>
              <w:t>2025年补贴总额10万元</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应急保障率</w:t>
            </w:r>
          </w:p>
        </w:tc>
        <w:tc>
          <w:tcPr>
            <w:tcW w:w="5386" w:type="dxa"/>
            <w:vAlign w:val="center"/>
          </w:tcPr>
          <w:p>
            <w:pPr>
              <w:pStyle w:val="12"/>
            </w:pPr>
            <w:r>
              <w:t>储备物资应急保障率</w:t>
            </w:r>
          </w:p>
        </w:tc>
        <w:tc>
          <w:tcPr>
            <w:tcW w:w="2268" w:type="dxa"/>
            <w:vAlign w:val="center"/>
          </w:tcPr>
          <w:p>
            <w:pPr>
              <w:pStyle w:val="12"/>
            </w:pPr>
            <w:r>
              <w:t>100保障市场供应</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承储企业满意程度</w:t>
            </w:r>
          </w:p>
        </w:tc>
        <w:tc>
          <w:tcPr>
            <w:tcW w:w="2268" w:type="dxa"/>
            <w:vAlign w:val="center"/>
          </w:tcPr>
          <w:p>
            <w:pPr>
              <w:pStyle w:val="12"/>
            </w:pPr>
            <w:r>
              <w:t>100%</w:t>
            </w:r>
          </w:p>
        </w:tc>
        <w:tc>
          <w:tcPr>
            <w:tcW w:w="1276" w:type="dxa"/>
            <w:vAlign w:val="center"/>
          </w:tcPr>
          <w:p>
            <w:pPr>
              <w:pStyle w:val="12"/>
            </w:pPr>
            <w:r>
              <w:t>年度目标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7、大数据中心工作经费绩效目标表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13052526P000002101546</w:t>
            </w:r>
          </w:p>
        </w:tc>
        <w:tc>
          <w:tcPr>
            <w:tcW w:w="2835" w:type="dxa"/>
            <w:vAlign w:val="center"/>
          </w:tcPr>
          <w:p>
            <w:pPr>
              <w:pStyle w:val="10"/>
            </w:pPr>
            <w:r>
              <w:t>项目名称</w:t>
            </w:r>
          </w:p>
        </w:tc>
        <w:tc>
          <w:tcPr>
            <w:tcW w:w="6095" w:type="dxa"/>
            <w:gridSpan w:val="3"/>
            <w:vAlign w:val="center"/>
          </w:tcPr>
          <w:p>
            <w:pPr>
              <w:pStyle w:val="12"/>
            </w:pPr>
            <w:r>
              <w:t>大数据中心工作经费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保障数据运转，提高服务水平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4" w:type="dxa"/>
            <w:gridSpan w:val="2"/>
            <w:vAlign w:val="center"/>
          </w:tcPr>
          <w:p>
            <w:pPr>
              <w:pStyle w:val="13"/>
            </w:pPr>
            <w:r>
              <w:t>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1.保障大数据中心运转，提高公共服务水平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完成工作数量</w:t>
            </w:r>
          </w:p>
        </w:tc>
        <w:tc>
          <w:tcPr>
            <w:tcW w:w="5386" w:type="dxa"/>
            <w:vAlign w:val="center"/>
          </w:tcPr>
          <w:p>
            <w:pPr>
              <w:pStyle w:val="12"/>
            </w:pPr>
            <w:r>
              <w:t>完成大数据工作数量</w:t>
            </w:r>
          </w:p>
        </w:tc>
        <w:tc>
          <w:tcPr>
            <w:tcW w:w="2268" w:type="dxa"/>
            <w:vAlign w:val="center"/>
          </w:tcPr>
          <w:p>
            <w:pPr>
              <w:pStyle w:val="12"/>
            </w:pPr>
            <w:r>
              <w:t>≥3项</w:t>
            </w:r>
          </w:p>
        </w:tc>
        <w:tc>
          <w:tcPr>
            <w:tcW w:w="1276" w:type="dxa"/>
            <w:vAlign w:val="center"/>
          </w:tcPr>
          <w:p>
            <w:pPr>
              <w:pStyle w:val="12"/>
            </w:pPr>
            <w:r>
              <w:t>项目年初设定目标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智能办公水平提升率</w:t>
            </w:r>
          </w:p>
        </w:tc>
        <w:tc>
          <w:tcPr>
            <w:tcW w:w="5386" w:type="dxa"/>
            <w:vAlign w:val="center"/>
          </w:tcPr>
          <w:p>
            <w:pPr>
              <w:pStyle w:val="12"/>
            </w:pPr>
            <w:r>
              <w:t>提升办公水平，促进社会发展</w:t>
            </w:r>
          </w:p>
        </w:tc>
        <w:tc>
          <w:tcPr>
            <w:tcW w:w="2268" w:type="dxa"/>
            <w:vAlign w:val="center"/>
          </w:tcPr>
          <w:p>
            <w:pPr>
              <w:pStyle w:val="12"/>
            </w:pPr>
            <w:r>
              <w:t>≥95%</w:t>
            </w:r>
          </w:p>
        </w:tc>
        <w:tc>
          <w:tcPr>
            <w:tcW w:w="1276" w:type="dxa"/>
            <w:vAlign w:val="center"/>
          </w:tcPr>
          <w:p>
            <w:pPr>
              <w:pStyle w:val="12"/>
            </w:pPr>
            <w:r>
              <w:t>项目年初设定目标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按期完成资金支付</w:t>
            </w:r>
          </w:p>
        </w:tc>
        <w:tc>
          <w:tcPr>
            <w:tcW w:w="5386" w:type="dxa"/>
            <w:vAlign w:val="center"/>
          </w:tcPr>
          <w:p>
            <w:pPr>
              <w:pStyle w:val="12"/>
            </w:pPr>
            <w:r>
              <w:t>按期完成资金支付</w:t>
            </w:r>
          </w:p>
        </w:tc>
        <w:tc>
          <w:tcPr>
            <w:tcW w:w="2268" w:type="dxa"/>
            <w:vAlign w:val="center"/>
          </w:tcPr>
          <w:p>
            <w:pPr>
              <w:pStyle w:val="12"/>
            </w:pPr>
            <w:r>
              <w:t>≥95%</w:t>
            </w:r>
          </w:p>
        </w:tc>
        <w:tc>
          <w:tcPr>
            <w:tcW w:w="1276" w:type="dxa"/>
            <w:vAlign w:val="center"/>
          </w:tcPr>
          <w:p>
            <w:pPr>
              <w:pStyle w:val="12"/>
            </w:pPr>
            <w:r>
              <w:t>项目年初设定目标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2268" w:type="dxa"/>
            <w:vAlign w:val="center"/>
          </w:tcPr>
          <w:p>
            <w:pPr>
              <w:pStyle w:val="12"/>
            </w:pPr>
            <w:r>
              <w:t>≤60万</w:t>
            </w:r>
          </w:p>
        </w:tc>
        <w:tc>
          <w:tcPr>
            <w:tcW w:w="1276" w:type="dxa"/>
            <w:vAlign w:val="center"/>
          </w:tcPr>
          <w:p>
            <w:pPr>
              <w:pStyle w:val="12"/>
            </w:pPr>
            <w:r>
              <w:t>项目年初设定目标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推进数字化建设，提升智能化水平</w:t>
            </w:r>
          </w:p>
        </w:tc>
        <w:tc>
          <w:tcPr>
            <w:tcW w:w="5386" w:type="dxa"/>
            <w:vAlign w:val="center"/>
          </w:tcPr>
          <w:p>
            <w:pPr>
              <w:pStyle w:val="12"/>
            </w:pPr>
            <w:r>
              <w:t>推进智慧隆尧建设，提升智能化水平</w:t>
            </w:r>
          </w:p>
        </w:tc>
        <w:tc>
          <w:tcPr>
            <w:tcW w:w="2268" w:type="dxa"/>
            <w:vAlign w:val="center"/>
          </w:tcPr>
          <w:p>
            <w:pPr>
              <w:pStyle w:val="12"/>
            </w:pPr>
            <w:r>
              <w:t>≥95%</w:t>
            </w:r>
          </w:p>
        </w:tc>
        <w:tc>
          <w:tcPr>
            <w:tcW w:w="1276" w:type="dxa"/>
            <w:vAlign w:val="center"/>
          </w:tcPr>
          <w:p>
            <w:pPr>
              <w:pStyle w:val="12"/>
            </w:pPr>
            <w:r>
              <w:t>项目年初设定目标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项目年初设定目标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8、冀财建[2025]126号/中央资金/粮食流通提质增效项目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13052526P00000210170F</w:t>
            </w:r>
          </w:p>
        </w:tc>
        <w:tc>
          <w:tcPr>
            <w:tcW w:w="2835" w:type="dxa"/>
            <w:vAlign w:val="center"/>
          </w:tcPr>
          <w:p>
            <w:pPr>
              <w:pStyle w:val="10"/>
            </w:pPr>
            <w:r>
              <w:t>项目名称</w:t>
            </w:r>
          </w:p>
        </w:tc>
        <w:tc>
          <w:tcPr>
            <w:tcW w:w="6095" w:type="dxa"/>
            <w:gridSpan w:val="3"/>
            <w:vAlign w:val="center"/>
          </w:tcPr>
          <w:p>
            <w:pPr>
              <w:pStyle w:val="12"/>
            </w:pPr>
            <w:r>
              <w:t>冀财建[2025]126号/中央资金/粮食流通提质增效项目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3500.00</w:t>
            </w:r>
          </w:p>
        </w:tc>
        <w:tc>
          <w:tcPr>
            <w:tcW w:w="2835" w:type="dxa"/>
            <w:vAlign w:val="center"/>
          </w:tcPr>
          <w:p>
            <w:pPr>
              <w:pStyle w:val="10"/>
            </w:pPr>
            <w:r>
              <w:t>其中：财政    资金</w:t>
            </w:r>
          </w:p>
        </w:tc>
        <w:tc>
          <w:tcPr>
            <w:tcW w:w="2551" w:type="dxa"/>
            <w:vAlign w:val="center"/>
          </w:tcPr>
          <w:p>
            <w:pPr>
              <w:pStyle w:val="12"/>
            </w:pPr>
            <w:r>
              <w:t>3500.00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提高粮食物流加工水平，促进社会发展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4" w:type="dxa"/>
            <w:gridSpan w:val="2"/>
            <w:vAlign w:val="center"/>
          </w:tcPr>
          <w:p>
            <w:pPr>
              <w:pStyle w:val="13"/>
            </w:pPr>
            <w:r>
              <w:t>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1.通过项目实施提升粮食物流和加工水平，加快粮食产业创新发展、转型升级、提质增效，促进农民增收，带动县域经济高质量发展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规划建设项目数量</w:t>
            </w:r>
          </w:p>
        </w:tc>
        <w:tc>
          <w:tcPr>
            <w:tcW w:w="2268" w:type="dxa"/>
            <w:vAlign w:val="center"/>
          </w:tcPr>
          <w:p>
            <w:pPr>
              <w:pStyle w:val="12"/>
            </w:pPr>
            <w:r>
              <w:t>5个</w:t>
            </w:r>
          </w:p>
        </w:tc>
        <w:tc>
          <w:tcPr>
            <w:tcW w:w="1276" w:type="dxa"/>
            <w:vAlign w:val="center"/>
          </w:tcPr>
          <w:p>
            <w:pPr>
              <w:pStyle w:val="12"/>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项目验收合格情况</w:t>
            </w:r>
          </w:p>
        </w:tc>
        <w:tc>
          <w:tcPr>
            <w:tcW w:w="2268" w:type="dxa"/>
            <w:vAlign w:val="center"/>
          </w:tcPr>
          <w:p>
            <w:pPr>
              <w:pStyle w:val="12"/>
            </w:pPr>
            <w:r>
              <w:t>100%</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建设进度</w:t>
            </w:r>
          </w:p>
        </w:tc>
        <w:tc>
          <w:tcPr>
            <w:tcW w:w="5386" w:type="dxa"/>
            <w:vAlign w:val="center"/>
          </w:tcPr>
          <w:p>
            <w:pPr>
              <w:pStyle w:val="12"/>
            </w:pPr>
            <w:r>
              <w:t>项目建设进度</w:t>
            </w:r>
          </w:p>
        </w:tc>
        <w:tc>
          <w:tcPr>
            <w:tcW w:w="2268" w:type="dxa"/>
            <w:vAlign w:val="center"/>
          </w:tcPr>
          <w:p>
            <w:pPr>
              <w:pStyle w:val="12"/>
            </w:pPr>
            <w:r>
              <w:t>100%</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项目预算成本</w:t>
            </w:r>
          </w:p>
        </w:tc>
        <w:tc>
          <w:tcPr>
            <w:tcW w:w="5386" w:type="dxa"/>
            <w:vAlign w:val="center"/>
          </w:tcPr>
          <w:p>
            <w:pPr>
              <w:pStyle w:val="12"/>
            </w:pPr>
            <w:r>
              <w:t>项目预算成本</w:t>
            </w:r>
          </w:p>
        </w:tc>
        <w:tc>
          <w:tcPr>
            <w:tcW w:w="2268" w:type="dxa"/>
            <w:vAlign w:val="center"/>
          </w:tcPr>
          <w:p>
            <w:pPr>
              <w:pStyle w:val="12"/>
            </w:pPr>
            <w:r>
              <w:t>≤3500万元</w:t>
            </w:r>
          </w:p>
        </w:tc>
        <w:tc>
          <w:tcPr>
            <w:tcW w:w="1276" w:type="dxa"/>
            <w:vAlign w:val="center"/>
          </w:tcPr>
          <w:p>
            <w:pPr>
              <w:pStyle w:val="12"/>
            </w:pPr>
            <w:r>
              <w:t>项目投资估算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粮食加工能力</w:t>
            </w:r>
          </w:p>
        </w:tc>
        <w:tc>
          <w:tcPr>
            <w:tcW w:w="5386" w:type="dxa"/>
            <w:vAlign w:val="center"/>
          </w:tcPr>
          <w:p>
            <w:pPr>
              <w:pStyle w:val="12"/>
            </w:pPr>
            <w:r>
              <w:t>面粉加工能力</w:t>
            </w:r>
          </w:p>
        </w:tc>
        <w:tc>
          <w:tcPr>
            <w:tcW w:w="2268" w:type="dxa"/>
            <w:vAlign w:val="center"/>
          </w:tcPr>
          <w:p>
            <w:pPr>
              <w:pStyle w:val="12"/>
            </w:pPr>
            <w:r>
              <w:t>≥80万吨/年</w:t>
            </w:r>
          </w:p>
        </w:tc>
        <w:tc>
          <w:tcPr>
            <w:tcW w:w="1276" w:type="dxa"/>
            <w:vAlign w:val="center"/>
          </w:tcPr>
          <w:p>
            <w:pPr>
              <w:pStyle w:val="12"/>
            </w:pPr>
            <w:r>
              <w:t>项目实施方案总体目标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100%</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9、冀财建[2025]213号/提前下达2026年省级大气污染防治（节能与循环经济）专项资金/邢台君岚再生资源有限公司年综合利用建筑施工废弃物20万吨项目</w:t>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13052526P00002010016P</w:t>
            </w:r>
          </w:p>
        </w:tc>
        <w:tc>
          <w:tcPr>
            <w:tcW w:w="2835" w:type="dxa"/>
            <w:vAlign w:val="center"/>
          </w:tcPr>
          <w:p>
            <w:pPr>
              <w:pStyle w:val="10"/>
            </w:pPr>
            <w:r>
              <w:t>项目名称</w:t>
            </w:r>
          </w:p>
        </w:tc>
        <w:tc>
          <w:tcPr>
            <w:tcW w:w="6095" w:type="dxa"/>
            <w:gridSpan w:val="3"/>
            <w:vAlign w:val="center"/>
          </w:tcPr>
          <w:p>
            <w:pPr>
              <w:pStyle w:val="12"/>
            </w:pPr>
            <w:r>
              <w:t>冀财建[2025]213号/提前下达2026年省级大气污染防治（节能与循环经济）专项资金/邢台君岚再生资源有限公司年综合利用建筑施工废弃物20万吨项目</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w:t>
            </w:r>
          </w:p>
        </w:tc>
        <w:tc>
          <w:tcPr>
            <w:tcW w:w="2835" w:type="dxa"/>
            <w:vAlign w:val="center"/>
          </w:tcPr>
          <w:p>
            <w:pPr>
              <w:pStyle w:val="10"/>
            </w:pPr>
            <w:r>
              <w:t>其中：财政    资金</w:t>
            </w:r>
          </w:p>
        </w:tc>
        <w:tc>
          <w:tcPr>
            <w:tcW w:w="2551" w:type="dxa"/>
            <w:vAlign w:val="center"/>
          </w:tcPr>
          <w:p>
            <w:pPr>
              <w:pStyle w:val="12"/>
            </w:pPr>
            <w:r>
              <w:t>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用于君岚再生资源有限公司年综合利用建施工废弃物20万吨项目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1.引导企业节能改造，推动大宗固废综合利用，完成年度节能目标任务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项目个数</w:t>
            </w:r>
          </w:p>
        </w:tc>
        <w:tc>
          <w:tcPr>
            <w:tcW w:w="5386" w:type="dxa"/>
            <w:vAlign w:val="center"/>
          </w:tcPr>
          <w:p>
            <w:pPr>
              <w:pStyle w:val="12"/>
            </w:pPr>
            <w:r>
              <w:t>实施项目个数</w:t>
            </w:r>
          </w:p>
        </w:tc>
        <w:tc>
          <w:tcPr>
            <w:tcW w:w="2268" w:type="dxa"/>
            <w:vAlign w:val="center"/>
          </w:tcPr>
          <w:p>
            <w:pPr>
              <w:pStyle w:val="12"/>
            </w:pPr>
            <w:r>
              <w:t>1个</w:t>
            </w:r>
          </w:p>
        </w:tc>
        <w:tc>
          <w:tcPr>
            <w:tcW w:w="1276" w:type="dxa"/>
            <w:vAlign w:val="center"/>
          </w:tcPr>
          <w:p>
            <w:pPr>
              <w:pStyle w:val="12"/>
            </w:pPr>
            <w:r>
              <w:t>项目基本情况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验收结果</w:t>
            </w:r>
          </w:p>
        </w:tc>
        <w:tc>
          <w:tcPr>
            <w:tcW w:w="5386" w:type="dxa"/>
            <w:vAlign w:val="center"/>
          </w:tcPr>
          <w:p>
            <w:pPr>
              <w:pStyle w:val="12"/>
            </w:pPr>
            <w:r>
              <w:t>年综合利用施工废弃物20万吨</w:t>
            </w:r>
          </w:p>
        </w:tc>
        <w:tc>
          <w:tcPr>
            <w:tcW w:w="2268" w:type="dxa"/>
            <w:vAlign w:val="center"/>
          </w:tcPr>
          <w:p>
            <w:pPr>
              <w:pStyle w:val="12"/>
            </w:pPr>
            <w:r>
              <w:t>20万吨</w:t>
            </w:r>
          </w:p>
        </w:tc>
        <w:tc>
          <w:tcPr>
            <w:tcW w:w="1276" w:type="dxa"/>
            <w:vAlign w:val="center"/>
          </w:tcPr>
          <w:p>
            <w:pPr>
              <w:pStyle w:val="12"/>
            </w:pPr>
            <w:r>
              <w:t>项目基本情况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完成及时性</w:t>
            </w:r>
          </w:p>
        </w:tc>
        <w:tc>
          <w:tcPr>
            <w:tcW w:w="5386" w:type="dxa"/>
            <w:vAlign w:val="center"/>
          </w:tcPr>
          <w:p>
            <w:pPr>
              <w:pStyle w:val="12"/>
            </w:pPr>
            <w:r>
              <w:t>建设期14个月，自2025年4月开工建设，到2026年6月竣工</w:t>
            </w:r>
          </w:p>
        </w:tc>
        <w:tc>
          <w:tcPr>
            <w:tcW w:w="2268" w:type="dxa"/>
            <w:vAlign w:val="center"/>
          </w:tcPr>
          <w:p>
            <w:pPr>
              <w:pStyle w:val="12"/>
            </w:pPr>
            <w:r>
              <w:t>2026年6月竣工</w:t>
            </w:r>
          </w:p>
        </w:tc>
        <w:tc>
          <w:tcPr>
            <w:tcW w:w="1276" w:type="dxa"/>
            <w:vAlign w:val="center"/>
          </w:tcPr>
          <w:p>
            <w:pPr>
              <w:pStyle w:val="12"/>
            </w:pPr>
            <w:r>
              <w:t>项目基本情况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项目补助成本</w:t>
            </w:r>
          </w:p>
        </w:tc>
        <w:tc>
          <w:tcPr>
            <w:tcW w:w="5386" w:type="dxa"/>
            <w:vAlign w:val="center"/>
          </w:tcPr>
          <w:p>
            <w:pPr>
              <w:pStyle w:val="12"/>
            </w:pPr>
            <w:r>
              <w:t>项目补助成本</w:t>
            </w:r>
          </w:p>
        </w:tc>
        <w:tc>
          <w:tcPr>
            <w:tcW w:w="2268" w:type="dxa"/>
            <w:vAlign w:val="center"/>
          </w:tcPr>
          <w:p>
            <w:pPr>
              <w:pStyle w:val="12"/>
            </w:pPr>
            <w:r>
              <w:t>700万元</w:t>
            </w:r>
          </w:p>
        </w:tc>
        <w:tc>
          <w:tcPr>
            <w:tcW w:w="1276" w:type="dxa"/>
            <w:vAlign w:val="center"/>
          </w:tcPr>
          <w:p>
            <w:pPr>
              <w:pStyle w:val="12"/>
            </w:pPr>
            <w:r>
              <w:t>项目基本情况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降低环境污染</w:t>
            </w:r>
          </w:p>
        </w:tc>
        <w:tc>
          <w:tcPr>
            <w:tcW w:w="5386" w:type="dxa"/>
            <w:vAlign w:val="center"/>
          </w:tcPr>
          <w:p>
            <w:pPr>
              <w:pStyle w:val="12"/>
            </w:pPr>
            <w:r>
              <w:t>减少对自然资源需求、降低环境污染与生态破坏、节约能源</w:t>
            </w:r>
          </w:p>
        </w:tc>
        <w:tc>
          <w:tcPr>
            <w:tcW w:w="2268" w:type="dxa"/>
            <w:vAlign w:val="center"/>
          </w:tcPr>
          <w:p>
            <w:pPr>
              <w:pStyle w:val="12"/>
            </w:pPr>
            <w:r>
              <w:t>产生环境生态效益</w:t>
            </w:r>
          </w:p>
        </w:tc>
        <w:tc>
          <w:tcPr>
            <w:tcW w:w="1276" w:type="dxa"/>
            <w:vAlign w:val="center"/>
          </w:tcPr>
          <w:p>
            <w:pPr>
              <w:pStyle w:val="12"/>
            </w:pPr>
            <w:r>
              <w:t>项目基本情况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投资回报</w:t>
            </w:r>
          </w:p>
        </w:tc>
        <w:tc>
          <w:tcPr>
            <w:tcW w:w="5386" w:type="dxa"/>
            <w:vAlign w:val="center"/>
          </w:tcPr>
          <w:p>
            <w:pPr>
              <w:pStyle w:val="12"/>
            </w:pPr>
            <w:r>
              <w:t>经计算本项目能产生投资回报</w:t>
            </w:r>
          </w:p>
        </w:tc>
        <w:tc>
          <w:tcPr>
            <w:tcW w:w="2268" w:type="dxa"/>
            <w:vAlign w:val="center"/>
          </w:tcPr>
          <w:p>
            <w:pPr>
              <w:pStyle w:val="12"/>
            </w:pPr>
            <w:r>
              <w:t>7.76%</w:t>
            </w:r>
          </w:p>
        </w:tc>
        <w:tc>
          <w:tcPr>
            <w:tcW w:w="1276" w:type="dxa"/>
            <w:vAlign w:val="center"/>
          </w:tcPr>
          <w:p>
            <w:pPr>
              <w:pStyle w:val="12"/>
            </w:pPr>
            <w:r>
              <w:t>项目基本情况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对项目满意度</w:t>
            </w:r>
          </w:p>
        </w:tc>
        <w:tc>
          <w:tcPr>
            <w:tcW w:w="2268" w:type="dxa"/>
            <w:vAlign w:val="center"/>
          </w:tcPr>
          <w:p>
            <w:pPr>
              <w:pStyle w:val="12"/>
            </w:pPr>
            <w:r>
              <w:t>≥95</w:t>
            </w:r>
          </w:p>
        </w:tc>
        <w:tc>
          <w:tcPr>
            <w:tcW w:w="1276" w:type="dxa"/>
            <w:vAlign w:val="center"/>
          </w:tcPr>
          <w:p>
            <w:pPr>
              <w:pStyle w:val="12"/>
            </w:pPr>
            <w:r>
              <w:t>项目自评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10、冀财建[2026]3号/提前下达2025-2026年采暖季农村煤改气用户天然气终端销售价格补贴预算绩效目标表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13052526P00001810015A</w:t>
            </w:r>
          </w:p>
        </w:tc>
        <w:tc>
          <w:tcPr>
            <w:tcW w:w="2835" w:type="dxa"/>
            <w:vAlign w:val="center"/>
          </w:tcPr>
          <w:p>
            <w:pPr>
              <w:pStyle w:val="10"/>
            </w:pPr>
            <w:r>
              <w:t>项目名称</w:t>
            </w:r>
          </w:p>
        </w:tc>
        <w:tc>
          <w:tcPr>
            <w:tcW w:w="6095" w:type="dxa"/>
            <w:gridSpan w:val="3"/>
            <w:vAlign w:val="center"/>
          </w:tcPr>
          <w:p>
            <w:pPr>
              <w:pStyle w:val="12"/>
            </w:pPr>
            <w:r>
              <w:t>冀财建[2026]3号/提前下达2025-2026年采暖季农村煤改气用户天然气终端销售价格补贴预算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362.25</w:t>
            </w:r>
          </w:p>
        </w:tc>
        <w:tc>
          <w:tcPr>
            <w:tcW w:w="2835" w:type="dxa"/>
            <w:vAlign w:val="center"/>
          </w:tcPr>
          <w:p>
            <w:pPr>
              <w:pStyle w:val="10"/>
            </w:pPr>
            <w:r>
              <w:t>其中：财政    资金</w:t>
            </w:r>
          </w:p>
        </w:tc>
        <w:tc>
          <w:tcPr>
            <w:tcW w:w="2551" w:type="dxa"/>
            <w:vAlign w:val="center"/>
          </w:tcPr>
          <w:p>
            <w:pPr>
              <w:pStyle w:val="12"/>
            </w:pPr>
            <w:r>
              <w:t>362.25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用于农村煤改气用户天然气终端销售价格补贴省级负担0.2元/方的50%部分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1.保障2026年燃气供应，保障居民正常取暖，维护社会稳定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供暖温度达标，居民用户的室内温度不得低于当地规定的温度</w:t>
            </w:r>
          </w:p>
        </w:tc>
        <w:tc>
          <w:tcPr>
            <w:tcW w:w="5386" w:type="dxa"/>
            <w:vAlign w:val="center"/>
          </w:tcPr>
          <w:p>
            <w:pPr>
              <w:pStyle w:val="12"/>
            </w:pPr>
            <w:r>
              <w:t>居民室内供暖温度大于等于规定温度</w:t>
            </w:r>
          </w:p>
        </w:tc>
        <w:tc>
          <w:tcPr>
            <w:tcW w:w="2268" w:type="dxa"/>
            <w:vAlign w:val="center"/>
          </w:tcPr>
          <w:p>
            <w:pPr>
              <w:pStyle w:val="12"/>
            </w:pPr>
            <w:r>
              <w:t>≥18摄氏度</w:t>
            </w:r>
          </w:p>
        </w:tc>
        <w:tc>
          <w:tcPr>
            <w:tcW w:w="1276" w:type="dxa"/>
            <w:vAlign w:val="center"/>
          </w:tcPr>
          <w:p>
            <w:pPr>
              <w:pStyle w:val="12"/>
            </w:pPr>
            <w:r>
              <w:t>冀财建[2026]3号/提前下达2025-2026年采暖季农村煤改气用户天然气终端销售价格补贴预算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供暖达标率</w:t>
            </w:r>
          </w:p>
        </w:tc>
        <w:tc>
          <w:tcPr>
            <w:tcW w:w="5386" w:type="dxa"/>
            <w:vAlign w:val="center"/>
          </w:tcPr>
          <w:p>
            <w:pPr>
              <w:pStyle w:val="12"/>
            </w:pPr>
            <w:r>
              <w:t>供暖达标天数/应达标天数*100%</w:t>
            </w:r>
          </w:p>
        </w:tc>
        <w:tc>
          <w:tcPr>
            <w:tcW w:w="2268" w:type="dxa"/>
            <w:vAlign w:val="center"/>
          </w:tcPr>
          <w:p>
            <w:pPr>
              <w:pStyle w:val="12"/>
            </w:pPr>
            <w:r>
              <w:t>≥95%</w:t>
            </w:r>
          </w:p>
        </w:tc>
        <w:tc>
          <w:tcPr>
            <w:tcW w:w="1276" w:type="dxa"/>
            <w:vAlign w:val="center"/>
          </w:tcPr>
          <w:p>
            <w:pPr>
              <w:pStyle w:val="12"/>
            </w:pPr>
            <w:r>
              <w:t>冀财建[2026]3号/提前下达2025-2026年采暖季农村煤改气用户天然气终端销售价格补贴预算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获得支持的城燃企业运行率</w:t>
            </w:r>
          </w:p>
        </w:tc>
        <w:tc>
          <w:tcPr>
            <w:tcW w:w="5386" w:type="dxa"/>
            <w:vAlign w:val="center"/>
          </w:tcPr>
          <w:p>
            <w:pPr>
              <w:pStyle w:val="12"/>
            </w:pPr>
            <w:r>
              <w:t>城燃企业运行时间/应运行时间*100%</w:t>
            </w:r>
          </w:p>
        </w:tc>
        <w:tc>
          <w:tcPr>
            <w:tcW w:w="2268" w:type="dxa"/>
            <w:vAlign w:val="center"/>
          </w:tcPr>
          <w:p>
            <w:pPr>
              <w:pStyle w:val="12"/>
            </w:pPr>
            <w:r>
              <w:t>100%</w:t>
            </w:r>
          </w:p>
        </w:tc>
        <w:tc>
          <w:tcPr>
            <w:tcW w:w="1276" w:type="dxa"/>
            <w:vAlign w:val="center"/>
          </w:tcPr>
          <w:p>
            <w:pPr>
              <w:pStyle w:val="12"/>
            </w:pPr>
            <w:r>
              <w:t>冀财建[2026]3号/提前下达2025-2026年采暖季农村煤改气用户天然气终端销售价格补贴预算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资金支出率</w:t>
            </w:r>
          </w:p>
        </w:tc>
        <w:tc>
          <w:tcPr>
            <w:tcW w:w="5386" w:type="dxa"/>
            <w:vAlign w:val="center"/>
          </w:tcPr>
          <w:p>
            <w:pPr>
              <w:pStyle w:val="12"/>
            </w:pPr>
            <w:r>
              <w:t>城燃补贴资金支出率</w:t>
            </w:r>
          </w:p>
        </w:tc>
        <w:tc>
          <w:tcPr>
            <w:tcW w:w="2268" w:type="dxa"/>
            <w:vAlign w:val="center"/>
          </w:tcPr>
          <w:p>
            <w:pPr>
              <w:pStyle w:val="12"/>
            </w:pPr>
            <w:r>
              <w:t>100%</w:t>
            </w:r>
          </w:p>
        </w:tc>
        <w:tc>
          <w:tcPr>
            <w:tcW w:w="1276" w:type="dxa"/>
            <w:vAlign w:val="center"/>
          </w:tcPr>
          <w:p>
            <w:pPr>
              <w:pStyle w:val="12"/>
            </w:pPr>
            <w:r>
              <w:t>冀财建[2026]3号/提前下达2025-2026年采暖季农村煤改气用户天然气终端销售价格补贴预算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出现保暖保供重大负面舆情</w:t>
            </w:r>
          </w:p>
        </w:tc>
        <w:tc>
          <w:tcPr>
            <w:tcW w:w="5386" w:type="dxa"/>
            <w:vAlign w:val="center"/>
          </w:tcPr>
          <w:p>
            <w:pPr>
              <w:pStyle w:val="12"/>
            </w:pPr>
            <w:r>
              <w:t>出现保暖保供重大负面舆情次数</w:t>
            </w:r>
          </w:p>
        </w:tc>
        <w:tc>
          <w:tcPr>
            <w:tcW w:w="2268" w:type="dxa"/>
            <w:vAlign w:val="center"/>
          </w:tcPr>
          <w:p>
            <w:pPr>
              <w:pStyle w:val="12"/>
            </w:pPr>
            <w:r>
              <w:t>&lt;1次</w:t>
            </w:r>
          </w:p>
        </w:tc>
        <w:tc>
          <w:tcPr>
            <w:tcW w:w="1276" w:type="dxa"/>
            <w:vAlign w:val="center"/>
          </w:tcPr>
          <w:p>
            <w:pPr>
              <w:pStyle w:val="12"/>
            </w:pPr>
            <w:r>
              <w:t>冀财建[2026]3号/提前下达2025-2026年采暖季农村煤改气用户天然气终端销售价格补贴预算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享受供暖服务群众满意度</w:t>
            </w:r>
          </w:p>
        </w:tc>
        <w:tc>
          <w:tcPr>
            <w:tcW w:w="2268" w:type="dxa"/>
            <w:vAlign w:val="center"/>
          </w:tcPr>
          <w:p>
            <w:pPr>
              <w:pStyle w:val="12"/>
            </w:pPr>
            <w:r>
              <w:t>≥90%</w:t>
            </w:r>
          </w:p>
        </w:tc>
        <w:tc>
          <w:tcPr>
            <w:tcW w:w="1276" w:type="dxa"/>
            <w:vAlign w:val="center"/>
          </w:tcPr>
          <w:p>
            <w:pPr>
              <w:pStyle w:val="12"/>
            </w:pPr>
            <w:r>
              <w:t>冀财建[2026]3号/提前下达2025-2026年采暖季农村煤改气用户天然气终端销售价格补贴预算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11、冀财建〔2025〕98号/超长期特别国债/远大阀门集团有限公司智能阀门生产设备更新改造项目绩效目标表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13052525P00005610008C</w:t>
            </w:r>
          </w:p>
        </w:tc>
        <w:tc>
          <w:tcPr>
            <w:tcW w:w="2835" w:type="dxa"/>
            <w:vAlign w:val="center"/>
          </w:tcPr>
          <w:p>
            <w:pPr>
              <w:pStyle w:val="10"/>
            </w:pPr>
            <w:r>
              <w:t>项目名称</w:t>
            </w:r>
          </w:p>
        </w:tc>
        <w:tc>
          <w:tcPr>
            <w:tcW w:w="6095" w:type="dxa"/>
            <w:gridSpan w:val="3"/>
            <w:vAlign w:val="center"/>
          </w:tcPr>
          <w:p>
            <w:pPr>
              <w:pStyle w:val="12"/>
            </w:pPr>
            <w:r>
              <w:t>冀财建〔2025〕98号/超长期特别国债/远大阀门集团有限公司智能阀门生产设备更新改造项目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630.00</w:t>
            </w:r>
          </w:p>
        </w:tc>
        <w:tc>
          <w:tcPr>
            <w:tcW w:w="2835" w:type="dxa"/>
            <w:vAlign w:val="center"/>
          </w:tcPr>
          <w:p>
            <w:pPr>
              <w:pStyle w:val="10"/>
            </w:pPr>
            <w:r>
              <w:t>其中：财政    资金</w:t>
            </w:r>
          </w:p>
        </w:tc>
        <w:tc>
          <w:tcPr>
            <w:tcW w:w="2551" w:type="dxa"/>
            <w:vAlign w:val="center"/>
          </w:tcPr>
          <w:p>
            <w:pPr>
              <w:pStyle w:val="12"/>
            </w:pPr>
            <w:r>
              <w:t>630.00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引导企业对设备设施改造建设，推动设备设施高端化、绿色化、智能化，达到节能降碳、效率提升、产品合格率提高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1.引导企业对设备设施改造建设，推动设备设施高端化、绿色化、智能化，达到节能降碳、效率提升、产品合格率提高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设备采购数量</w:t>
            </w:r>
          </w:p>
        </w:tc>
        <w:tc>
          <w:tcPr>
            <w:tcW w:w="2268" w:type="dxa"/>
            <w:vAlign w:val="center"/>
          </w:tcPr>
          <w:p>
            <w:pPr>
              <w:pStyle w:val="12"/>
            </w:pPr>
            <w:r>
              <w:t>374套</w:t>
            </w:r>
          </w:p>
        </w:tc>
        <w:tc>
          <w:tcPr>
            <w:tcW w:w="1276" w:type="dxa"/>
            <w:vAlign w:val="center"/>
          </w:tcPr>
          <w:p>
            <w:pPr>
              <w:pStyle w:val="12"/>
            </w:pPr>
            <w:r>
              <w:t>项目建设要求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设备合格率</w:t>
            </w:r>
          </w:p>
        </w:tc>
        <w:tc>
          <w:tcPr>
            <w:tcW w:w="2268" w:type="dxa"/>
            <w:vAlign w:val="center"/>
          </w:tcPr>
          <w:p>
            <w:pPr>
              <w:pStyle w:val="12"/>
            </w:pPr>
            <w:r>
              <w:t>100%</w:t>
            </w:r>
          </w:p>
        </w:tc>
        <w:tc>
          <w:tcPr>
            <w:tcW w:w="1276" w:type="dxa"/>
            <w:vAlign w:val="center"/>
          </w:tcPr>
          <w:p>
            <w:pPr>
              <w:pStyle w:val="12"/>
            </w:pPr>
            <w:r>
              <w:t>项目建设要求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时效指标</w:t>
            </w:r>
          </w:p>
        </w:tc>
        <w:tc>
          <w:tcPr>
            <w:tcW w:w="2268" w:type="dxa"/>
            <w:vAlign w:val="center"/>
          </w:tcPr>
          <w:p>
            <w:pPr>
              <w:pStyle w:val="12"/>
            </w:pPr>
            <w:r>
              <w:t>100%</w:t>
            </w:r>
          </w:p>
        </w:tc>
        <w:tc>
          <w:tcPr>
            <w:tcW w:w="1276" w:type="dxa"/>
            <w:vAlign w:val="center"/>
          </w:tcPr>
          <w:p>
            <w:pPr>
              <w:pStyle w:val="12"/>
            </w:pPr>
            <w:r>
              <w:t>项目建设要求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补助金额</w:t>
            </w:r>
          </w:p>
        </w:tc>
        <w:tc>
          <w:tcPr>
            <w:tcW w:w="2268" w:type="dxa"/>
            <w:vAlign w:val="center"/>
          </w:tcPr>
          <w:p>
            <w:pPr>
              <w:pStyle w:val="12"/>
            </w:pPr>
            <w:r>
              <w:t>1230万元</w:t>
            </w:r>
          </w:p>
        </w:tc>
        <w:tc>
          <w:tcPr>
            <w:tcW w:w="1276" w:type="dxa"/>
            <w:vAlign w:val="center"/>
          </w:tcPr>
          <w:p>
            <w:pPr>
              <w:pStyle w:val="12"/>
            </w:pPr>
            <w:r>
              <w:t>文件安排资金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解决企业诉求</w:t>
            </w:r>
          </w:p>
        </w:tc>
        <w:tc>
          <w:tcPr>
            <w:tcW w:w="5386" w:type="dxa"/>
            <w:vAlign w:val="center"/>
          </w:tcPr>
          <w:p>
            <w:pPr>
              <w:pStyle w:val="12"/>
            </w:pPr>
            <w:r>
              <w:t>解决企业诉求</w:t>
            </w:r>
          </w:p>
        </w:tc>
        <w:tc>
          <w:tcPr>
            <w:tcW w:w="2268" w:type="dxa"/>
            <w:vAlign w:val="center"/>
          </w:tcPr>
          <w:p>
            <w:pPr>
              <w:pStyle w:val="12"/>
            </w:pPr>
            <w:r>
              <w:t>100%</w:t>
            </w:r>
          </w:p>
        </w:tc>
        <w:tc>
          <w:tcPr>
            <w:tcW w:w="1276" w:type="dxa"/>
            <w:vAlign w:val="center"/>
          </w:tcPr>
          <w:p>
            <w:pPr>
              <w:pStyle w:val="12"/>
            </w:pPr>
            <w:r>
              <w:t>预期经济和社会效益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销售收入</w:t>
            </w:r>
          </w:p>
        </w:tc>
        <w:tc>
          <w:tcPr>
            <w:tcW w:w="5386" w:type="dxa"/>
            <w:vAlign w:val="center"/>
          </w:tcPr>
          <w:p>
            <w:pPr>
              <w:pStyle w:val="12"/>
            </w:pPr>
            <w:r>
              <w:t>产品销售收入</w:t>
            </w:r>
          </w:p>
        </w:tc>
        <w:tc>
          <w:tcPr>
            <w:tcW w:w="2268" w:type="dxa"/>
            <w:vAlign w:val="center"/>
          </w:tcPr>
          <w:p>
            <w:pPr>
              <w:pStyle w:val="12"/>
            </w:pPr>
            <w:r>
              <w:t>增长40%</w:t>
            </w:r>
          </w:p>
        </w:tc>
        <w:tc>
          <w:tcPr>
            <w:tcW w:w="1276" w:type="dxa"/>
            <w:vAlign w:val="center"/>
          </w:tcPr>
          <w:p>
            <w:pPr>
              <w:pStyle w:val="12"/>
            </w:pPr>
            <w:r>
              <w:t>预期经济和社会效益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碳排放总量减少</w:t>
            </w:r>
          </w:p>
        </w:tc>
        <w:tc>
          <w:tcPr>
            <w:tcW w:w="5386" w:type="dxa"/>
            <w:vAlign w:val="center"/>
          </w:tcPr>
          <w:p>
            <w:pPr>
              <w:pStyle w:val="12"/>
            </w:pPr>
            <w:r>
              <w:t>碳排放总量减少</w:t>
            </w:r>
          </w:p>
        </w:tc>
        <w:tc>
          <w:tcPr>
            <w:tcW w:w="2268" w:type="dxa"/>
            <w:vAlign w:val="center"/>
          </w:tcPr>
          <w:p>
            <w:pPr>
              <w:pStyle w:val="12"/>
            </w:pPr>
            <w:r>
              <w:t>≥1000t</w:t>
            </w:r>
          </w:p>
        </w:tc>
        <w:tc>
          <w:tcPr>
            <w:tcW w:w="1276" w:type="dxa"/>
            <w:vAlign w:val="center"/>
          </w:tcPr>
          <w:p>
            <w:pPr>
              <w:pStyle w:val="12"/>
            </w:pPr>
            <w:r>
              <w:t>预期经济和社会效益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能源消耗量减少</w:t>
            </w:r>
          </w:p>
        </w:tc>
        <w:tc>
          <w:tcPr>
            <w:tcW w:w="5386" w:type="dxa"/>
            <w:vAlign w:val="center"/>
          </w:tcPr>
          <w:p>
            <w:pPr>
              <w:pStyle w:val="12"/>
            </w:pPr>
            <w:r>
              <w:t>能源消耗量减少</w:t>
            </w:r>
          </w:p>
        </w:tc>
        <w:tc>
          <w:tcPr>
            <w:tcW w:w="2268" w:type="dxa"/>
            <w:vAlign w:val="center"/>
          </w:tcPr>
          <w:p>
            <w:pPr>
              <w:pStyle w:val="12"/>
            </w:pPr>
            <w:r>
              <w:t>≥130吨标煤</w:t>
            </w:r>
          </w:p>
        </w:tc>
        <w:tc>
          <w:tcPr>
            <w:tcW w:w="1276" w:type="dxa"/>
            <w:vAlign w:val="center"/>
          </w:tcPr>
          <w:p>
            <w:pPr>
              <w:pStyle w:val="12"/>
            </w:pPr>
            <w:r>
              <w:t>预期经济和社会效益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项目建设要求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12、粮食安全责任制考核及粮食质量安全监测管理及流通执法绩效目标表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13052526P00000210158L</w:t>
            </w:r>
          </w:p>
        </w:tc>
        <w:tc>
          <w:tcPr>
            <w:tcW w:w="2835" w:type="dxa"/>
            <w:vAlign w:val="center"/>
          </w:tcPr>
          <w:p>
            <w:pPr>
              <w:pStyle w:val="10"/>
            </w:pPr>
            <w:r>
              <w:t>项目名称</w:t>
            </w:r>
          </w:p>
        </w:tc>
        <w:tc>
          <w:tcPr>
            <w:tcW w:w="6095" w:type="dxa"/>
            <w:gridSpan w:val="3"/>
            <w:vAlign w:val="center"/>
          </w:tcPr>
          <w:p>
            <w:pPr>
              <w:pStyle w:val="12"/>
            </w:pPr>
            <w:r>
              <w:t>粮食安全责任制考核及粮食质量安全监测管理及流通执法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0.20</w:t>
            </w:r>
          </w:p>
        </w:tc>
        <w:tc>
          <w:tcPr>
            <w:tcW w:w="2835" w:type="dxa"/>
            <w:vAlign w:val="center"/>
          </w:tcPr>
          <w:p>
            <w:pPr>
              <w:pStyle w:val="10"/>
            </w:pPr>
            <w:r>
              <w:t>其中：财政    资金</w:t>
            </w:r>
          </w:p>
        </w:tc>
        <w:tc>
          <w:tcPr>
            <w:tcW w:w="2551" w:type="dxa"/>
            <w:vAlign w:val="center"/>
          </w:tcPr>
          <w:p>
            <w:pPr>
              <w:pStyle w:val="12"/>
            </w:pPr>
            <w:r>
              <w:t>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加强粮食安全责任制考核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1.对全县粮食流通进行监督检查，做好粮食安全责任制考核，确保粮食安全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粮食企业检查率</w:t>
            </w:r>
          </w:p>
        </w:tc>
        <w:tc>
          <w:tcPr>
            <w:tcW w:w="5386" w:type="dxa"/>
            <w:vAlign w:val="center"/>
          </w:tcPr>
          <w:p>
            <w:pPr>
              <w:pStyle w:val="12"/>
            </w:pPr>
            <w:r>
              <w:t>检查企业数量/全县企业数量*100%</w:t>
            </w:r>
          </w:p>
        </w:tc>
        <w:tc>
          <w:tcPr>
            <w:tcW w:w="2268" w:type="dxa"/>
            <w:vAlign w:val="center"/>
          </w:tcPr>
          <w:p>
            <w:pPr>
              <w:pStyle w:val="12"/>
            </w:pPr>
            <w:r>
              <w:t>100%</w:t>
            </w:r>
          </w:p>
        </w:tc>
        <w:tc>
          <w:tcPr>
            <w:tcW w:w="1276" w:type="dxa"/>
            <w:vAlign w:val="center"/>
          </w:tcPr>
          <w:p>
            <w:pPr>
              <w:pStyle w:val="12"/>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粮食安全率</w:t>
            </w:r>
          </w:p>
        </w:tc>
        <w:tc>
          <w:tcPr>
            <w:tcW w:w="5386" w:type="dxa"/>
            <w:vAlign w:val="center"/>
          </w:tcPr>
          <w:p>
            <w:pPr>
              <w:pStyle w:val="12"/>
            </w:pPr>
            <w:r>
              <w:t>安全粮食数量/全县粮食数量*100%</w:t>
            </w:r>
          </w:p>
        </w:tc>
        <w:tc>
          <w:tcPr>
            <w:tcW w:w="2268" w:type="dxa"/>
            <w:vAlign w:val="center"/>
          </w:tcPr>
          <w:p>
            <w:pPr>
              <w:pStyle w:val="12"/>
            </w:pPr>
            <w:r>
              <w:t>100%</w:t>
            </w:r>
          </w:p>
        </w:tc>
        <w:tc>
          <w:tcPr>
            <w:tcW w:w="1276" w:type="dxa"/>
            <w:vAlign w:val="center"/>
          </w:tcPr>
          <w:p>
            <w:pPr>
              <w:pStyle w:val="12"/>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5386" w:type="dxa"/>
            <w:vAlign w:val="center"/>
          </w:tcPr>
          <w:p>
            <w:pPr>
              <w:pStyle w:val="12"/>
            </w:pPr>
            <w:r>
              <w:t>各项工作完成及时程度</w:t>
            </w:r>
          </w:p>
        </w:tc>
        <w:tc>
          <w:tcPr>
            <w:tcW w:w="2268" w:type="dxa"/>
            <w:vAlign w:val="center"/>
          </w:tcPr>
          <w:p>
            <w:pPr>
              <w:pStyle w:val="12"/>
            </w:pPr>
            <w:r>
              <w:t>100%</w:t>
            </w:r>
          </w:p>
        </w:tc>
        <w:tc>
          <w:tcPr>
            <w:tcW w:w="1276" w:type="dxa"/>
            <w:vAlign w:val="center"/>
          </w:tcPr>
          <w:p>
            <w:pPr>
              <w:pStyle w:val="12"/>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按预算成本支出</w:t>
            </w:r>
          </w:p>
        </w:tc>
        <w:tc>
          <w:tcPr>
            <w:tcW w:w="2268" w:type="dxa"/>
            <w:vAlign w:val="center"/>
          </w:tcPr>
          <w:p>
            <w:pPr>
              <w:pStyle w:val="12"/>
            </w:pPr>
            <w:r>
              <w:t>≤0.2万元</w:t>
            </w:r>
          </w:p>
        </w:tc>
        <w:tc>
          <w:tcPr>
            <w:tcW w:w="1276" w:type="dxa"/>
            <w:vAlign w:val="center"/>
          </w:tcPr>
          <w:p>
            <w:pPr>
              <w:pStyle w:val="12"/>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粮食安全科学储粮率</w:t>
            </w:r>
          </w:p>
        </w:tc>
        <w:tc>
          <w:tcPr>
            <w:tcW w:w="5386" w:type="dxa"/>
            <w:vAlign w:val="center"/>
          </w:tcPr>
          <w:p>
            <w:pPr>
              <w:pStyle w:val="12"/>
            </w:pPr>
            <w:r>
              <w:t>安全科学储粮数量占全部粮食数量比例</w:t>
            </w:r>
          </w:p>
        </w:tc>
        <w:tc>
          <w:tcPr>
            <w:tcW w:w="2268" w:type="dxa"/>
            <w:vAlign w:val="center"/>
          </w:tcPr>
          <w:p>
            <w:pPr>
              <w:pStyle w:val="12"/>
            </w:pPr>
            <w:r>
              <w:t>≥95%</w:t>
            </w:r>
          </w:p>
        </w:tc>
        <w:tc>
          <w:tcPr>
            <w:tcW w:w="1276" w:type="dxa"/>
            <w:vAlign w:val="center"/>
          </w:tcPr>
          <w:p>
            <w:pPr>
              <w:pStyle w:val="12"/>
            </w:pPr>
            <w: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13、隆尧县“十五五”规划编制经费绩效目标表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13052526P00000210160K</w:t>
            </w:r>
          </w:p>
        </w:tc>
        <w:tc>
          <w:tcPr>
            <w:tcW w:w="2835" w:type="dxa"/>
            <w:vAlign w:val="center"/>
          </w:tcPr>
          <w:p>
            <w:pPr>
              <w:pStyle w:val="10"/>
            </w:pPr>
            <w:r>
              <w:t>项目名称</w:t>
            </w:r>
          </w:p>
        </w:tc>
        <w:tc>
          <w:tcPr>
            <w:tcW w:w="6095" w:type="dxa"/>
            <w:gridSpan w:val="3"/>
            <w:vAlign w:val="center"/>
          </w:tcPr>
          <w:p>
            <w:pPr>
              <w:pStyle w:val="12"/>
            </w:pPr>
            <w:r>
              <w:t>隆尧县“十五五”规划编制经费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w:t>
            </w:r>
          </w:p>
        </w:tc>
        <w:tc>
          <w:tcPr>
            <w:tcW w:w="2835" w:type="dxa"/>
            <w:vAlign w:val="center"/>
          </w:tcPr>
          <w:p>
            <w:pPr>
              <w:pStyle w:val="10"/>
            </w:pPr>
            <w:r>
              <w:t>其中：财政    资金</w:t>
            </w:r>
          </w:p>
        </w:tc>
        <w:tc>
          <w:tcPr>
            <w:tcW w:w="2551" w:type="dxa"/>
            <w:vAlign w:val="center"/>
          </w:tcPr>
          <w:p>
            <w:pPr>
              <w:pStyle w:val="12"/>
            </w:pPr>
            <w:r>
              <w:t>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制定完成</w:t>
            </w:r>
            <w:r>
              <w:rPr>
                <w:rFonts w:hint="eastAsia"/>
                <w:lang w:eastAsia="zh-CN"/>
              </w:rPr>
              <w:t>“十五五”规划</w:t>
            </w:r>
            <w:r>
              <w:t>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w:t>
            </w:r>
            <w:r>
              <w:rPr>
                <w:rFonts w:hint="eastAsia"/>
                <w:lang w:eastAsia="zh-CN"/>
              </w:rPr>
              <w:t>“十五五”规划</w:t>
            </w:r>
            <w:r>
              <w:t>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“十五五”规划如期完成情况</w:t>
            </w:r>
          </w:p>
        </w:tc>
        <w:tc>
          <w:tcPr>
            <w:tcW w:w="5386" w:type="dxa"/>
            <w:vAlign w:val="center"/>
          </w:tcPr>
          <w:p>
            <w:pPr>
              <w:pStyle w:val="12"/>
            </w:pPr>
            <w:r>
              <w:rPr>
                <w:rFonts w:hint="eastAsia"/>
                <w:lang w:eastAsia="zh-CN"/>
              </w:rPr>
              <w:t>“十五五”规划</w:t>
            </w:r>
            <w:r>
              <w:t>按期完成率</w:t>
            </w:r>
          </w:p>
        </w:tc>
        <w:tc>
          <w:tcPr>
            <w:tcW w:w="2268" w:type="dxa"/>
            <w:vAlign w:val="center"/>
          </w:tcPr>
          <w:p>
            <w:pPr>
              <w:pStyle w:val="12"/>
            </w:pPr>
            <w:r>
              <w:t>≥100%</w:t>
            </w:r>
          </w:p>
        </w:tc>
        <w:tc>
          <w:tcPr>
            <w:tcW w:w="1276" w:type="dxa"/>
            <w:vAlign w:val="center"/>
          </w:tcPr>
          <w:p>
            <w:pPr>
              <w:pStyle w:val="12"/>
            </w:pPr>
            <w:r>
              <w:t>人大会审议时间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调研报告数量</w:t>
            </w:r>
          </w:p>
        </w:tc>
        <w:tc>
          <w:tcPr>
            <w:tcW w:w="5386" w:type="dxa"/>
            <w:vAlign w:val="center"/>
          </w:tcPr>
          <w:p>
            <w:pPr>
              <w:pStyle w:val="12"/>
            </w:pPr>
            <w:r>
              <w:t>提交调研报告数量</w:t>
            </w:r>
          </w:p>
        </w:tc>
        <w:tc>
          <w:tcPr>
            <w:tcW w:w="2268" w:type="dxa"/>
            <w:vAlign w:val="center"/>
          </w:tcPr>
          <w:p>
            <w:pPr>
              <w:pStyle w:val="12"/>
            </w:pPr>
            <w:r>
              <w:t>≥3次</w:t>
            </w:r>
          </w:p>
        </w:tc>
        <w:tc>
          <w:tcPr>
            <w:tcW w:w="1276" w:type="dxa"/>
            <w:vAlign w:val="center"/>
          </w:tcPr>
          <w:p>
            <w:pPr>
              <w:pStyle w:val="12"/>
            </w:pPr>
            <w:r>
              <w:t>合同约定次数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≥3.6万元</w:t>
            </w:r>
          </w:p>
        </w:tc>
        <w:tc>
          <w:tcPr>
            <w:tcW w:w="1276" w:type="dxa"/>
            <w:vAlign w:val="center"/>
          </w:tcPr>
          <w:p>
            <w:pPr>
              <w:pStyle w:val="12"/>
            </w:pPr>
            <w:r>
              <w:t>项目预算资金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完成及时率</w:t>
            </w:r>
          </w:p>
        </w:tc>
        <w:tc>
          <w:tcPr>
            <w:tcW w:w="5386" w:type="dxa"/>
            <w:vAlign w:val="center"/>
          </w:tcPr>
          <w:p>
            <w:pPr>
              <w:pStyle w:val="12"/>
            </w:pPr>
            <w:r>
              <w:rPr>
                <w:rFonts w:hint="eastAsia"/>
                <w:lang w:eastAsia="zh-CN"/>
              </w:rPr>
              <w:t>“十五五”规划</w:t>
            </w:r>
            <w:r>
              <w:t>完成及时率</w:t>
            </w:r>
          </w:p>
        </w:tc>
        <w:tc>
          <w:tcPr>
            <w:tcW w:w="2268" w:type="dxa"/>
            <w:vAlign w:val="center"/>
          </w:tcPr>
          <w:p>
            <w:pPr>
              <w:pStyle w:val="12"/>
            </w:pPr>
            <w:r>
              <w:t>≥100%</w:t>
            </w:r>
          </w:p>
        </w:tc>
        <w:tc>
          <w:tcPr>
            <w:tcW w:w="1276" w:type="dxa"/>
            <w:vAlign w:val="center"/>
          </w:tcPr>
          <w:p>
            <w:pPr>
              <w:pStyle w:val="12"/>
            </w:pPr>
            <w:r>
              <w:t>人大会审议时间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rPr>
                <w:rFonts w:hint="eastAsia"/>
                <w:lang w:eastAsia="zh-CN"/>
              </w:rPr>
              <w:t>“十五五”规划</w:t>
            </w:r>
            <w:r>
              <w:t>对经济社会发展的贡献程度</w:t>
            </w:r>
          </w:p>
        </w:tc>
        <w:tc>
          <w:tcPr>
            <w:tcW w:w="5386" w:type="dxa"/>
            <w:vAlign w:val="center"/>
          </w:tcPr>
          <w:p>
            <w:pPr>
              <w:pStyle w:val="12"/>
            </w:pPr>
            <w:r>
              <w:rPr>
                <w:rFonts w:hint="eastAsia"/>
                <w:lang w:eastAsia="zh-CN"/>
              </w:rPr>
              <w:t>“十五五”规划</w:t>
            </w:r>
            <w:r>
              <w:t>对经济社会发展的指导作用</w:t>
            </w:r>
          </w:p>
        </w:tc>
        <w:tc>
          <w:tcPr>
            <w:tcW w:w="2268" w:type="dxa"/>
            <w:vAlign w:val="center"/>
          </w:tcPr>
          <w:p>
            <w:pPr>
              <w:pStyle w:val="12"/>
            </w:pPr>
            <w:r>
              <w:t>≥90%</w:t>
            </w:r>
          </w:p>
        </w:tc>
        <w:tc>
          <w:tcPr>
            <w:tcW w:w="1276" w:type="dxa"/>
            <w:vAlign w:val="center"/>
          </w:tcPr>
          <w:p>
            <w:pPr>
              <w:pStyle w:val="12"/>
            </w:pPr>
            <w:r>
              <w:t>规划对县域经济的作用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w:t>
            </w:r>
            <w:r>
              <w:rPr>
                <w:rFonts w:hint="eastAsia"/>
                <w:lang w:eastAsia="zh-CN"/>
              </w:rPr>
              <w:t>“十五五”规划</w:t>
            </w:r>
            <w:r>
              <w:t>满意度</w:t>
            </w:r>
          </w:p>
        </w:tc>
        <w:tc>
          <w:tcPr>
            <w:tcW w:w="2268" w:type="dxa"/>
            <w:vAlign w:val="center"/>
          </w:tcPr>
          <w:p>
            <w:pPr>
              <w:pStyle w:val="12"/>
            </w:pPr>
            <w:r>
              <w:t>≥95%</w:t>
            </w:r>
          </w:p>
        </w:tc>
        <w:tc>
          <w:tcPr>
            <w:tcW w:w="1276"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14、隆尧县在建重点项目实施视频全覆盖绩效目标表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13052526P000002101669</w:t>
            </w:r>
          </w:p>
        </w:tc>
        <w:tc>
          <w:tcPr>
            <w:tcW w:w="2835" w:type="dxa"/>
            <w:vAlign w:val="center"/>
          </w:tcPr>
          <w:p>
            <w:pPr>
              <w:pStyle w:val="10"/>
            </w:pPr>
            <w:r>
              <w:t>项目名称</w:t>
            </w:r>
          </w:p>
        </w:tc>
        <w:tc>
          <w:tcPr>
            <w:tcW w:w="6095" w:type="dxa"/>
            <w:gridSpan w:val="3"/>
            <w:vAlign w:val="center"/>
          </w:tcPr>
          <w:p>
            <w:pPr>
              <w:pStyle w:val="12"/>
            </w:pPr>
            <w:r>
              <w:t>隆尧县在建重点项目实施视频全覆盖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0.90</w:t>
            </w:r>
          </w:p>
        </w:tc>
        <w:tc>
          <w:tcPr>
            <w:tcW w:w="2835" w:type="dxa"/>
            <w:vAlign w:val="center"/>
          </w:tcPr>
          <w:p>
            <w:pPr>
              <w:pStyle w:val="10"/>
            </w:pPr>
            <w:r>
              <w:t>其中：财政    资金</w:t>
            </w:r>
          </w:p>
        </w:tc>
        <w:tc>
          <w:tcPr>
            <w:tcW w:w="2551" w:type="dxa"/>
            <w:vAlign w:val="center"/>
          </w:tcPr>
          <w:p>
            <w:pPr>
              <w:pStyle w:val="12"/>
            </w:pPr>
            <w:r>
              <w:t>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对全县重点项目建设进行视频建设，加快建设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1.对全县重点在建项目实施视频全覆盖，促进项目建设发展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实施视频覆盖项目数量</w:t>
            </w:r>
          </w:p>
        </w:tc>
        <w:tc>
          <w:tcPr>
            <w:tcW w:w="5386" w:type="dxa"/>
            <w:vAlign w:val="center"/>
          </w:tcPr>
          <w:p>
            <w:pPr>
              <w:pStyle w:val="12"/>
            </w:pPr>
            <w:r>
              <w:t>上级要求实施视频覆盖项目个数（个）</w:t>
            </w:r>
          </w:p>
        </w:tc>
        <w:tc>
          <w:tcPr>
            <w:tcW w:w="2268" w:type="dxa"/>
            <w:vAlign w:val="center"/>
          </w:tcPr>
          <w:p>
            <w:pPr>
              <w:pStyle w:val="12"/>
            </w:pPr>
            <w:r>
              <w:t>11个</w:t>
            </w:r>
          </w:p>
        </w:tc>
        <w:tc>
          <w:tcPr>
            <w:tcW w:w="1276" w:type="dxa"/>
            <w:vAlign w:val="center"/>
          </w:tcPr>
          <w:p>
            <w:pPr>
              <w:pStyle w:val="12"/>
            </w:pPr>
            <w:r>
              <w:t>市重点办文件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视频精准化覆盖工作完成率</w:t>
            </w:r>
          </w:p>
        </w:tc>
        <w:tc>
          <w:tcPr>
            <w:tcW w:w="5386" w:type="dxa"/>
            <w:vAlign w:val="center"/>
          </w:tcPr>
          <w:p>
            <w:pPr>
              <w:pStyle w:val="12"/>
            </w:pPr>
            <w:r>
              <w:t>视频精准化覆盖完成项目个数/应实施项目个数*100%</w:t>
            </w:r>
          </w:p>
        </w:tc>
        <w:tc>
          <w:tcPr>
            <w:tcW w:w="2268" w:type="dxa"/>
            <w:vAlign w:val="center"/>
          </w:tcPr>
          <w:p>
            <w:pPr>
              <w:pStyle w:val="12"/>
            </w:pPr>
            <w:r>
              <w:t>≥95%</w:t>
            </w:r>
          </w:p>
        </w:tc>
        <w:tc>
          <w:tcPr>
            <w:tcW w:w="1276" w:type="dxa"/>
            <w:vAlign w:val="center"/>
          </w:tcPr>
          <w:p>
            <w:pPr>
              <w:pStyle w:val="12"/>
            </w:pPr>
            <w:r>
              <w:t>市重点办文件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上级要求时间内任务完成及时率</w:t>
            </w:r>
          </w:p>
        </w:tc>
        <w:tc>
          <w:tcPr>
            <w:tcW w:w="2268" w:type="dxa"/>
            <w:vAlign w:val="center"/>
          </w:tcPr>
          <w:p>
            <w:pPr>
              <w:pStyle w:val="12"/>
            </w:pPr>
            <w:r>
              <w:t>≥95%</w:t>
            </w:r>
          </w:p>
        </w:tc>
        <w:tc>
          <w:tcPr>
            <w:tcW w:w="1276" w:type="dxa"/>
            <w:vAlign w:val="center"/>
          </w:tcPr>
          <w:p>
            <w:pPr>
              <w:pStyle w:val="12"/>
            </w:pPr>
            <w:r>
              <w:t>上级要求及合同约定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实施重点项目视频全覆盖的总成本</w:t>
            </w:r>
          </w:p>
        </w:tc>
        <w:tc>
          <w:tcPr>
            <w:tcW w:w="2268" w:type="dxa"/>
            <w:vAlign w:val="center"/>
          </w:tcPr>
          <w:p>
            <w:pPr>
              <w:pStyle w:val="12"/>
            </w:pPr>
            <w:r>
              <w:t>≤0.9万</w:t>
            </w:r>
          </w:p>
        </w:tc>
        <w:tc>
          <w:tcPr>
            <w:tcW w:w="1276" w:type="dxa"/>
            <w:vAlign w:val="center"/>
          </w:tcPr>
          <w:p>
            <w:pPr>
              <w:pStyle w:val="12"/>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经济发展</w:t>
            </w:r>
          </w:p>
        </w:tc>
        <w:tc>
          <w:tcPr>
            <w:tcW w:w="5386" w:type="dxa"/>
            <w:vAlign w:val="center"/>
          </w:tcPr>
          <w:p>
            <w:pPr>
              <w:pStyle w:val="12"/>
            </w:pPr>
            <w:r>
              <w:t>实施视频全覆盖项目对经济发展的带动作用</w:t>
            </w:r>
          </w:p>
        </w:tc>
        <w:tc>
          <w:tcPr>
            <w:tcW w:w="2268" w:type="dxa"/>
            <w:vAlign w:val="center"/>
          </w:tcPr>
          <w:p>
            <w:pPr>
              <w:pStyle w:val="12"/>
            </w:pPr>
            <w:r>
              <w:t>≥3%</w:t>
            </w:r>
          </w:p>
        </w:tc>
        <w:tc>
          <w:tcPr>
            <w:tcW w:w="1276" w:type="dxa"/>
            <w:vAlign w:val="center"/>
          </w:tcPr>
          <w:p>
            <w:pPr>
              <w:pStyle w:val="12"/>
            </w:pPr>
            <w:r>
              <w:t>依据历史经验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企业对实施重点项目全覆盖的满意度</w:t>
            </w:r>
          </w:p>
        </w:tc>
        <w:tc>
          <w:tcPr>
            <w:tcW w:w="2268" w:type="dxa"/>
            <w:vAlign w:val="center"/>
          </w:tcPr>
          <w:p>
            <w:pPr>
              <w:pStyle w:val="12"/>
            </w:pPr>
            <w:r>
              <w:t>≥90%</w:t>
            </w:r>
          </w:p>
        </w:tc>
        <w:tc>
          <w:tcPr>
            <w:tcW w:w="1276" w:type="dxa"/>
            <w:vAlign w:val="center"/>
          </w:tcPr>
          <w:p>
            <w:pPr>
              <w:pStyle w:val="12"/>
            </w:pPr>
            <w:r>
              <w:t>依据历史经验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15、全县食盐储备资金项目绩效目标表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13052526P00000210163E</w:t>
            </w:r>
          </w:p>
        </w:tc>
        <w:tc>
          <w:tcPr>
            <w:tcW w:w="2835" w:type="dxa"/>
            <w:vAlign w:val="center"/>
          </w:tcPr>
          <w:p>
            <w:pPr>
              <w:pStyle w:val="10"/>
            </w:pPr>
            <w:r>
              <w:t>项目名称</w:t>
            </w:r>
          </w:p>
        </w:tc>
        <w:tc>
          <w:tcPr>
            <w:tcW w:w="6095" w:type="dxa"/>
            <w:gridSpan w:val="3"/>
            <w:vAlign w:val="center"/>
          </w:tcPr>
          <w:p>
            <w:pPr>
              <w:pStyle w:val="12"/>
            </w:pPr>
            <w:r>
              <w:t>全县食盐储备资金项目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0.90</w:t>
            </w:r>
          </w:p>
        </w:tc>
        <w:tc>
          <w:tcPr>
            <w:tcW w:w="2835" w:type="dxa"/>
            <w:vAlign w:val="center"/>
          </w:tcPr>
          <w:p>
            <w:pPr>
              <w:pStyle w:val="10"/>
            </w:pPr>
            <w:r>
              <w:t>其中：财政    资金</w:t>
            </w:r>
          </w:p>
        </w:tc>
        <w:tc>
          <w:tcPr>
            <w:tcW w:w="2551" w:type="dxa"/>
            <w:vAlign w:val="center"/>
          </w:tcPr>
          <w:p>
            <w:pPr>
              <w:pStyle w:val="12"/>
            </w:pPr>
            <w:r>
              <w:t>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保障食盐储备粮充足，维护社会稳定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1.保证食盐储备，促进市场稳定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储存食盐数量</w:t>
            </w:r>
          </w:p>
        </w:tc>
        <w:tc>
          <w:tcPr>
            <w:tcW w:w="5386" w:type="dxa"/>
            <w:vAlign w:val="center"/>
          </w:tcPr>
          <w:p>
            <w:pPr>
              <w:pStyle w:val="12"/>
            </w:pPr>
            <w:r>
              <w:t>储存食盐数量（吨）</w:t>
            </w:r>
          </w:p>
        </w:tc>
        <w:tc>
          <w:tcPr>
            <w:tcW w:w="2268" w:type="dxa"/>
            <w:vAlign w:val="center"/>
          </w:tcPr>
          <w:p>
            <w:pPr>
              <w:pStyle w:val="12"/>
            </w:pPr>
            <w:r>
              <w:t>≥150吨</w:t>
            </w:r>
          </w:p>
        </w:tc>
        <w:tc>
          <w:tcPr>
            <w:tcW w:w="1276" w:type="dxa"/>
            <w:vAlign w:val="center"/>
          </w:tcPr>
          <w:p>
            <w:pPr>
              <w:pStyle w:val="12"/>
            </w:pPr>
            <w:r>
              <w:t>食盐储备要求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储备食盐合格数量/储备食盐数量*100%</w:t>
            </w:r>
          </w:p>
        </w:tc>
        <w:tc>
          <w:tcPr>
            <w:tcW w:w="2268" w:type="dxa"/>
            <w:vAlign w:val="center"/>
          </w:tcPr>
          <w:p>
            <w:pPr>
              <w:pStyle w:val="12"/>
            </w:pPr>
            <w:r>
              <w:t>100%</w:t>
            </w:r>
          </w:p>
        </w:tc>
        <w:tc>
          <w:tcPr>
            <w:tcW w:w="1276" w:type="dxa"/>
            <w:vAlign w:val="center"/>
          </w:tcPr>
          <w:p>
            <w:pPr>
              <w:pStyle w:val="12"/>
            </w:pPr>
            <w:r>
              <w:t>食盐储备要求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市场价格稳定</w:t>
            </w:r>
          </w:p>
        </w:tc>
        <w:tc>
          <w:tcPr>
            <w:tcW w:w="5386" w:type="dxa"/>
            <w:vAlign w:val="center"/>
          </w:tcPr>
          <w:p>
            <w:pPr>
              <w:pStyle w:val="12"/>
            </w:pPr>
            <w:r>
              <w:t>食盐市场价格稳定情况</w:t>
            </w:r>
          </w:p>
        </w:tc>
        <w:tc>
          <w:tcPr>
            <w:tcW w:w="2268" w:type="dxa"/>
            <w:vAlign w:val="center"/>
          </w:tcPr>
          <w:p>
            <w:pPr>
              <w:pStyle w:val="12"/>
            </w:pPr>
            <w:r>
              <w:t>100市场稳定</w:t>
            </w:r>
          </w:p>
        </w:tc>
        <w:tc>
          <w:tcPr>
            <w:tcW w:w="1276" w:type="dxa"/>
            <w:vAlign w:val="center"/>
          </w:tcPr>
          <w:p>
            <w:pPr>
              <w:pStyle w:val="12"/>
            </w:pPr>
            <w:r>
              <w:t>食盐储备目标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食盐储备项目成本</w:t>
            </w:r>
          </w:p>
        </w:tc>
        <w:tc>
          <w:tcPr>
            <w:tcW w:w="2268" w:type="dxa"/>
            <w:vAlign w:val="center"/>
          </w:tcPr>
          <w:p>
            <w:pPr>
              <w:pStyle w:val="12"/>
            </w:pPr>
            <w:r>
              <w:t>0.9万元</w:t>
            </w:r>
          </w:p>
        </w:tc>
        <w:tc>
          <w:tcPr>
            <w:tcW w:w="1276" w:type="dxa"/>
            <w:vAlign w:val="center"/>
          </w:tcPr>
          <w:p>
            <w:pPr>
              <w:pStyle w:val="12"/>
            </w:pPr>
            <w:r>
              <w:t>2026年初预算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5386" w:type="dxa"/>
            <w:vAlign w:val="center"/>
          </w:tcPr>
          <w:p>
            <w:pPr>
              <w:pStyle w:val="12"/>
            </w:pPr>
            <w:r>
              <w:t>食盐储备应急保障率</w:t>
            </w:r>
          </w:p>
        </w:tc>
        <w:tc>
          <w:tcPr>
            <w:tcW w:w="2268" w:type="dxa"/>
            <w:vAlign w:val="center"/>
          </w:tcPr>
          <w:p>
            <w:pPr>
              <w:pStyle w:val="12"/>
            </w:pPr>
            <w:r>
              <w:t>100保障市场供应</w:t>
            </w:r>
          </w:p>
        </w:tc>
        <w:tc>
          <w:tcPr>
            <w:tcW w:w="1276"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w:t>
            </w:r>
          </w:p>
        </w:tc>
        <w:tc>
          <w:tcPr>
            <w:tcW w:w="1276" w:type="dxa"/>
            <w:vAlign w:val="center"/>
          </w:tcPr>
          <w:p>
            <w:pPr>
              <w:pStyle w:val="12"/>
            </w:pPr>
            <w:r>
              <w:t>依据历史数据推算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16、全县重点项目建设经费绩效目标表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13052526P000002101475</w:t>
            </w:r>
          </w:p>
        </w:tc>
        <w:tc>
          <w:tcPr>
            <w:tcW w:w="2835" w:type="dxa"/>
            <w:vAlign w:val="center"/>
          </w:tcPr>
          <w:p>
            <w:pPr>
              <w:pStyle w:val="10"/>
            </w:pPr>
            <w:r>
              <w:t>项目名称</w:t>
            </w:r>
          </w:p>
        </w:tc>
        <w:tc>
          <w:tcPr>
            <w:tcW w:w="6095" w:type="dxa"/>
            <w:gridSpan w:val="3"/>
            <w:vAlign w:val="center"/>
          </w:tcPr>
          <w:p>
            <w:pPr>
              <w:pStyle w:val="12"/>
            </w:pPr>
            <w:r>
              <w:t>全县重点项目建设经费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用于建设重点项目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4" w:type="dxa"/>
            <w:gridSpan w:val="2"/>
            <w:vAlign w:val="center"/>
          </w:tcPr>
          <w:p>
            <w:pPr>
              <w:pStyle w:val="13"/>
            </w:pPr>
            <w:r>
              <w:t>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1.积极谋划，争列省市重点，积极推动重点项目建设，促进经济发展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亿元以上建设项目个数</w:t>
            </w:r>
          </w:p>
        </w:tc>
        <w:tc>
          <w:tcPr>
            <w:tcW w:w="5386" w:type="dxa"/>
            <w:vAlign w:val="center"/>
          </w:tcPr>
          <w:p>
            <w:pPr>
              <w:pStyle w:val="12"/>
            </w:pPr>
            <w:r>
              <w:t>亿元以上全年建设项目个数</w:t>
            </w:r>
          </w:p>
        </w:tc>
        <w:tc>
          <w:tcPr>
            <w:tcW w:w="2268" w:type="dxa"/>
            <w:vAlign w:val="center"/>
          </w:tcPr>
          <w:p>
            <w:pPr>
              <w:pStyle w:val="12"/>
            </w:pPr>
            <w:r>
              <w:t>≥8个</w:t>
            </w:r>
          </w:p>
        </w:tc>
        <w:tc>
          <w:tcPr>
            <w:tcW w:w="1276" w:type="dxa"/>
            <w:vAlign w:val="center"/>
          </w:tcPr>
          <w:p>
            <w:pPr>
              <w:pStyle w:val="12"/>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项目完工验收合格率</w:t>
            </w:r>
          </w:p>
        </w:tc>
        <w:tc>
          <w:tcPr>
            <w:tcW w:w="2268" w:type="dxa"/>
            <w:vAlign w:val="center"/>
          </w:tcPr>
          <w:p>
            <w:pPr>
              <w:pStyle w:val="12"/>
            </w:pPr>
            <w:r>
              <w:t>100%</w:t>
            </w:r>
          </w:p>
        </w:tc>
        <w:tc>
          <w:tcPr>
            <w:tcW w:w="1276" w:type="dxa"/>
            <w:vAlign w:val="center"/>
          </w:tcPr>
          <w:p>
            <w:pPr>
              <w:pStyle w:val="12"/>
            </w:pPr>
            <w:r>
              <w:t>项目验收率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项目投产率</w:t>
            </w:r>
          </w:p>
        </w:tc>
        <w:tc>
          <w:tcPr>
            <w:tcW w:w="5386" w:type="dxa"/>
            <w:vAlign w:val="center"/>
          </w:tcPr>
          <w:p>
            <w:pPr>
              <w:pStyle w:val="12"/>
            </w:pPr>
            <w:r>
              <w:t>全年项目完工率</w:t>
            </w:r>
          </w:p>
        </w:tc>
        <w:tc>
          <w:tcPr>
            <w:tcW w:w="2268" w:type="dxa"/>
            <w:vAlign w:val="center"/>
          </w:tcPr>
          <w:p>
            <w:pPr>
              <w:pStyle w:val="12"/>
            </w:pPr>
            <w:r>
              <w:t>≥100%</w:t>
            </w:r>
          </w:p>
        </w:tc>
        <w:tc>
          <w:tcPr>
            <w:tcW w:w="1276" w:type="dxa"/>
            <w:vAlign w:val="center"/>
          </w:tcPr>
          <w:p>
            <w:pPr>
              <w:pStyle w:val="12"/>
            </w:pPr>
            <w:r>
              <w:t>项目完工率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项目总投入</w:t>
            </w:r>
          </w:p>
        </w:tc>
        <w:tc>
          <w:tcPr>
            <w:tcW w:w="5386" w:type="dxa"/>
            <w:vAlign w:val="center"/>
          </w:tcPr>
          <w:p>
            <w:pPr>
              <w:pStyle w:val="12"/>
            </w:pPr>
            <w:r>
              <w:t>全年项目经费总投入</w:t>
            </w:r>
          </w:p>
        </w:tc>
        <w:tc>
          <w:tcPr>
            <w:tcW w:w="2268" w:type="dxa"/>
            <w:vAlign w:val="center"/>
          </w:tcPr>
          <w:p>
            <w:pPr>
              <w:pStyle w:val="12"/>
            </w:pPr>
            <w:r>
              <w:t>2万</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对全县经济社会发展贡献率</w:t>
            </w:r>
          </w:p>
        </w:tc>
        <w:tc>
          <w:tcPr>
            <w:tcW w:w="5386" w:type="dxa"/>
            <w:vAlign w:val="center"/>
          </w:tcPr>
          <w:p>
            <w:pPr>
              <w:pStyle w:val="12"/>
            </w:pPr>
            <w:r>
              <w:t>拉动经济增长百分比</w:t>
            </w:r>
          </w:p>
        </w:tc>
        <w:tc>
          <w:tcPr>
            <w:tcW w:w="2268" w:type="dxa"/>
            <w:vAlign w:val="center"/>
          </w:tcPr>
          <w:p>
            <w:pPr>
              <w:pStyle w:val="12"/>
            </w:pPr>
            <w:r>
              <w:t>≥3%</w:t>
            </w:r>
          </w:p>
        </w:tc>
        <w:tc>
          <w:tcPr>
            <w:tcW w:w="1276" w:type="dxa"/>
            <w:vAlign w:val="center"/>
          </w:tcPr>
          <w:p>
            <w:pPr>
              <w:pStyle w:val="12"/>
            </w:pPr>
            <w:r>
              <w:t>官方公布经济数据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群众对该项目满意程度调查</w:t>
            </w:r>
          </w:p>
        </w:tc>
        <w:tc>
          <w:tcPr>
            <w:tcW w:w="2268" w:type="dxa"/>
            <w:vAlign w:val="center"/>
          </w:tcPr>
          <w:p>
            <w:pPr>
              <w:pStyle w:val="12"/>
            </w:pPr>
            <w:r>
              <w:t>≥90%</w:t>
            </w:r>
          </w:p>
        </w:tc>
        <w:tc>
          <w:tcPr>
            <w:tcW w:w="1276" w:type="dxa"/>
            <w:vAlign w:val="center"/>
          </w:tcPr>
          <w:p>
            <w:pPr>
              <w:pStyle w:val="12"/>
            </w:pPr>
            <w:r>
              <w:t>依据历史数据推算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17、退役军人公益岗绩效目标表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13052526P00870710027B</w:t>
            </w:r>
          </w:p>
        </w:tc>
        <w:tc>
          <w:tcPr>
            <w:tcW w:w="2835" w:type="dxa"/>
            <w:vAlign w:val="center"/>
          </w:tcPr>
          <w:p>
            <w:pPr>
              <w:pStyle w:val="10"/>
            </w:pPr>
            <w:r>
              <w:t>项目名称</w:t>
            </w:r>
          </w:p>
        </w:tc>
        <w:tc>
          <w:tcPr>
            <w:tcW w:w="6095" w:type="dxa"/>
            <w:gridSpan w:val="3"/>
            <w:vAlign w:val="center"/>
          </w:tcPr>
          <w:p>
            <w:pPr>
              <w:pStyle w:val="12"/>
            </w:pPr>
            <w:r>
              <w:t>退役军人公益岗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20.20</w:t>
            </w:r>
          </w:p>
        </w:tc>
        <w:tc>
          <w:tcPr>
            <w:tcW w:w="2835" w:type="dxa"/>
            <w:vAlign w:val="center"/>
          </w:tcPr>
          <w:p>
            <w:pPr>
              <w:pStyle w:val="10"/>
            </w:pPr>
            <w:r>
              <w:t>其中：财政    资金</w:t>
            </w:r>
          </w:p>
        </w:tc>
        <w:tc>
          <w:tcPr>
            <w:tcW w:w="2551" w:type="dxa"/>
            <w:vAlign w:val="center"/>
          </w:tcPr>
          <w:p>
            <w:pPr>
              <w:pStyle w:val="12"/>
            </w:pPr>
            <w:r>
              <w:t>20.20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做好退役军人维稳工作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1.做好退役军人维稳工作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总人数</w:t>
            </w:r>
          </w:p>
        </w:tc>
        <w:tc>
          <w:tcPr>
            <w:tcW w:w="5386" w:type="dxa"/>
            <w:vAlign w:val="center"/>
          </w:tcPr>
          <w:p>
            <w:pPr>
              <w:pStyle w:val="12"/>
            </w:pPr>
            <w:r>
              <w:t>最新退役军人专岗总人数</w:t>
            </w:r>
          </w:p>
        </w:tc>
        <w:tc>
          <w:tcPr>
            <w:tcW w:w="2268" w:type="dxa"/>
            <w:vAlign w:val="center"/>
          </w:tcPr>
          <w:p>
            <w:pPr>
              <w:pStyle w:val="12"/>
            </w:pPr>
            <w:r>
              <w:t>5人</w:t>
            </w:r>
          </w:p>
        </w:tc>
        <w:tc>
          <w:tcPr>
            <w:tcW w:w="1276" w:type="dxa"/>
            <w:vAlign w:val="center"/>
          </w:tcPr>
          <w:p>
            <w:pPr>
              <w:pStyle w:val="12"/>
            </w:pPr>
            <w:r>
              <w:t>最新人员花名册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资金使用合规率</w:t>
            </w:r>
          </w:p>
        </w:tc>
        <w:tc>
          <w:tcPr>
            <w:tcW w:w="5386" w:type="dxa"/>
            <w:vAlign w:val="center"/>
          </w:tcPr>
          <w:p>
            <w:pPr>
              <w:pStyle w:val="12"/>
            </w:pPr>
            <w:r>
              <w:t>资金用于退役军人专岗概率</w:t>
            </w:r>
          </w:p>
        </w:tc>
        <w:tc>
          <w:tcPr>
            <w:tcW w:w="2268" w:type="dxa"/>
            <w:vAlign w:val="center"/>
          </w:tcPr>
          <w:p>
            <w:pPr>
              <w:pStyle w:val="12"/>
            </w:pPr>
            <w:r>
              <w:t>100%</w:t>
            </w:r>
          </w:p>
        </w:tc>
        <w:tc>
          <w:tcPr>
            <w:tcW w:w="1276" w:type="dxa"/>
            <w:vAlign w:val="center"/>
          </w:tcPr>
          <w:p>
            <w:pPr>
              <w:pStyle w:val="12"/>
            </w:pPr>
            <w:r>
              <w:t>最新人员花名册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退役军人专岗资金使用率</w:t>
            </w:r>
          </w:p>
        </w:tc>
        <w:tc>
          <w:tcPr>
            <w:tcW w:w="2268" w:type="dxa"/>
            <w:vAlign w:val="center"/>
          </w:tcPr>
          <w:p>
            <w:pPr>
              <w:pStyle w:val="12"/>
            </w:pPr>
            <w:r>
              <w:t>100%</w:t>
            </w:r>
          </w:p>
        </w:tc>
        <w:tc>
          <w:tcPr>
            <w:tcW w:w="1276" w:type="dxa"/>
            <w:vAlign w:val="center"/>
          </w:tcPr>
          <w:p>
            <w:pPr>
              <w:pStyle w:val="12"/>
            </w:pPr>
            <w:r>
              <w:t>最新人员花名册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退役军人专岗总资金</w:t>
            </w:r>
          </w:p>
        </w:tc>
        <w:tc>
          <w:tcPr>
            <w:tcW w:w="2268" w:type="dxa"/>
            <w:vAlign w:val="center"/>
          </w:tcPr>
          <w:p>
            <w:pPr>
              <w:pStyle w:val="12"/>
            </w:pPr>
            <w:r>
              <w:t>202037.2元</w:t>
            </w:r>
          </w:p>
        </w:tc>
        <w:tc>
          <w:tcPr>
            <w:tcW w:w="1276" w:type="dxa"/>
            <w:vAlign w:val="center"/>
          </w:tcPr>
          <w:p>
            <w:pPr>
              <w:pStyle w:val="12"/>
            </w:pPr>
            <w:r>
              <w:t>最新人员花名册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促进社会和谐稳定</w:t>
            </w:r>
          </w:p>
        </w:tc>
        <w:tc>
          <w:tcPr>
            <w:tcW w:w="5386" w:type="dxa"/>
            <w:vAlign w:val="center"/>
          </w:tcPr>
          <w:p>
            <w:pPr>
              <w:pStyle w:val="12"/>
            </w:pPr>
            <w:r>
              <w:t>做好退役军人维稳，促进社会和谐稳定</w:t>
            </w:r>
          </w:p>
        </w:tc>
        <w:tc>
          <w:tcPr>
            <w:tcW w:w="2268" w:type="dxa"/>
            <w:vAlign w:val="center"/>
          </w:tcPr>
          <w:p>
            <w:pPr>
              <w:pStyle w:val="12"/>
            </w:pPr>
            <w:r>
              <w:t>100%</w:t>
            </w:r>
          </w:p>
        </w:tc>
        <w:tc>
          <w:tcPr>
            <w:tcW w:w="1276" w:type="dxa"/>
            <w:vAlign w:val="center"/>
          </w:tcPr>
          <w:p>
            <w:pPr>
              <w:pStyle w:val="12"/>
            </w:pPr>
            <w:r>
              <w:t>最新人员花名册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≥95%</w:t>
            </w:r>
          </w:p>
        </w:tc>
        <w:tc>
          <w:tcPr>
            <w:tcW w:w="1276" w:type="dxa"/>
            <w:vAlign w:val="center"/>
          </w:tcPr>
          <w:p>
            <w:pPr>
              <w:pStyle w:val="12"/>
            </w:pPr>
            <w:r>
              <w:t>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18、县级储备粮利息和储存费用绩效目标表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13052526P00000210168G</w:t>
            </w:r>
          </w:p>
        </w:tc>
        <w:tc>
          <w:tcPr>
            <w:tcW w:w="2835" w:type="dxa"/>
            <w:vAlign w:val="center"/>
          </w:tcPr>
          <w:p>
            <w:pPr>
              <w:pStyle w:val="10"/>
            </w:pPr>
            <w:r>
              <w:t>项目名称</w:t>
            </w:r>
          </w:p>
        </w:tc>
        <w:tc>
          <w:tcPr>
            <w:tcW w:w="6095" w:type="dxa"/>
            <w:gridSpan w:val="3"/>
            <w:vAlign w:val="center"/>
          </w:tcPr>
          <w:p>
            <w:pPr>
              <w:pStyle w:val="12"/>
            </w:pPr>
            <w:r>
              <w:t>县级储备粮利息和储存费用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w:t>
            </w:r>
          </w:p>
        </w:tc>
        <w:tc>
          <w:tcPr>
            <w:tcW w:w="2835" w:type="dxa"/>
            <w:vAlign w:val="center"/>
          </w:tcPr>
          <w:p>
            <w:pPr>
              <w:pStyle w:val="10"/>
            </w:pPr>
            <w:r>
              <w:t>其中：财政    资金</w:t>
            </w:r>
          </w:p>
        </w:tc>
        <w:tc>
          <w:tcPr>
            <w:tcW w:w="2551" w:type="dxa"/>
            <w:vAlign w:val="center"/>
          </w:tcPr>
          <w:p>
            <w:pPr>
              <w:pStyle w:val="12"/>
            </w:pPr>
            <w:r>
              <w:t>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保障粮食安全，维护社会稳定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1.落实县级储备粮政策，保障粮食安全，维护社会稳定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储备粮食数量</w:t>
            </w:r>
          </w:p>
        </w:tc>
        <w:tc>
          <w:tcPr>
            <w:tcW w:w="5386" w:type="dxa"/>
            <w:vAlign w:val="center"/>
          </w:tcPr>
          <w:p>
            <w:pPr>
              <w:pStyle w:val="12"/>
            </w:pPr>
            <w:r>
              <w:t>落实县级储备粮食数量</w:t>
            </w:r>
          </w:p>
        </w:tc>
        <w:tc>
          <w:tcPr>
            <w:tcW w:w="2268" w:type="dxa"/>
            <w:vAlign w:val="center"/>
          </w:tcPr>
          <w:p>
            <w:pPr>
              <w:pStyle w:val="12"/>
            </w:pPr>
            <w:r>
              <w:t>4万吨</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粮食质量达标率</w:t>
            </w:r>
          </w:p>
        </w:tc>
        <w:tc>
          <w:tcPr>
            <w:tcW w:w="5386" w:type="dxa"/>
            <w:vAlign w:val="center"/>
          </w:tcPr>
          <w:p>
            <w:pPr>
              <w:pStyle w:val="12"/>
            </w:pPr>
            <w:r>
              <w:t>县级储备粮食质量达标率*100%</w:t>
            </w:r>
          </w:p>
        </w:tc>
        <w:tc>
          <w:tcPr>
            <w:tcW w:w="2268" w:type="dxa"/>
            <w:vAlign w:val="center"/>
          </w:tcPr>
          <w:p>
            <w:pPr>
              <w:pStyle w:val="12"/>
            </w:pPr>
            <w:r>
              <w:t>≥98%</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完成工作任务及时性</w:t>
            </w:r>
          </w:p>
        </w:tc>
        <w:tc>
          <w:tcPr>
            <w:tcW w:w="5386" w:type="dxa"/>
            <w:vAlign w:val="center"/>
          </w:tcPr>
          <w:p>
            <w:pPr>
              <w:pStyle w:val="12"/>
            </w:pPr>
            <w:r>
              <w:t>完成工作任务及时性</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项目预算控制额</w:t>
            </w:r>
          </w:p>
        </w:tc>
        <w:tc>
          <w:tcPr>
            <w:tcW w:w="2268" w:type="dxa"/>
            <w:vAlign w:val="center"/>
          </w:tcPr>
          <w:p>
            <w:pPr>
              <w:pStyle w:val="12"/>
            </w:pPr>
            <w:r>
              <w:t>≤36万元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落实粮食储备政策，维护社会稳定水平</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落实上级政策</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hint="eastAsia" w:ascii="黑体" w:hAnsi="黑体" w:eastAsia="黑体" w:cs="黑体"/>
          <w:color w:val="000000"/>
          <w:sz w:val="32"/>
          <w:lang w:eastAsia="zh-CN"/>
        </w:rPr>
        <w:t>七</w:t>
      </w:r>
      <w:r>
        <w:rPr>
          <w:rFonts w:ascii="黑体" w:hAnsi="黑体" w:eastAsia="黑体" w:cs="黑体"/>
          <w:color w:val="000000"/>
          <w:sz w:val="32"/>
        </w:rPr>
        <w:t>、政府采购预算情况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303001隆尧县发展和改革局本级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1500.00</w:t>
            </w:r>
          </w:p>
        </w:tc>
        <w:tc>
          <w:tcPr>
            <w:tcW w:w="964" w:type="dxa"/>
            <w:vAlign w:val="center"/>
          </w:tcPr>
          <w:p>
            <w:pPr>
              <w:pStyle w:val="15"/>
            </w:pPr>
            <w:r>
              <w:t>1500.00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隆尧县发展和改革局本级小计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1500.00</w:t>
            </w:r>
          </w:p>
        </w:tc>
        <w:tc>
          <w:tcPr>
            <w:tcW w:w="964" w:type="dxa"/>
            <w:vAlign w:val="center"/>
          </w:tcPr>
          <w:p>
            <w:pPr>
              <w:pStyle w:val="15"/>
            </w:pPr>
            <w:r>
              <w:t>1500.00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冀财建[2025]126号/中央资金/粮食流通提质增效项目</w:t>
            </w:r>
            <w:r>
              <w:tab/>
            </w:r>
            <w:r>
              <w:tab/>
            </w:r>
          </w:p>
          <w:p>
            <w:pPr>
              <w:pStyle w:val="12"/>
            </w:pPr>
          </w:p>
        </w:tc>
        <w:tc>
          <w:tcPr>
            <w:tcW w:w="964" w:type="dxa"/>
            <w:vAlign w:val="center"/>
          </w:tcPr>
          <w:p>
            <w:pPr>
              <w:pStyle w:val="11"/>
            </w:pPr>
            <w:r>
              <w:t>3500.00</w:t>
            </w:r>
          </w:p>
        </w:tc>
        <w:tc>
          <w:tcPr>
            <w:tcW w:w="1134" w:type="dxa"/>
            <w:vAlign w:val="center"/>
          </w:tcPr>
          <w:p>
            <w:pPr>
              <w:pStyle w:val="12"/>
            </w:pPr>
            <w:r>
              <w:t>仓储用房施工</w:t>
            </w:r>
          </w:p>
        </w:tc>
        <w:tc>
          <w:tcPr>
            <w:tcW w:w="1134" w:type="dxa"/>
            <w:vAlign w:val="center"/>
          </w:tcPr>
          <w:p>
            <w:pPr>
              <w:pStyle w:val="12"/>
            </w:pPr>
            <w:r>
              <w:t>B01022600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1500.00</w:t>
            </w:r>
          </w:p>
        </w:tc>
        <w:tc>
          <w:tcPr>
            <w:tcW w:w="964" w:type="dxa"/>
            <w:vAlign w:val="center"/>
          </w:tcPr>
          <w:p>
            <w:pPr>
              <w:pStyle w:val="11"/>
            </w:pPr>
            <w:r>
              <w:t>1500.00</w:t>
            </w:r>
          </w:p>
        </w:tc>
        <w:tc>
          <w:tcPr>
            <w:tcW w:w="964" w:type="dxa"/>
            <w:vAlign w:val="center"/>
          </w:tcPr>
          <w:p>
            <w:pPr>
              <w:pStyle w:val="11"/>
            </w:pPr>
            <w:r>
              <w:t>1500.00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hint="eastAsia" w:ascii="黑体" w:hAnsi="黑体" w:eastAsia="黑体" w:cs="黑体"/>
          <w:color w:val="000000"/>
          <w:sz w:val="32"/>
          <w:lang w:eastAsia="zh-CN"/>
        </w:rPr>
        <w:t>八</w:t>
      </w:r>
      <w:r>
        <w:rPr>
          <w:rFonts w:ascii="黑体" w:hAnsi="黑体" w:eastAsia="黑体" w:cs="黑体"/>
          <w:color w:val="000000"/>
          <w:sz w:val="32"/>
        </w:rPr>
        <w:t>、国有资产信息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隆尧县发展和改革局本级上年末固定资产金额为0.00万元（详见下表）。本年度拟购置固定资产总额为0.00万元，已按要求列入政府采购预算，详见政府采购预算表。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303001隆尧县发展和改革局本级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hint="eastAsia" w:ascii="黑体" w:hAnsi="黑体" w:eastAsia="黑体" w:cs="黑体"/>
          <w:color w:val="000000"/>
          <w:sz w:val="32"/>
          <w:lang w:eastAsia="zh-CN"/>
        </w:rPr>
        <w:t>九</w:t>
      </w:r>
      <w:r>
        <w:rPr>
          <w:rFonts w:ascii="黑体" w:hAnsi="黑体" w:eastAsia="黑体" w:cs="黑体"/>
          <w:color w:val="000000"/>
          <w:sz w:val="32"/>
        </w:rPr>
        <w:t>、名词解释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hint="eastAsia" w:ascii="黑体" w:hAnsi="黑体" w:eastAsia="黑体" w:cs="黑体"/>
          <w:color w:val="000000"/>
          <w:sz w:val="32"/>
          <w:lang w:eastAsia="zh-CN"/>
        </w:rPr>
        <w:t>十</w:t>
      </w:r>
      <w:r>
        <w:rPr>
          <w:rFonts w:ascii="黑体" w:hAnsi="黑体" w:eastAsia="黑体" w:cs="黑体"/>
          <w:color w:val="000000"/>
          <w:sz w:val="32"/>
        </w:rPr>
        <w:t>、其他需要说明的事项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283613F"/>
    <w:rsid w:val="2B9F6B5B"/>
    <w:rsid w:val="5FEF095F"/>
    <w:rsid w:val="611F5D55"/>
    <w:rsid w:val="716A0F3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53</Pages>
  <Words>12303</Words>
  <Characters>15844</Characters>
  <TotalTime>2</TotalTime>
  <ScaleCrop>false</ScaleCrop>
  <LinksUpToDate>false</LinksUpToDate>
  <CharactersWithSpaces>16121</CharactersWithSpaces>
  <Application>WPS Office_11.8.2.12300_F1E327BC-269C-435d-A152-05C5408002CA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2026-02-11T09:15:00Z</dcterms:created>
  <dc:creator>Administrator</dc:creator>
  <cp:lastModifiedBy>-.-</cp:lastModifiedBy>
  <dcterms:modified xsi:type="dcterms:W3CDTF">2026-02-28T03:24:45Z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2052-11.8.2.12300</vt:lpwstr>
  </property>
  <property fmtid="{D5CDD505-2E9C-101B-9397-08002B2CF9AE}" pid="3" name="ICV">
    <vt:lpwstr>A9505E287F9941A3A15206A890E71E77</vt:lpwstr>
  </property>
</Properties>
</file>