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37</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37</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37</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38</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817隆尧县社区建设服务中心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711.34</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r>
              <w:t xml:space="preserve">5.00</w:t>
            </w: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6.11</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2.85</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646.37</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56.00</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r>
              <w:t xml:space="preserve">9.50</w:t>
            </w: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716.34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720.84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4.50</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720.84</w:t>
            </w:r>
          </w:p>
        </w:tc>
        <w:tc>
          <w:tcPr>
            <w:tcW w:w="4535" w:type="dxa"/>
            <w:vAlign w:val="center"/>
          </w:tcPr>
          <w:p>
            <w:pPr>
              <w:pStyle w:val="单元格样式6"/>
            </w:pPr>
            <w:r>
              <w:t xml:space="preserve">支出总计</w:t>
            </w:r>
          </w:p>
        </w:tc>
        <w:tc>
          <w:tcPr>
            <w:tcW w:w="2126" w:type="dxa"/>
            <w:vAlign w:val="center"/>
          </w:tcPr>
          <w:p>
            <w:pPr>
              <w:pStyle w:val="单元格样式7"/>
            </w:pPr>
            <w:r>
              <w:t xml:space="preserve">720.84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817隆尧县社区建设服务中心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720.84</w:t>
            </w:r>
          </w:p>
        </w:tc>
        <w:tc>
          <w:tcPr>
            <w:tcW w:w="1134" w:type="dxa"/>
            <w:vAlign w:val="center"/>
          </w:tcPr>
          <w:p>
            <w:pPr>
              <w:pStyle w:val="单元格样式7"/>
            </w:pPr>
            <w:r>
              <w:t xml:space="preserve">716.34</w:t>
            </w:r>
          </w:p>
        </w:tc>
        <w:tc>
          <w:tcPr>
            <w:tcW w:w="1134" w:type="dxa"/>
            <w:vAlign w:val="center"/>
          </w:tcPr>
          <w:p>
            <w:pPr>
              <w:pStyle w:val="单元格样式7"/>
            </w:pPr>
            <w:r>
              <w:t xml:space="preserve">716.34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4.50</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6.11</w:t>
            </w:r>
          </w:p>
        </w:tc>
        <w:tc>
          <w:tcPr>
            <w:tcW w:w="1134" w:type="dxa"/>
            <w:vAlign w:val="center"/>
          </w:tcPr>
          <w:p>
            <w:pPr>
              <w:pStyle w:val="单元格样式4"/>
            </w:pPr>
            <w:r>
              <w:t xml:space="preserve">6.11</w:t>
            </w:r>
          </w:p>
        </w:tc>
        <w:tc>
          <w:tcPr>
            <w:tcW w:w="1134" w:type="dxa"/>
            <w:vAlign w:val="center"/>
          </w:tcPr>
          <w:p>
            <w:pPr>
              <w:pStyle w:val="单元格样式4"/>
            </w:pPr>
            <w:r>
              <w:t xml:space="preserve">6.11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6.11</w:t>
            </w:r>
          </w:p>
        </w:tc>
        <w:tc>
          <w:tcPr>
            <w:tcW w:w="1134" w:type="dxa"/>
            <w:vAlign w:val="center"/>
          </w:tcPr>
          <w:p>
            <w:pPr>
              <w:pStyle w:val="单元格样式4"/>
            </w:pPr>
            <w:r>
              <w:t xml:space="preserve">6.11</w:t>
            </w:r>
          </w:p>
        </w:tc>
        <w:tc>
          <w:tcPr>
            <w:tcW w:w="1134" w:type="dxa"/>
            <w:vAlign w:val="center"/>
          </w:tcPr>
          <w:p>
            <w:pPr>
              <w:pStyle w:val="单元格样式4"/>
            </w:pPr>
            <w:r>
              <w:t xml:space="preserve">6.11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6.11</w:t>
            </w:r>
          </w:p>
        </w:tc>
        <w:tc>
          <w:tcPr>
            <w:tcW w:w="1134" w:type="dxa"/>
            <w:vAlign w:val="center"/>
          </w:tcPr>
          <w:p>
            <w:pPr>
              <w:pStyle w:val="单元格样式4"/>
            </w:pPr>
            <w:r>
              <w:t xml:space="preserve">6.11</w:t>
            </w:r>
          </w:p>
        </w:tc>
        <w:tc>
          <w:tcPr>
            <w:tcW w:w="1134" w:type="dxa"/>
            <w:vAlign w:val="center"/>
          </w:tcPr>
          <w:p>
            <w:pPr>
              <w:pStyle w:val="单元格样式4"/>
            </w:pPr>
            <w:r>
              <w:t xml:space="preserve">6.11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2.85</w:t>
            </w:r>
          </w:p>
        </w:tc>
        <w:tc>
          <w:tcPr>
            <w:tcW w:w="1134" w:type="dxa"/>
            <w:vAlign w:val="center"/>
          </w:tcPr>
          <w:p>
            <w:pPr>
              <w:pStyle w:val="单元格样式4"/>
            </w:pPr>
            <w:r>
              <w:t xml:space="preserve">2.85</w:t>
            </w:r>
          </w:p>
        </w:tc>
        <w:tc>
          <w:tcPr>
            <w:tcW w:w="1134" w:type="dxa"/>
            <w:vAlign w:val="center"/>
          </w:tcPr>
          <w:p>
            <w:pPr>
              <w:pStyle w:val="单元格样式4"/>
            </w:pPr>
            <w:r>
              <w:t xml:space="preserve">2.85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2.85</w:t>
            </w:r>
          </w:p>
        </w:tc>
        <w:tc>
          <w:tcPr>
            <w:tcW w:w="1134" w:type="dxa"/>
            <w:vAlign w:val="center"/>
          </w:tcPr>
          <w:p>
            <w:pPr>
              <w:pStyle w:val="单元格样式4"/>
            </w:pPr>
            <w:r>
              <w:t xml:space="preserve">2.85</w:t>
            </w:r>
          </w:p>
        </w:tc>
        <w:tc>
          <w:tcPr>
            <w:tcW w:w="1134" w:type="dxa"/>
            <w:vAlign w:val="center"/>
          </w:tcPr>
          <w:p>
            <w:pPr>
              <w:pStyle w:val="单元格样式4"/>
            </w:pPr>
            <w:r>
              <w:t xml:space="preserve">2.85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2.85</w:t>
            </w:r>
          </w:p>
        </w:tc>
        <w:tc>
          <w:tcPr>
            <w:tcW w:w="1134" w:type="dxa"/>
            <w:vAlign w:val="center"/>
          </w:tcPr>
          <w:p>
            <w:pPr>
              <w:pStyle w:val="单元格样式4"/>
            </w:pPr>
            <w:r>
              <w:t xml:space="preserve">2.85</w:t>
            </w:r>
          </w:p>
        </w:tc>
        <w:tc>
          <w:tcPr>
            <w:tcW w:w="1134" w:type="dxa"/>
            <w:vAlign w:val="center"/>
          </w:tcPr>
          <w:p>
            <w:pPr>
              <w:pStyle w:val="单元格样式4"/>
            </w:pPr>
            <w:r>
              <w:t xml:space="preserve">2.85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646.37</w:t>
            </w:r>
          </w:p>
        </w:tc>
        <w:tc>
          <w:tcPr>
            <w:tcW w:w="1134" w:type="dxa"/>
            <w:vAlign w:val="center"/>
          </w:tcPr>
          <w:p>
            <w:pPr>
              <w:pStyle w:val="单元格样式4"/>
            </w:pPr>
            <w:r>
              <w:t xml:space="preserve">646.37</w:t>
            </w:r>
          </w:p>
        </w:tc>
        <w:tc>
          <w:tcPr>
            <w:tcW w:w="1134" w:type="dxa"/>
            <w:vAlign w:val="center"/>
          </w:tcPr>
          <w:p>
            <w:pPr>
              <w:pStyle w:val="单元格样式4"/>
            </w:pPr>
            <w:r>
              <w:t xml:space="preserve">646.37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21201</w:t>
            </w:r>
          </w:p>
        </w:tc>
        <w:tc>
          <w:tcPr>
            <w:tcW w:w="1559" w:type="dxa"/>
            <w:vAlign w:val="center"/>
          </w:tcPr>
          <w:p>
            <w:pPr>
              <w:pStyle w:val="单元格样式2"/>
            </w:pPr>
            <w:r>
              <w:t xml:space="preserve">城乡社区管理事务</w:t>
            </w:r>
          </w:p>
        </w:tc>
        <w:tc>
          <w:tcPr>
            <w:tcW w:w="1134" w:type="dxa"/>
            <w:vAlign w:val="center"/>
          </w:tcPr>
          <w:p>
            <w:pPr>
              <w:pStyle w:val="单元格样式4"/>
            </w:pPr>
            <w:r>
              <w:t xml:space="preserve">646.37</w:t>
            </w:r>
          </w:p>
        </w:tc>
        <w:tc>
          <w:tcPr>
            <w:tcW w:w="1134" w:type="dxa"/>
            <w:vAlign w:val="center"/>
          </w:tcPr>
          <w:p>
            <w:pPr>
              <w:pStyle w:val="单元格样式4"/>
            </w:pPr>
            <w:r>
              <w:t xml:space="preserve">646.37</w:t>
            </w:r>
          </w:p>
        </w:tc>
        <w:tc>
          <w:tcPr>
            <w:tcW w:w="1134" w:type="dxa"/>
            <w:vAlign w:val="center"/>
          </w:tcPr>
          <w:p>
            <w:pPr>
              <w:pStyle w:val="单元格样式4"/>
            </w:pPr>
            <w:r>
              <w:t xml:space="preserve">646.37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2120101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639.92</w:t>
            </w:r>
          </w:p>
        </w:tc>
        <w:tc>
          <w:tcPr>
            <w:tcW w:w="1134" w:type="dxa"/>
            <w:vAlign w:val="center"/>
          </w:tcPr>
          <w:p>
            <w:pPr>
              <w:pStyle w:val="单元格样式4"/>
            </w:pPr>
            <w:r>
              <w:t xml:space="preserve">639.92</w:t>
            </w:r>
          </w:p>
        </w:tc>
        <w:tc>
          <w:tcPr>
            <w:tcW w:w="1134" w:type="dxa"/>
            <w:vAlign w:val="center"/>
          </w:tcPr>
          <w:p>
            <w:pPr>
              <w:pStyle w:val="单元格样式4"/>
            </w:pPr>
            <w:r>
              <w:t xml:space="preserve">639.92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2120102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6.45</w:t>
            </w:r>
          </w:p>
        </w:tc>
        <w:tc>
          <w:tcPr>
            <w:tcW w:w="1134" w:type="dxa"/>
            <w:vAlign w:val="center"/>
          </w:tcPr>
          <w:p>
            <w:pPr>
              <w:pStyle w:val="单元格样式4"/>
            </w:pPr>
            <w:r>
              <w:t xml:space="preserve">6.45</w:t>
            </w:r>
          </w:p>
        </w:tc>
        <w:tc>
          <w:tcPr>
            <w:tcW w:w="1134" w:type="dxa"/>
            <w:vAlign w:val="center"/>
          </w:tcPr>
          <w:p>
            <w:pPr>
              <w:pStyle w:val="单元格样式4"/>
            </w:pPr>
            <w:r>
              <w:t xml:space="preserve">6.45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56.00</w:t>
            </w:r>
          </w:p>
        </w:tc>
        <w:tc>
          <w:tcPr>
            <w:tcW w:w="1134" w:type="dxa"/>
            <w:vAlign w:val="center"/>
          </w:tcPr>
          <w:p>
            <w:pPr>
              <w:pStyle w:val="单元格样式4"/>
            </w:pPr>
            <w:r>
              <w:t xml:space="preserve">56.00</w:t>
            </w:r>
          </w:p>
        </w:tc>
        <w:tc>
          <w:tcPr>
            <w:tcW w:w="1134" w:type="dxa"/>
            <w:vAlign w:val="center"/>
          </w:tcPr>
          <w:p>
            <w:pPr>
              <w:pStyle w:val="单元格样式4"/>
            </w:pPr>
            <w:r>
              <w:t xml:space="preserve">56.00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56.00</w:t>
            </w:r>
          </w:p>
        </w:tc>
        <w:tc>
          <w:tcPr>
            <w:tcW w:w="1134" w:type="dxa"/>
            <w:vAlign w:val="center"/>
          </w:tcPr>
          <w:p>
            <w:pPr>
              <w:pStyle w:val="单元格样式4"/>
            </w:pPr>
            <w:r>
              <w:t xml:space="preserve">56.00</w:t>
            </w:r>
          </w:p>
        </w:tc>
        <w:tc>
          <w:tcPr>
            <w:tcW w:w="1134" w:type="dxa"/>
            <w:vAlign w:val="center"/>
          </w:tcPr>
          <w:p>
            <w:pPr>
              <w:pStyle w:val="单元格样式4"/>
            </w:pPr>
            <w:r>
              <w:t xml:space="preserve">56.00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56.00</w:t>
            </w:r>
          </w:p>
        </w:tc>
        <w:tc>
          <w:tcPr>
            <w:tcW w:w="1134" w:type="dxa"/>
            <w:vAlign w:val="center"/>
          </w:tcPr>
          <w:p>
            <w:pPr>
              <w:pStyle w:val="单元格样式4"/>
            </w:pPr>
            <w:r>
              <w:t xml:space="preserve">56.00</w:t>
            </w:r>
          </w:p>
        </w:tc>
        <w:tc>
          <w:tcPr>
            <w:tcW w:w="1134" w:type="dxa"/>
            <w:vAlign w:val="center"/>
          </w:tcPr>
          <w:p>
            <w:pPr>
              <w:pStyle w:val="单元格样式4"/>
            </w:pPr>
            <w:r>
              <w:t xml:space="preserve">56.00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223</w:t>
            </w:r>
          </w:p>
        </w:tc>
        <w:tc>
          <w:tcPr>
            <w:tcW w:w="1559" w:type="dxa"/>
            <w:vAlign w:val="center"/>
          </w:tcPr>
          <w:p>
            <w:pPr>
              <w:pStyle w:val="单元格样式2"/>
            </w:pPr>
            <w:r>
              <w:t xml:space="preserve">国有资本经营预算支出</w:t>
            </w:r>
          </w:p>
        </w:tc>
        <w:tc>
          <w:tcPr>
            <w:tcW w:w="1134" w:type="dxa"/>
            <w:vAlign w:val="center"/>
          </w:tcPr>
          <w:p>
            <w:pPr>
              <w:pStyle w:val="单元格样式4"/>
            </w:pPr>
            <w:r>
              <w:t xml:space="preserve">9.50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4.50</w:t>
            </w: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22301</w:t>
            </w:r>
          </w:p>
        </w:tc>
        <w:tc>
          <w:tcPr>
            <w:tcW w:w="1559" w:type="dxa"/>
            <w:vAlign w:val="center"/>
          </w:tcPr>
          <w:p>
            <w:pPr>
              <w:pStyle w:val="单元格样式2"/>
            </w:pPr>
            <w:r>
              <w:t xml:space="preserve">解决历史遗留问题及改革成本支出</w:t>
            </w:r>
          </w:p>
        </w:tc>
        <w:tc>
          <w:tcPr>
            <w:tcW w:w="1134" w:type="dxa"/>
            <w:vAlign w:val="center"/>
          </w:tcPr>
          <w:p>
            <w:pPr>
              <w:pStyle w:val="单元格样式4"/>
            </w:pPr>
            <w:r>
              <w:t xml:space="preserve">9.50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4.50</w:t>
            </w: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2230105</w:t>
            </w:r>
          </w:p>
        </w:tc>
        <w:tc>
          <w:tcPr>
            <w:tcW w:w="1559" w:type="dxa"/>
            <w:vAlign w:val="center"/>
          </w:tcPr>
          <w:p>
            <w:pPr>
              <w:pStyle w:val="单元格样式2"/>
            </w:pPr>
            <w:r>
              <w:t xml:space="preserve">国有企业退休人员社会化管理补助支出</w:t>
            </w:r>
          </w:p>
        </w:tc>
        <w:tc>
          <w:tcPr>
            <w:tcW w:w="1134" w:type="dxa"/>
            <w:vAlign w:val="center"/>
          </w:tcPr>
          <w:p>
            <w:pPr>
              <w:pStyle w:val="单元格样式4"/>
            </w:pPr>
            <w:r>
              <w:t xml:space="preserve">9.50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4.50</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817隆尧县社区建设服务中心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720.84</w:t>
            </w:r>
          </w:p>
        </w:tc>
        <w:tc>
          <w:tcPr>
            <w:tcW w:w="1361" w:type="dxa"/>
            <w:vAlign w:val="center"/>
          </w:tcPr>
          <w:p>
            <w:pPr>
              <w:pStyle w:val="单元格样式7"/>
            </w:pPr>
            <w:r>
              <w:t xml:space="preserve">64.97</w:t>
            </w:r>
          </w:p>
        </w:tc>
        <w:tc>
          <w:tcPr>
            <w:tcW w:w="1361" w:type="dxa"/>
            <w:vAlign w:val="center"/>
          </w:tcPr>
          <w:p>
            <w:pPr>
              <w:pStyle w:val="单元格样式7"/>
            </w:pPr>
            <w:r>
              <w:t xml:space="preserve">655.87</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6.11</w:t>
            </w:r>
          </w:p>
        </w:tc>
        <w:tc>
          <w:tcPr>
            <w:tcW w:w="1361" w:type="dxa"/>
            <w:vAlign w:val="center"/>
          </w:tcPr>
          <w:p>
            <w:pPr>
              <w:pStyle w:val="单元格样式4"/>
            </w:pPr>
            <w:r>
              <w:t xml:space="preserve">6.11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6.11</w:t>
            </w:r>
          </w:p>
        </w:tc>
        <w:tc>
          <w:tcPr>
            <w:tcW w:w="1361" w:type="dxa"/>
            <w:vAlign w:val="center"/>
          </w:tcPr>
          <w:p>
            <w:pPr>
              <w:pStyle w:val="单元格样式4"/>
            </w:pPr>
            <w:r>
              <w:t xml:space="preserve">6.11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6.11</w:t>
            </w:r>
          </w:p>
        </w:tc>
        <w:tc>
          <w:tcPr>
            <w:tcW w:w="1361" w:type="dxa"/>
            <w:vAlign w:val="center"/>
          </w:tcPr>
          <w:p>
            <w:pPr>
              <w:pStyle w:val="单元格样式4"/>
            </w:pPr>
            <w:r>
              <w:t xml:space="preserve">6.11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2.85</w:t>
            </w:r>
          </w:p>
        </w:tc>
        <w:tc>
          <w:tcPr>
            <w:tcW w:w="1361" w:type="dxa"/>
            <w:vAlign w:val="center"/>
          </w:tcPr>
          <w:p>
            <w:pPr>
              <w:pStyle w:val="单元格样式4"/>
            </w:pPr>
            <w:r>
              <w:t xml:space="preserve">2.85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2.85</w:t>
            </w:r>
          </w:p>
        </w:tc>
        <w:tc>
          <w:tcPr>
            <w:tcW w:w="1361" w:type="dxa"/>
            <w:vAlign w:val="center"/>
          </w:tcPr>
          <w:p>
            <w:pPr>
              <w:pStyle w:val="单元格样式4"/>
            </w:pPr>
            <w:r>
              <w:t xml:space="preserve">2.85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2.85</w:t>
            </w:r>
          </w:p>
        </w:tc>
        <w:tc>
          <w:tcPr>
            <w:tcW w:w="1361" w:type="dxa"/>
            <w:vAlign w:val="center"/>
          </w:tcPr>
          <w:p>
            <w:pPr>
              <w:pStyle w:val="单元格样式4"/>
            </w:pPr>
            <w:r>
              <w:t xml:space="preserve">2.85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646.37</w:t>
            </w:r>
          </w:p>
        </w:tc>
        <w:tc>
          <w:tcPr>
            <w:tcW w:w="1361" w:type="dxa"/>
            <w:vAlign w:val="center"/>
          </w:tcPr>
          <w:p>
            <w:pPr>
              <w:pStyle w:val="单元格样式4"/>
            </w:pPr>
          </w:p>
        </w:tc>
        <w:tc>
          <w:tcPr>
            <w:tcW w:w="1361" w:type="dxa"/>
            <w:vAlign w:val="center"/>
          </w:tcPr>
          <w:p>
            <w:pPr>
              <w:pStyle w:val="单元格样式4"/>
            </w:pPr>
            <w:r>
              <w:t xml:space="preserve">646.37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21201</w:t>
            </w:r>
          </w:p>
        </w:tc>
        <w:tc>
          <w:tcPr>
            <w:tcW w:w="4535" w:type="dxa"/>
            <w:vAlign w:val="center"/>
          </w:tcPr>
          <w:p>
            <w:pPr>
              <w:pStyle w:val="单元格样式2"/>
            </w:pPr>
            <w:r>
              <w:t xml:space="preserve">城乡社区管理事务</w:t>
            </w:r>
          </w:p>
        </w:tc>
        <w:tc>
          <w:tcPr>
            <w:tcW w:w="1361" w:type="dxa"/>
            <w:vAlign w:val="center"/>
          </w:tcPr>
          <w:p>
            <w:pPr>
              <w:pStyle w:val="单元格样式4"/>
            </w:pPr>
            <w:r>
              <w:t xml:space="preserve">646.37</w:t>
            </w:r>
          </w:p>
        </w:tc>
        <w:tc>
          <w:tcPr>
            <w:tcW w:w="1361" w:type="dxa"/>
            <w:vAlign w:val="center"/>
          </w:tcPr>
          <w:p>
            <w:pPr>
              <w:pStyle w:val="单元格样式4"/>
            </w:pPr>
          </w:p>
        </w:tc>
        <w:tc>
          <w:tcPr>
            <w:tcW w:w="1361" w:type="dxa"/>
            <w:vAlign w:val="center"/>
          </w:tcPr>
          <w:p>
            <w:pPr>
              <w:pStyle w:val="单元格样式4"/>
            </w:pPr>
            <w:r>
              <w:t xml:space="preserve">646.37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2120101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639.92</w:t>
            </w:r>
          </w:p>
        </w:tc>
        <w:tc>
          <w:tcPr>
            <w:tcW w:w="1361" w:type="dxa"/>
            <w:vAlign w:val="center"/>
          </w:tcPr>
          <w:p>
            <w:pPr>
              <w:pStyle w:val="单元格样式4"/>
            </w:pPr>
          </w:p>
        </w:tc>
        <w:tc>
          <w:tcPr>
            <w:tcW w:w="1361" w:type="dxa"/>
            <w:vAlign w:val="center"/>
          </w:tcPr>
          <w:p>
            <w:pPr>
              <w:pStyle w:val="单元格样式4"/>
            </w:pPr>
            <w:r>
              <w:t xml:space="preserve">639.92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2120102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6.45</w:t>
            </w:r>
          </w:p>
        </w:tc>
        <w:tc>
          <w:tcPr>
            <w:tcW w:w="1361" w:type="dxa"/>
            <w:vAlign w:val="center"/>
          </w:tcPr>
          <w:p>
            <w:pPr>
              <w:pStyle w:val="单元格样式4"/>
            </w:pPr>
          </w:p>
        </w:tc>
        <w:tc>
          <w:tcPr>
            <w:tcW w:w="1361" w:type="dxa"/>
            <w:vAlign w:val="center"/>
          </w:tcPr>
          <w:p>
            <w:pPr>
              <w:pStyle w:val="单元格样式4"/>
            </w:pPr>
            <w:r>
              <w:t xml:space="preserve">6.45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56.00</w:t>
            </w:r>
          </w:p>
        </w:tc>
        <w:tc>
          <w:tcPr>
            <w:tcW w:w="1361" w:type="dxa"/>
            <w:vAlign w:val="center"/>
          </w:tcPr>
          <w:p>
            <w:pPr>
              <w:pStyle w:val="单元格样式4"/>
            </w:pPr>
            <w:r>
              <w:t xml:space="preserve">56.00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56.00</w:t>
            </w:r>
          </w:p>
        </w:tc>
        <w:tc>
          <w:tcPr>
            <w:tcW w:w="1361" w:type="dxa"/>
            <w:vAlign w:val="center"/>
          </w:tcPr>
          <w:p>
            <w:pPr>
              <w:pStyle w:val="单元格样式4"/>
            </w:pPr>
            <w:r>
              <w:t xml:space="preserve">56.00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56.00</w:t>
            </w:r>
          </w:p>
        </w:tc>
        <w:tc>
          <w:tcPr>
            <w:tcW w:w="1361" w:type="dxa"/>
            <w:vAlign w:val="center"/>
          </w:tcPr>
          <w:p>
            <w:pPr>
              <w:pStyle w:val="单元格样式4"/>
            </w:pPr>
            <w:r>
              <w:t xml:space="preserve">56.00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223</w:t>
            </w:r>
          </w:p>
        </w:tc>
        <w:tc>
          <w:tcPr>
            <w:tcW w:w="4535" w:type="dxa"/>
            <w:vAlign w:val="center"/>
          </w:tcPr>
          <w:p>
            <w:pPr>
              <w:pStyle w:val="单元格样式2"/>
            </w:pPr>
            <w:r>
              <w:t xml:space="preserve">国有资本经营预算支出</w:t>
            </w:r>
          </w:p>
        </w:tc>
        <w:tc>
          <w:tcPr>
            <w:tcW w:w="1361" w:type="dxa"/>
            <w:vAlign w:val="center"/>
          </w:tcPr>
          <w:p>
            <w:pPr>
              <w:pStyle w:val="单元格样式4"/>
            </w:pPr>
            <w:r>
              <w:t xml:space="preserve">9.50</w:t>
            </w:r>
          </w:p>
        </w:tc>
        <w:tc>
          <w:tcPr>
            <w:tcW w:w="1361" w:type="dxa"/>
            <w:vAlign w:val="center"/>
          </w:tcPr>
          <w:p>
            <w:pPr>
              <w:pStyle w:val="单元格样式4"/>
            </w:pPr>
          </w:p>
        </w:tc>
        <w:tc>
          <w:tcPr>
            <w:tcW w:w="1361" w:type="dxa"/>
            <w:vAlign w:val="center"/>
          </w:tcPr>
          <w:p>
            <w:pPr>
              <w:pStyle w:val="单元格样式4"/>
            </w:pPr>
            <w:r>
              <w:t xml:space="preserve">9.50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22301</w:t>
            </w:r>
          </w:p>
        </w:tc>
        <w:tc>
          <w:tcPr>
            <w:tcW w:w="4535" w:type="dxa"/>
            <w:vAlign w:val="center"/>
          </w:tcPr>
          <w:p>
            <w:pPr>
              <w:pStyle w:val="单元格样式2"/>
            </w:pPr>
            <w:r>
              <w:t xml:space="preserve">解决历史遗留问题及改革成本支出</w:t>
            </w:r>
          </w:p>
        </w:tc>
        <w:tc>
          <w:tcPr>
            <w:tcW w:w="1361" w:type="dxa"/>
            <w:vAlign w:val="center"/>
          </w:tcPr>
          <w:p>
            <w:pPr>
              <w:pStyle w:val="单元格样式4"/>
            </w:pPr>
            <w:r>
              <w:t xml:space="preserve">9.50</w:t>
            </w:r>
          </w:p>
        </w:tc>
        <w:tc>
          <w:tcPr>
            <w:tcW w:w="1361" w:type="dxa"/>
            <w:vAlign w:val="center"/>
          </w:tcPr>
          <w:p>
            <w:pPr>
              <w:pStyle w:val="单元格样式4"/>
            </w:pPr>
          </w:p>
        </w:tc>
        <w:tc>
          <w:tcPr>
            <w:tcW w:w="1361" w:type="dxa"/>
            <w:vAlign w:val="center"/>
          </w:tcPr>
          <w:p>
            <w:pPr>
              <w:pStyle w:val="单元格样式4"/>
            </w:pPr>
            <w:r>
              <w:t xml:space="preserve">9.50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2230105</w:t>
            </w:r>
          </w:p>
        </w:tc>
        <w:tc>
          <w:tcPr>
            <w:tcW w:w="4535" w:type="dxa"/>
            <w:vAlign w:val="center"/>
          </w:tcPr>
          <w:p>
            <w:pPr>
              <w:pStyle w:val="单元格样式2"/>
            </w:pPr>
            <w:r>
              <w:t xml:space="preserve">国有企业退休人员社会化管理补助支出</w:t>
            </w:r>
          </w:p>
        </w:tc>
        <w:tc>
          <w:tcPr>
            <w:tcW w:w="1361" w:type="dxa"/>
            <w:vAlign w:val="center"/>
          </w:tcPr>
          <w:p>
            <w:pPr>
              <w:pStyle w:val="单元格样式4"/>
            </w:pPr>
            <w:r>
              <w:t xml:space="preserve">9.50</w:t>
            </w:r>
          </w:p>
        </w:tc>
        <w:tc>
          <w:tcPr>
            <w:tcW w:w="1361" w:type="dxa"/>
            <w:vAlign w:val="center"/>
          </w:tcPr>
          <w:p>
            <w:pPr>
              <w:pStyle w:val="单元格样式4"/>
            </w:pPr>
          </w:p>
        </w:tc>
        <w:tc>
          <w:tcPr>
            <w:tcW w:w="1361" w:type="dxa"/>
            <w:vAlign w:val="center"/>
          </w:tcPr>
          <w:p>
            <w:pPr>
              <w:pStyle w:val="单元格样式4"/>
            </w:pPr>
            <w:r>
              <w:t xml:space="preserve">9.50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817隆尧县社区建设服务中心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711.34</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r>
              <w:t xml:space="preserve">5.00</w:t>
            </w: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6.11</w:t>
            </w:r>
          </w:p>
        </w:tc>
        <w:tc>
          <w:tcPr>
            <w:tcW w:w="1474" w:type="dxa"/>
            <w:vAlign w:val="center"/>
          </w:tcPr>
          <w:p>
            <w:pPr>
              <w:pStyle w:val="单元格样式4"/>
            </w:pPr>
            <w:r>
              <w:t xml:space="preserve">6.11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2.85</w:t>
            </w:r>
          </w:p>
        </w:tc>
        <w:tc>
          <w:tcPr>
            <w:tcW w:w="1474" w:type="dxa"/>
            <w:vAlign w:val="center"/>
          </w:tcPr>
          <w:p>
            <w:pPr>
              <w:pStyle w:val="单元格样式4"/>
            </w:pPr>
            <w:r>
              <w:t xml:space="preserve">2.85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646.37</w:t>
            </w:r>
          </w:p>
        </w:tc>
        <w:tc>
          <w:tcPr>
            <w:tcW w:w="1474" w:type="dxa"/>
            <w:vAlign w:val="center"/>
          </w:tcPr>
          <w:p>
            <w:pPr>
              <w:pStyle w:val="单元格样式4"/>
            </w:pPr>
            <w:r>
              <w:t xml:space="preserve">646.37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56.00</w:t>
            </w:r>
          </w:p>
        </w:tc>
        <w:tc>
          <w:tcPr>
            <w:tcW w:w="1474" w:type="dxa"/>
            <w:vAlign w:val="center"/>
          </w:tcPr>
          <w:p>
            <w:pPr>
              <w:pStyle w:val="单元格样式4"/>
            </w:pPr>
            <w:r>
              <w:t xml:space="preserve">56.00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r>
              <w:t xml:space="preserve">9.50</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r>
              <w:t xml:space="preserve">9.50</w:t>
            </w: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716.34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720.84</w:t>
            </w:r>
          </w:p>
        </w:tc>
        <w:tc>
          <w:tcPr>
            <w:tcW w:w="1474" w:type="dxa"/>
            <w:vAlign w:val="center"/>
          </w:tcPr>
          <w:p>
            <w:pPr>
              <w:pStyle w:val="单元格样式7"/>
            </w:pPr>
            <w:r>
              <w:t xml:space="preserve">711.34</w:t>
            </w:r>
          </w:p>
        </w:tc>
        <w:tc>
          <w:tcPr>
            <w:tcW w:w="1474" w:type="dxa"/>
            <w:vAlign w:val="center"/>
          </w:tcPr>
          <w:p>
            <w:pPr>
              <w:pStyle w:val="单元格样式7"/>
            </w:pPr>
          </w:p>
        </w:tc>
        <w:tc>
          <w:tcPr>
            <w:tcW w:w="1474" w:type="dxa"/>
            <w:vAlign w:val="center"/>
          </w:tcPr>
          <w:p>
            <w:pPr>
              <w:pStyle w:val="单元格样式7"/>
            </w:pPr>
            <w:r>
              <w:t xml:space="preserve">9.50</w:t>
            </w: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4.50</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r>
              <w:t xml:space="preserve">4.50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720.84</w:t>
            </w:r>
          </w:p>
        </w:tc>
        <w:tc>
          <w:tcPr>
            <w:tcW w:w="3402" w:type="dxa"/>
            <w:vAlign w:val="center"/>
          </w:tcPr>
          <w:p>
            <w:pPr>
              <w:pStyle w:val="单元格样式6"/>
            </w:pPr>
            <w:r>
              <w:t xml:space="preserve">支出总计</w:t>
            </w:r>
          </w:p>
        </w:tc>
        <w:tc>
          <w:tcPr>
            <w:tcW w:w="1474" w:type="dxa"/>
            <w:vAlign w:val="center"/>
          </w:tcPr>
          <w:p>
            <w:pPr>
              <w:pStyle w:val="单元格样式7"/>
            </w:pPr>
            <w:r>
              <w:t xml:space="preserve">720.84</w:t>
            </w:r>
          </w:p>
        </w:tc>
        <w:tc>
          <w:tcPr>
            <w:tcW w:w="1474" w:type="dxa"/>
            <w:vAlign w:val="center"/>
          </w:tcPr>
          <w:p>
            <w:pPr>
              <w:pStyle w:val="单元格样式7"/>
            </w:pPr>
            <w:r>
              <w:t xml:space="preserve">711.34</w:t>
            </w:r>
          </w:p>
        </w:tc>
        <w:tc>
          <w:tcPr>
            <w:tcW w:w="1474" w:type="dxa"/>
            <w:vAlign w:val="center"/>
          </w:tcPr>
          <w:p>
            <w:pPr>
              <w:pStyle w:val="单元格样式7"/>
            </w:pPr>
          </w:p>
        </w:tc>
        <w:tc>
          <w:tcPr>
            <w:tcW w:w="1474" w:type="dxa"/>
            <w:vAlign w:val="center"/>
          </w:tcPr>
          <w:p>
            <w:pPr>
              <w:pStyle w:val="单元格样式7"/>
            </w:pPr>
            <w:r>
              <w:t xml:space="preserve">9.50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817隆尧县社区建设服务中心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711.34</w:t>
            </w:r>
          </w:p>
        </w:tc>
        <w:tc>
          <w:tcPr>
            <w:tcW w:w="2551" w:type="dxa"/>
            <w:vAlign w:val="center"/>
          </w:tcPr>
          <w:p>
            <w:pPr>
              <w:pStyle w:val="单元格样式7"/>
            </w:pPr>
            <w:r>
              <w:t xml:space="preserve">64.97</w:t>
            </w:r>
          </w:p>
        </w:tc>
        <w:tc>
          <w:tcPr>
            <w:tcW w:w="2551" w:type="dxa"/>
            <w:vAlign w:val="center"/>
          </w:tcPr>
          <w:p>
            <w:pPr>
              <w:pStyle w:val="单元格样式7"/>
            </w:pPr>
            <w:r>
              <w:t xml:space="preserve">646.37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6.11</w:t>
            </w:r>
          </w:p>
        </w:tc>
        <w:tc>
          <w:tcPr>
            <w:tcW w:w="2551" w:type="dxa"/>
            <w:vAlign w:val="center"/>
          </w:tcPr>
          <w:p>
            <w:pPr>
              <w:pStyle w:val="单元格样式4"/>
            </w:pPr>
            <w:r>
              <w:t xml:space="preserve">6.11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6.11</w:t>
            </w:r>
          </w:p>
        </w:tc>
        <w:tc>
          <w:tcPr>
            <w:tcW w:w="2551" w:type="dxa"/>
            <w:vAlign w:val="center"/>
          </w:tcPr>
          <w:p>
            <w:pPr>
              <w:pStyle w:val="单元格样式4"/>
            </w:pPr>
            <w:r>
              <w:t xml:space="preserve">6.11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6.11</w:t>
            </w:r>
          </w:p>
        </w:tc>
        <w:tc>
          <w:tcPr>
            <w:tcW w:w="2551" w:type="dxa"/>
            <w:vAlign w:val="center"/>
          </w:tcPr>
          <w:p>
            <w:pPr>
              <w:pStyle w:val="单元格样式4"/>
            </w:pPr>
            <w:r>
              <w:t xml:space="preserve">6.11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2.85</w:t>
            </w:r>
          </w:p>
        </w:tc>
        <w:tc>
          <w:tcPr>
            <w:tcW w:w="2551" w:type="dxa"/>
            <w:vAlign w:val="center"/>
          </w:tcPr>
          <w:p>
            <w:pPr>
              <w:pStyle w:val="单元格样式4"/>
            </w:pPr>
            <w:r>
              <w:t xml:space="preserve">2.85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2.85</w:t>
            </w:r>
          </w:p>
        </w:tc>
        <w:tc>
          <w:tcPr>
            <w:tcW w:w="2551" w:type="dxa"/>
            <w:vAlign w:val="center"/>
          </w:tcPr>
          <w:p>
            <w:pPr>
              <w:pStyle w:val="单元格样式4"/>
            </w:pPr>
            <w:r>
              <w:t xml:space="preserve">2.85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2.85</w:t>
            </w:r>
          </w:p>
        </w:tc>
        <w:tc>
          <w:tcPr>
            <w:tcW w:w="2551" w:type="dxa"/>
            <w:vAlign w:val="center"/>
          </w:tcPr>
          <w:p>
            <w:pPr>
              <w:pStyle w:val="单元格样式4"/>
            </w:pPr>
            <w:r>
              <w:t xml:space="preserve">2.85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646.37</w:t>
            </w:r>
          </w:p>
        </w:tc>
        <w:tc>
          <w:tcPr>
            <w:tcW w:w="2551" w:type="dxa"/>
            <w:vAlign w:val="center"/>
          </w:tcPr>
          <w:p>
            <w:pPr>
              <w:pStyle w:val="单元格样式4"/>
            </w:pPr>
          </w:p>
        </w:tc>
        <w:tc>
          <w:tcPr>
            <w:tcW w:w="2551" w:type="dxa"/>
            <w:vAlign w:val="center"/>
          </w:tcPr>
          <w:p>
            <w:pPr>
              <w:pStyle w:val="单元格样式4"/>
            </w:pPr>
            <w:r>
              <w:t xml:space="preserve">646.37</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21201</w:t>
            </w:r>
          </w:p>
        </w:tc>
        <w:tc>
          <w:tcPr>
            <w:tcW w:w="4535" w:type="dxa"/>
            <w:vAlign w:val="center"/>
          </w:tcPr>
          <w:p>
            <w:pPr>
              <w:pStyle w:val="单元格样式2"/>
            </w:pPr>
            <w:r>
              <w:t xml:space="preserve">城乡社区管理事务</w:t>
            </w:r>
          </w:p>
        </w:tc>
        <w:tc>
          <w:tcPr>
            <w:tcW w:w="2551" w:type="dxa"/>
            <w:vAlign w:val="center"/>
          </w:tcPr>
          <w:p>
            <w:pPr>
              <w:pStyle w:val="单元格样式4"/>
            </w:pPr>
            <w:r>
              <w:t xml:space="preserve">646.37</w:t>
            </w:r>
          </w:p>
        </w:tc>
        <w:tc>
          <w:tcPr>
            <w:tcW w:w="2551" w:type="dxa"/>
            <w:vAlign w:val="center"/>
          </w:tcPr>
          <w:p>
            <w:pPr>
              <w:pStyle w:val="单元格样式4"/>
            </w:pPr>
          </w:p>
        </w:tc>
        <w:tc>
          <w:tcPr>
            <w:tcW w:w="2551" w:type="dxa"/>
            <w:vAlign w:val="center"/>
          </w:tcPr>
          <w:p>
            <w:pPr>
              <w:pStyle w:val="单元格样式4"/>
            </w:pPr>
            <w:r>
              <w:t xml:space="preserve">646.37</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2120101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639.92</w:t>
            </w:r>
          </w:p>
        </w:tc>
        <w:tc>
          <w:tcPr>
            <w:tcW w:w="2551" w:type="dxa"/>
            <w:vAlign w:val="center"/>
          </w:tcPr>
          <w:p>
            <w:pPr>
              <w:pStyle w:val="单元格样式4"/>
            </w:pPr>
          </w:p>
        </w:tc>
        <w:tc>
          <w:tcPr>
            <w:tcW w:w="2551" w:type="dxa"/>
            <w:vAlign w:val="center"/>
          </w:tcPr>
          <w:p>
            <w:pPr>
              <w:pStyle w:val="单元格样式4"/>
            </w:pPr>
            <w:r>
              <w:t xml:space="preserve">639.92</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2120102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6.45</w:t>
            </w:r>
          </w:p>
        </w:tc>
        <w:tc>
          <w:tcPr>
            <w:tcW w:w="2551" w:type="dxa"/>
            <w:vAlign w:val="center"/>
          </w:tcPr>
          <w:p>
            <w:pPr>
              <w:pStyle w:val="单元格样式4"/>
            </w:pPr>
          </w:p>
        </w:tc>
        <w:tc>
          <w:tcPr>
            <w:tcW w:w="2551" w:type="dxa"/>
            <w:vAlign w:val="center"/>
          </w:tcPr>
          <w:p>
            <w:pPr>
              <w:pStyle w:val="单元格样式4"/>
            </w:pPr>
            <w:r>
              <w:t xml:space="preserve">6.45</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56.00</w:t>
            </w:r>
          </w:p>
        </w:tc>
        <w:tc>
          <w:tcPr>
            <w:tcW w:w="2551" w:type="dxa"/>
            <w:vAlign w:val="center"/>
          </w:tcPr>
          <w:p>
            <w:pPr>
              <w:pStyle w:val="单元格样式4"/>
            </w:pPr>
            <w:r>
              <w:t xml:space="preserve">56.00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56.00</w:t>
            </w:r>
          </w:p>
        </w:tc>
        <w:tc>
          <w:tcPr>
            <w:tcW w:w="2551" w:type="dxa"/>
            <w:vAlign w:val="center"/>
          </w:tcPr>
          <w:p>
            <w:pPr>
              <w:pStyle w:val="单元格样式4"/>
            </w:pPr>
            <w:r>
              <w:t xml:space="preserve">56.00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56.00</w:t>
            </w:r>
          </w:p>
        </w:tc>
        <w:tc>
          <w:tcPr>
            <w:tcW w:w="2551" w:type="dxa"/>
            <w:vAlign w:val="center"/>
          </w:tcPr>
          <w:p>
            <w:pPr>
              <w:pStyle w:val="单元格样式4"/>
            </w:pPr>
            <w:r>
              <w:t xml:space="preserve">56.00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817隆尧县社区建设服务中心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64.97</w:t>
            </w:r>
          </w:p>
        </w:tc>
        <w:tc>
          <w:tcPr>
            <w:tcW w:w="2551" w:type="dxa"/>
            <w:vAlign w:val="center"/>
          </w:tcPr>
          <w:p>
            <w:pPr>
              <w:pStyle w:val="单元格样式7"/>
            </w:pPr>
            <w:r>
              <w:t xml:space="preserve">59.15</w:t>
            </w:r>
          </w:p>
        </w:tc>
        <w:tc>
          <w:tcPr>
            <w:tcW w:w="2551" w:type="dxa"/>
            <w:vAlign w:val="center"/>
          </w:tcPr>
          <w:p>
            <w:pPr>
              <w:pStyle w:val="单元格样式7"/>
            </w:pPr>
            <w:r>
              <w:t xml:space="preserve">5.82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59.15</w:t>
            </w:r>
          </w:p>
        </w:tc>
        <w:tc>
          <w:tcPr>
            <w:tcW w:w="2551" w:type="dxa"/>
            <w:vAlign w:val="center"/>
          </w:tcPr>
          <w:p>
            <w:pPr>
              <w:pStyle w:val="单元格样式4"/>
            </w:pPr>
            <w:r>
              <w:t xml:space="preserve">59.15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28.78</w:t>
            </w:r>
          </w:p>
        </w:tc>
        <w:tc>
          <w:tcPr>
            <w:tcW w:w="2551" w:type="dxa"/>
            <w:vAlign w:val="center"/>
          </w:tcPr>
          <w:p>
            <w:pPr>
              <w:pStyle w:val="单元格样式4"/>
            </w:pPr>
            <w:r>
              <w:t xml:space="preserve">28.78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4.91</w:t>
            </w:r>
          </w:p>
        </w:tc>
        <w:tc>
          <w:tcPr>
            <w:tcW w:w="2551" w:type="dxa"/>
            <w:vAlign w:val="center"/>
          </w:tcPr>
          <w:p>
            <w:pPr>
              <w:pStyle w:val="单元格样式4"/>
            </w:pPr>
            <w:r>
              <w:t xml:space="preserve">4.91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2.40</w:t>
            </w:r>
          </w:p>
        </w:tc>
        <w:tc>
          <w:tcPr>
            <w:tcW w:w="2551" w:type="dxa"/>
            <w:vAlign w:val="center"/>
          </w:tcPr>
          <w:p>
            <w:pPr>
              <w:pStyle w:val="单元格样式4"/>
            </w:pPr>
            <w:r>
              <w:t xml:space="preserve">2.40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9.19</w:t>
            </w:r>
          </w:p>
        </w:tc>
        <w:tc>
          <w:tcPr>
            <w:tcW w:w="2551" w:type="dxa"/>
            <w:vAlign w:val="center"/>
          </w:tcPr>
          <w:p>
            <w:pPr>
              <w:pStyle w:val="单元格样式4"/>
            </w:pPr>
            <w:r>
              <w:t xml:space="preserve">9.19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6.11</w:t>
            </w:r>
          </w:p>
        </w:tc>
        <w:tc>
          <w:tcPr>
            <w:tcW w:w="2551" w:type="dxa"/>
            <w:vAlign w:val="center"/>
          </w:tcPr>
          <w:p>
            <w:pPr>
              <w:pStyle w:val="单元格样式4"/>
            </w:pPr>
            <w:r>
              <w:t xml:space="preserve">6.11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2.85</w:t>
            </w:r>
          </w:p>
        </w:tc>
        <w:tc>
          <w:tcPr>
            <w:tcW w:w="2551" w:type="dxa"/>
            <w:vAlign w:val="center"/>
          </w:tcPr>
          <w:p>
            <w:pPr>
              <w:pStyle w:val="单元格样式4"/>
            </w:pPr>
            <w:r>
              <w:t xml:space="preserve">2.85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0.19</w:t>
            </w:r>
          </w:p>
        </w:tc>
        <w:tc>
          <w:tcPr>
            <w:tcW w:w="2551" w:type="dxa"/>
            <w:vAlign w:val="center"/>
          </w:tcPr>
          <w:p>
            <w:pPr>
              <w:pStyle w:val="单元格样式4"/>
            </w:pPr>
            <w:r>
              <w:t xml:space="preserve">0.19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4.72</w:t>
            </w:r>
          </w:p>
        </w:tc>
        <w:tc>
          <w:tcPr>
            <w:tcW w:w="2551" w:type="dxa"/>
            <w:vAlign w:val="center"/>
          </w:tcPr>
          <w:p>
            <w:pPr>
              <w:pStyle w:val="单元格样式4"/>
            </w:pPr>
            <w:r>
              <w:t xml:space="preserve">4.72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5.82</w:t>
            </w:r>
          </w:p>
        </w:tc>
        <w:tc>
          <w:tcPr>
            <w:tcW w:w="2551" w:type="dxa"/>
            <w:vAlign w:val="center"/>
          </w:tcPr>
          <w:p>
            <w:pPr>
              <w:pStyle w:val="单元格样式4"/>
            </w:pPr>
          </w:p>
        </w:tc>
        <w:tc>
          <w:tcPr>
            <w:tcW w:w="2551" w:type="dxa"/>
            <w:vAlign w:val="center"/>
          </w:tcPr>
          <w:p>
            <w:pPr>
              <w:pStyle w:val="单元格样式4"/>
            </w:pPr>
            <w:r>
              <w:t xml:space="preserve">5.82</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0.67</w:t>
            </w:r>
          </w:p>
        </w:tc>
        <w:tc>
          <w:tcPr>
            <w:tcW w:w="2551" w:type="dxa"/>
            <w:vAlign w:val="center"/>
          </w:tcPr>
          <w:p>
            <w:pPr>
              <w:pStyle w:val="单元格样式4"/>
            </w:pPr>
          </w:p>
        </w:tc>
        <w:tc>
          <w:tcPr>
            <w:tcW w:w="2551" w:type="dxa"/>
            <w:vAlign w:val="center"/>
          </w:tcPr>
          <w:p>
            <w:pPr>
              <w:pStyle w:val="单元格样式4"/>
            </w:pPr>
            <w:r>
              <w:t xml:space="preserve">0.67</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0.38</w:t>
            </w:r>
          </w:p>
        </w:tc>
        <w:tc>
          <w:tcPr>
            <w:tcW w:w="2551" w:type="dxa"/>
            <w:vAlign w:val="center"/>
          </w:tcPr>
          <w:p>
            <w:pPr>
              <w:pStyle w:val="单元格样式4"/>
            </w:pPr>
          </w:p>
        </w:tc>
        <w:tc>
          <w:tcPr>
            <w:tcW w:w="2551" w:type="dxa"/>
            <w:vAlign w:val="center"/>
          </w:tcPr>
          <w:p>
            <w:pPr>
              <w:pStyle w:val="单元格样式4"/>
            </w:pPr>
            <w:r>
              <w:t xml:space="preserve">0.38</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30204</w:t>
            </w:r>
          </w:p>
        </w:tc>
        <w:tc>
          <w:tcPr>
            <w:tcW w:w="4535" w:type="dxa"/>
            <w:vAlign w:val="center"/>
          </w:tcPr>
          <w:p>
            <w:pPr>
              <w:pStyle w:val="单元格样式2"/>
            </w:pPr>
            <w:r>
              <w:t xml:space="preserve">手续费</w:t>
            </w:r>
          </w:p>
        </w:tc>
        <w:tc>
          <w:tcPr>
            <w:tcW w:w="2551" w:type="dxa"/>
            <w:vAlign w:val="center"/>
          </w:tcPr>
          <w:p>
            <w:pPr>
              <w:pStyle w:val="单元格样式4"/>
            </w:pPr>
            <w:r>
              <w:t xml:space="preserve">0.03</w:t>
            </w:r>
          </w:p>
        </w:tc>
        <w:tc>
          <w:tcPr>
            <w:tcW w:w="2551" w:type="dxa"/>
            <w:vAlign w:val="center"/>
          </w:tcPr>
          <w:p>
            <w:pPr>
              <w:pStyle w:val="单元格样式4"/>
            </w:pPr>
          </w:p>
        </w:tc>
        <w:tc>
          <w:tcPr>
            <w:tcW w:w="2551" w:type="dxa"/>
            <w:vAlign w:val="center"/>
          </w:tcPr>
          <w:p>
            <w:pPr>
              <w:pStyle w:val="单元格样式4"/>
            </w:pPr>
            <w:r>
              <w:t xml:space="preserve">0.03</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0.12</w:t>
            </w:r>
          </w:p>
        </w:tc>
        <w:tc>
          <w:tcPr>
            <w:tcW w:w="2551" w:type="dxa"/>
            <w:vAlign w:val="center"/>
          </w:tcPr>
          <w:p>
            <w:pPr>
              <w:pStyle w:val="单元格样式4"/>
            </w:pPr>
          </w:p>
        </w:tc>
        <w:tc>
          <w:tcPr>
            <w:tcW w:w="2551" w:type="dxa"/>
            <w:vAlign w:val="center"/>
          </w:tcPr>
          <w:p>
            <w:pPr>
              <w:pStyle w:val="单元格样式4"/>
            </w:pPr>
            <w:r>
              <w:t xml:space="preserve">0.12</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4.02</w:t>
            </w:r>
          </w:p>
        </w:tc>
        <w:tc>
          <w:tcPr>
            <w:tcW w:w="2551" w:type="dxa"/>
            <w:vAlign w:val="center"/>
          </w:tcPr>
          <w:p>
            <w:pPr>
              <w:pStyle w:val="单元格样式4"/>
            </w:pPr>
          </w:p>
        </w:tc>
        <w:tc>
          <w:tcPr>
            <w:tcW w:w="2551" w:type="dxa"/>
            <w:vAlign w:val="center"/>
          </w:tcPr>
          <w:p>
            <w:pPr>
              <w:pStyle w:val="单元格样式4"/>
            </w:pPr>
            <w:r>
              <w:t xml:space="preserve">4.02</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0.10</w:t>
            </w:r>
          </w:p>
        </w:tc>
        <w:tc>
          <w:tcPr>
            <w:tcW w:w="2551" w:type="dxa"/>
            <w:vAlign w:val="center"/>
          </w:tcPr>
          <w:p>
            <w:pPr>
              <w:pStyle w:val="单元格样式4"/>
            </w:pPr>
          </w:p>
        </w:tc>
        <w:tc>
          <w:tcPr>
            <w:tcW w:w="2551" w:type="dxa"/>
            <w:vAlign w:val="center"/>
          </w:tcPr>
          <w:p>
            <w:pPr>
              <w:pStyle w:val="单元格样式4"/>
            </w:pPr>
            <w:r>
              <w:t xml:space="preserve">0.10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817隆尧县社区建设服务中心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817隆尧县社区建设服务中心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9.50</w:t>
            </w:r>
          </w:p>
        </w:tc>
        <w:tc>
          <w:tcPr>
            <w:tcW w:w="2551" w:type="dxa"/>
            <w:vAlign w:val="center"/>
          </w:tcPr>
          <w:p>
            <w:pPr>
              <w:pStyle w:val="单元格样式7"/>
            </w:pPr>
          </w:p>
        </w:tc>
        <w:tc>
          <w:tcPr>
            <w:tcW w:w="2551" w:type="dxa"/>
            <w:vAlign w:val="center"/>
          </w:tcPr>
          <w:p>
            <w:pPr>
              <w:pStyle w:val="单元格样式7"/>
            </w:pPr>
            <w:r>
              <w:t xml:space="preserve">9.50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223</w:t>
            </w:r>
          </w:p>
        </w:tc>
        <w:tc>
          <w:tcPr>
            <w:tcW w:w="4535" w:type="dxa"/>
            <w:vAlign w:val="center"/>
          </w:tcPr>
          <w:p>
            <w:pPr>
              <w:pStyle w:val="单元格样式2"/>
            </w:pPr>
            <w:r>
              <w:t xml:space="preserve">国有资本经营预算支出</w:t>
            </w:r>
          </w:p>
        </w:tc>
        <w:tc>
          <w:tcPr>
            <w:tcW w:w="2551" w:type="dxa"/>
            <w:vAlign w:val="center"/>
          </w:tcPr>
          <w:p>
            <w:pPr>
              <w:pStyle w:val="单元格样式4"/>
            </w:pPr>
            <w:r>
              <w:t xml:space="preserve">9.50</w:t>
            </w:r>
          </w:p>
        </w:tc>
        <w:tc>
          <w:tcPr>
            <w:tcW w:w="2551" w:type="dxa"/>
            <w:vAlign w:val="center"/>
          </w:tcPr>
          <w:p>
            <w:pPr>
              <w:pStyle w:val="单元格样式4"/>
            </w:pPr>
          </w:p>
        </w:tc>
        <w:tc>
          <w:tcPr>
            <w:tcW w:w="2551" w:type="dxa"/>
            <w:vAlign w:val="center"/>
          </w:tcPr>
          <w:p>
            <w:pPr>
              <w:pStyle w:val="单元格样式4"/>
            </w:pPr>
            <w:r>
              <w:t xml:space="preserve">9.50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22301</w:t>
            </w:r>
          </w:p>
        </w:tc>
        <w:tc>
          <w:tcPr>
            <w:tcW w:w="4535" w:type="dxa"/>
            <w:vAlign w:val="center"/>
          </w:tcPr>
          <w:p>
            <w:pPr>
              <w:pStyle w:val="单元格样式2"/>
            </w:pPr>
            <w:r>
              <w:t xml:space="preserve">解决历史遗留问题及改革成本支出</w:t>
            </w:r>
          </w:p>
        </w:tc>
        <w:tc>
          <w:tcPr>
            <w:tcW w:w="2551" w:type="dxa"/>
            <w:vAlign w:val="center"/>
          </w:tcPr>
          <w:p>
            <w:pPr>
              <w:pStyle w:val="单元格样式4"/>
            </w:pPr>
            <w:r>
              <w:t xml:space="preserve">9.50</w:t>
            </w:r>
          </w:p>
        </w:tc>
        <w:tc>
          <w:tcPr>
            <w:tcW w:w="2551" w:type="dxa"/>
            <w:vAlign w:val="center"/>
          </w:tcPr>
          <w:p>
            <w:pPr>
              <w:pStyle w:val="单元格样式4"/>
            </w:pPr>
          </w:p>
        </w:tc>
        <w:tc>
          <w:tcPr>
            <w:tcW w:w="2551" w:type="dxa"/>
            <w:vAlign w:val="center"/>
          </w:tcPr>
          <w:p>
            <w:pPr>
              <w:pStyle w:val="单元格样式4"/>
            </w:pPr>
            <w:r>
              <w:t xml:space="preserve">9.50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2230105</w:t>
            </w:r>
          </w:p>
        </w:tc>
        <w:tc>
          <w:tcPr>
            <w:tcW w:w="4535" w:type="dxa"/>
            <w:vAlign w:val="center"/>
          </w:tcPr>
          <w:p>
            <w:pPr>
              <w:pStyle w:val="单元格样式2"/>
            </w:pPr>
            <w:r>
              <w:t xml:space="preserve">国有企业退休人员社会化管理补助支出</w:t>
            </w:r>
          </w:p>
        </w:tc>
        <w:tc>
          <w:tcPr>
            <w:tcW w:w="2551" w:type="dxa"/>
            <w:vAlign w:val="center"/>
          </w:tcPr>
          <w:p>
            <w:pPr>
              <w:pStyle w:val="单元格样式4"/>
            </w:pPr>
            <w:r>
              <w:t xml:space="preserve">9.50</w:t>
            </w:r>
          </w:p>
        </w:tc>
        <w:tc>
          <w:tcPr>
            <w:tcW w:w="2551" w:type="dxa"/>
            <w:vAlign w:val="center"/>
          </w:tcPr>
          <w:p>
            <w:pPr>
              <w:pStyle w:val="单元格样式4"/>
            </w:pPr>
          </w:p>
        </w:tc>
        <w:tc>
          <w:tcPr>
            <w:tcW w:w="2551" w:type="dxa"/>
            <w:vAlign w:val="center"/>
          </w:tcPr>
          <w:p>
            <w:pPr>
              <w:pStyle w:val="单元格样式4"/>
            </w:pPr>
            <w:r>
              <w:t xml:space="preserve">9.50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817隆尧县社区建设服务中心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隆尧县社区建设服务中心2026年部门预算信息公开情况说明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隆尧县社区建设服务中心2026年部门预算信息公开情况说明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按照《中华人民共和国预算法》、《地方预决算公开操作规程》和《关于进一步推进预算公开工作的实施意见》规定，现将隆尧县社区建设服务中心2026年部门预算公开如下：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隆尧县社区建设服务中心本级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按照预算管理有关规定，目前我县部门预算的编制实行综合预算管理，即全部收入和支出都反映在预算中。隆尧县社区建设服务中心及所属事业单位的收支包含在部门预算中。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反映本部门当年全部收入。2026年预算收入720.84万元，其中：一般公共预算收入711.34万元，基金预算收入0万元，国有资本经营预算收入5万元，财政专户核拨收入0万元，单位资金收入0万元，上年结转结余4.5万元。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隆尧县社区建设服务中心年度部门预算中支出预算的总体情况。2026年支出预算720.84万元，其中基本支出64.97万元，包括人员经费59.15万元和日常公用经费5.82万元；项目支出655.87万元，主要为社区工作者经费、9个社区办公经费及服务群众专项经费、社区办公专项经费、国有企业退休人员社会化管理补助支出。</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2025年部门预算收支安排720.84万元，较2025年预算增加216.6万元，其中：基本支出减少290.83万元，主要为社区工作者经费列入项目支出支出；项目支出增加502.92万元，主要为增加社区工作者经费项目，结转国有企业退休人员社会化管理补助。</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2026年，我单位机关运行经费共计安排8.8万元，主要用于保证机关正常运转的办公费、印刷费、邮电费、办公用房水电费等日常运行支出。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2026年，我部门财政拨款“三公”经费预算安排0万元，其中因公出国（境）费0万元；公务用车购置及运维费0万元（其中：公务用车购置费为0万元，公务用车运行维护费0万元)；公务接待费0万元。与2025年持平。</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在全力抓好、落实好民生事项，做好为民服务的的同时，聚焦社区治理，因地制宜着力打造特色社区、亮点社区、精品社区。</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聚能民生工程。一是持续践行民生承诺，谋划实施年度十项民生实事；配合住建部门完成17老旧小区改造的后续工作，确保改造后的小区管理规范化、长效化。二是充分发挥柴荣社区多元化功能功效，全力打造老年友好型社区。三是以祥和居为试点，年内打造2-3个智慧安防小区，提高居民安全感，提升小区智能管理水平。</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聚力服务提升。一是完成五个“红色物业”示范点建设，以点带面，力争年内实现城区物业小区全覆盖。二是坚持党建引领，持续推进物业规范提升行动。以森都花园为试点，全面推行社区居委会、居民代表、物业服务企业协商议事机制，进一步提高物业企业服务水平，提升居民满意度。</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1、冀财资[2024]112号/中央/提前下达2025年国有企业退休人员社会化管理补助资金绩效目标表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13052525P000002100456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冀财资[2024]112号/中央/提前下达2025年国有企业退休人员社会化管理补助资金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国有企业退休人员社会化管理工作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w:t>
            </w:r>
          </w:p>
        </w:tc>
        <w:tc>
          <w:tcPr>
            <w:tcW w:w="2835" w:type="dxa"/>
            <w:vAlign w:val="center"/>
          </w:tcPr>
          <w:p>
            <w:pPr>
              <w:pStyle w:val="单元格样式3"/>
            </w:pPr>
            <w:r>
              <w:t xml:space="preserve">20%</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1.1、国有企业已退休人员管理服务工作与原企业分离。2、国有企业不承担移交后的退休人员社会化管理服务费用。3、国有企业新办理退休人员管理服务工作与原企业分离。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退休人员管理服务工作与原企业分离</w:t>
            </w:r>
          </w:p>
        </w:tc>
        <w:tc>
          <w:tcPr>
            <w:tcW w:w="5386" w:type="dxa"/>
            <w:vAlign w:val="center"/>
          </w:tcPr>
          <w:p>
            <w:pPr>
              <w:pStyle w:val="单元格样式2"/>
            </w:pPr>
            <w:r>
              <w:t xml:space="preserve">国有企业已退休人员管理服务工作与原企业分离，国有企业新办理退休人员管理服务工作与原企业分离。</w:t>
            </w:r>
          </w:p>
        </w:tc>
        <w:tc>
          <w:tcPr>
            <w:tcW w:w="2268" w:type="dxa"/>
            <w:vAlign w:val="center"/>
          </w:tcPr>
          <w:p>
            <w:pPr>
              <w:pStyle w:val="单元格样式2"/>
            </w:pPr>
            <w:r>
              <w:t xml:space="preserve">100百分比</w:t>
            </w:r>
          </w:p>
        </w:tc>
        <w:tc>
          <w:tcPr>
            <w:tcW w:w="1276" w:type="dxa"/>
            <w:vAlign w:val="center"/>
          </w:tcPr>
          <w:p>
            <w:pPr>
              <w:pStyle w:val="单元格样式2"/>
            </w:pPr>
            <w:r>
              <w:t xml:space="preserve">隆财资〔2024〕17号/隆尧县财政局关于提前下达2025年国有企业退休人员社会化管理中央补助资金预算的通知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完成项目的成本控制在预算水平</w:t>
            </w:r>
          </w:p>
        </w:tc>
        <w:tc>
          <w:tcPr>
            <w:tcW w:w="2268" w:type="dxa"/>
            <w:vAlign w:val="center"/>
          </w:tcPr>
          <w:p>
            <w:pPr>
              <w:pStyle w:val="单元格样式2"/>
            </w:pPr>
            <w:r>
              <w:t xml:space="preserve">100百分比</w:t>
            </w:r>
          </w:p>
        </w:tc>
        <w:tc>
          <w:tcPr>
            <w:tcW w:w="1276" w:type="dxa"/>
            <w:vAlign w:val="center"/>
          </w:tcPr>
          <w:p>
            <w:pPr>
              <w:pStyle w:val="单元格样式2"/>
            </w:pPr>
            <w:r>
              <w:t xml:space="preserve">隆财资〔2024〕17号/隆尧县财政局关于提前下达2025年国有企业退休人员社会化管理中央补助资金预算的通知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按期完成资金支付</w:t>
            </w:r>
          </w:p>
        </w:tc>
        <w:tc>
          <w:tcPr>
            <w:tcW w:w="5386" w:type="dxa"/>
            <w:vAlign w:val="center"/>
          </w:tcPr>
          <w:p>
            <w:pPr>
              <w:pStyle w:val="单元格样式2"/>
            </w:pPr>
            <w:r>
              <w:t xml:space="preserve">按期完成资金支付</w:t>
            </w:r>
          </w:p>
        </w:tc>
        <w:tc>
          <w:tcPr>
            <w:tcW w:w="2268" w:type="dxa"/>
            <w:vAlign w:val="center"/>
          </w:tcPr>
          <w:p>
            <w:pPr>
              <w:pStyle w:val="单元格样式2"/>
            </w:pPr>
            <w:r>
              <w:t xml:space="preserve">≥85百分比</w:t>
            </w:r>
          </w:p>
        </w:tc>
        <w:tc>
          <w:tcPr>
            <w:tcW w:w="1276" w:type="dxa"/>
            <w:vAlign w:val="center"/>
          </w:tcPr>
          <w:p>
            <w:pPr>
              <w:pStyle w:val="单元格样式2"/>
            </w:pPr>
            <w:r>
              <w:t xml:space="preserve">隆财资〔2024〕17号/隆尧县财政局关于提前下达2025年国有企业退休人员社会化管理中央补助资金预算的通知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各项支付工作完成率</w:t>
            </w:r>
          </w:p>
        </w:tc>
        <w:tc>
          <w:tcPr>
            <w:tcW w:w="5386" w:type="dxa"/>
            <w:vAlign w:val="center"/>
          </w:tcPr>
          <w:p>
            <w:pPr>
              <w:pStyle w:val="单元格样式2"/>
            </w:pPr>
            <w:r>
              <w:t xml:space="preserve">各项支付工作完成率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隆财资〔2024〕17号/隆尧县财政局关于提前下达2025年国有企业退休人员社会化管理中央补助资金预算的通知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退休人员社会化管理服务费用</w:t>
            </w:r>
          </w:p>
        </w:tc>
        <w:tc>
          <w:tcPr>
            <w:tcW w:w="5386" w:type="dxa"/>
            <w:vAlign w:val="center"/>
          </w:tcPr>
          <w:p>
            <w:pPr>
              <w:pStyle w:val="单元格样式2"/>
            </w:pPr>
            <w:r>
              <w:t xml:space="preserve">国有企业不承担移交后的退休人员社会化管理服务费用</w:t>
            </w:r>
          </w:p>
        </w:tc>
        <w:tc>
          <w:tcPr>
            <w:tcW w:w="2268" w:type="dxa"/>
            <w:vAlign w:val="center"/>
          </w:tcPr>
          <w:p>
            <w:pPr>
              <w:pStyle w:val="单元格样式2"/>
            </w:pPr>
            <w:r>
              <w:t xml:space="preserve">≥85百分比</w:t>
            </w:r>
          </w:p>
        </w:tc>
        <w:tc>
          <w:tcPr>
            <w:tcW w:w="1276" w:type="dxa"/>
            <w:vAlign w:val="center"/>
          </w:tcPr>
          <w:p>
            <w:pPr>
              <w:pStyle w:val="单元格样式2"/>
            </w:pPr>
            <w:r>
              <w:t xml:space="preserve">隆财资〔2024〕17号/隆尧县财政局关于提前下达2025年国有企业退休人员社会化管理中央补助资金预算的通知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企业满意度指标</w:t>
            </w:r>
          </w:p>
        </w:tc>
        <w:tc>
          <w:tcPr>
            <w:tcW w:w="5386" w:type="dxa"/>
            <w:vAlign w:val="center"/>
          </w:tcPr>
          <w:p>
            <w:pPr>
              <w:pStyle w:val="单元格样式2"/>
            </w:pPr>
            <w:r>
              <w:t xml:space="preserve">移交企业的综合满意程度，企业满意度=问卷调查平均得分/总分*100%</w:t>
            </w:r>
          </w:p>
        </w:tc>
        <w:tc>
          <w:tcPr>
            <w:tcW w:w="2268" w:type="dxa"/>
            <w:vAlign w:val="center"/>
          </w:tcPr>
          <w:p>
            <w:pPr>
              <w:pStyle w:val="单元格样式2"/>
            </w:pPr>
            <w:r>
              <w:t xml:space="preserve">≥85百分比</w:t>
            </w:r>
          </w:p>
        </w:tc>
        <w:tc>
          <w:tcPr>
            <w:tcW w:w="1276" w:type="dxa"/>
            <w:vAlign w:val="center"/>
          </w:tcPr>
          <w:p>
            <w:pPr>
              <w:pStyle w:val="单元格样式2"/>
            </w:pPr>
            <w:r>
              <w:t xml:space="preserve">隆财资〔2024〕17号/隆尧县财政局关于提前下达2025年国有企业退休人员社会化管理中央补助资金预算的通知</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2、冀财资〔2024〕124号/省级/提前下达2025年国有企业退休人员社会化管理补助资金绩效目标表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13052525P00000210078L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冀财资〔2024〕124号/省级/提前下达2025年国有企业退休人员社会化管理补助资金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国有企业退休人员社会化管理工作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w:t>
            </w:r>
          </w:p>
        </w:tc>
        <w:tc>
          <w:tcPr>
            <w:tcW w:w="2835" w:type="dxa"/>
            <w:vAlign w:val="center"/>
          </w:tcPr>
          <w:p>
            <w:pPr>
              <w:pStyle w:val="单元格样式3"/>
            </w:pPr>
            <w:r>
              <w:t xml:space="preserve">5%</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1.1、国有企业已退休人员管理服务工作与原企业分离。2、国有企业不承担移交后的退休人员社会化管理服务费用。3、国有企业新办理退休人员管理服务工作与原企业分离。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退休人员管理服务工作与原企业分离</w:t>
            </w:r>
          </w:p>
        </w:tc>
        <w:tc>
          <w:tcPr>
            <w:tcW w:w="5386" w:type="dxa"/>
            <w:vAlign w:val="center"/>
          </w:tcPr>
          <w:p>
            <w:pPr>
              <w:pStyle w:val="单元格样式2"/>
            </w:pPr>
            <w:r>
              <w:t xml:space="preserve">国有企业已退休人员管理服务工作与原企业分离，国有企业新办理退休人员管理服务工作与原企业分离。</w:t>
            </w:r>
          </w:p>
        </w:tc>
        <w:tc>
          <w:tcPr>
            <w:tcW w:w="2268" w:type="dxa"/>
            <w:vAlign w:val="center"/>
          </w:tcPr>
          <w:p>
            <w:pPr>
              <w:pStyle w:val="单元格样式2"/>
            </w:pPr>
            <w:r>
              <w:t xml:space="preserve">100百分比</w:t>
            </w:r>
          </w:p>
        </w:tc>
        <w:tc>
          <w:tcPr>
            <w:tcW w:w="1276" w:type="dxa"/>
            <w:vAlign w:val="center"/>
          </w:tcPr>
          <w:p>
            <w:pPr>
              <w:pStyle w:val="单元格样式2"/>
            </w:pPr>
            <w:r>
              <w:t xml:space="preserve">冀财资〔2024〕124号/省级/提前下达2025年国有企业退休人员社会化管理补助资金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完成项目的成本控制在预算水平</w:t>
            </w:r>
          </w:p>
        </w:tc>
        <w:tc>
          <w:tcPr>
            <w:tcW w:w="2268" w:type="dxa"/>
            <w:vAlign w:val="center"/>
          </w:tcPr>
          <w:p>
            <w:pPr>
              <w:pStyle w:val="单元格样式2"/>
            </w:pPr>
            <w:r>
              <w:t xml:space="preserve">100百分比</w:t>
            </w:r>
          </w:p>
        </w:tc>
        <w:tc>
          <w:tcPr>
            <w:tcW w:w="1276" w:type="dxa"/>
            <w:vAlign w:val="center"/>
          </w:tcPr>
          <w:p>
            <w:pPr>
              <w:pStyle w:val="单元格样式2"/>
            </w:pPr>
            <w:r>
              <w:t xml:space="preserve">冀财资〔2024〕124号/省级/提前下达2025年国有企业退休人员社会化管理补助资金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按期完成资金支付</w:t>
            </w:r>
          </w:p>
        </w:tc>
        <w:tc>
          <w:tcPr>
            <w:tcW w:w="5386" w:type="dxa"/>
            <w:vAlign w:val="center"/>
          </w:tcPr>
          <w:p>
            <w:pPr>
              <w:pStyle w:val="单元格样式2"/>
            </w:pPr>
            <w:r>
              <w:t xml:space="preserve">按期完成资金支付</w:t>
            </w:r>
          </w:p>
        </w:tc>
        <w:tc>
          <w:tcPr>
            <w:tcW w:w="2268" w:type="dxa"/>
            <w:vAlign w:val="center"/>
          </w:tcPr>
          <w:p>
            <w:pPr>
              <w:pStyle w:val="单元格样式2"/>
            </w:pPr>
            <w:r>
              <w:t xml:space="preserve">≥85百分比</w:t>
            </w:r>
          </w:p>
        </w:tc>
        <w:tc>
          <w:tcPr>
            <w:tcW w:w="1276" w:type="dxa"/>
            <w:vAlign w:val="center"/>
          </w:tcPr>
          <w:p>
            <w:pPr>
              <w:pStyle w:val="单元格样式2"/>
            </w:pPr>
            <w:r>
              <w:t xml:space="preserve">冀财资〔2024〕124号/省级/提前下达2025年国有企业退休人员社会化管理补助资金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各项支付工作完成率</w:t>
            </w:r>
          </w:p>
        </w:tc>
        <w:tc>
          <w:tcPr>
            <w:tcW w:w="5386" w:type="dxa"/>
            <w:vAlign w:val="center"/>
          </w:tcPr>
          <w:p>
            <w:pPr>
              <w:pStyle w:val="单元格样式2"/>
            </w:pPr>
            <w:r>
              <w:t xml:space="preserve">各项支付工作完成率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冀财资〔2024〕124号/省级/提前下达2025年国有企业退休人员社会化管理补助资金</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退休人员社会化管理服务费用</w:t>
            </w:r>
          </w:p>
        </w:tc>
        <w:tc>
          <w:tcPr>
            <w:tcW w:w="5386" w:type="dxa"/>
            <w:vAlign w:val="center"/>
          </w:tcPr>
          <w:p>
            <w:pPr>
              <w:pStyle w:val="单元格样式2"/>
            </w:pPr>
            <w:r>
              <w:t xml:space="preserve">国有企业不承担移交后的退休人员社会化管理服务费用</w:t>
            </w:r>
          </w:p>
        </w:tc>
        <w:tc>
          <w:tcPr>
            <w:tcW w:w="2268" w:type="dxa"/>
            <w:vAlign w:val="center"/>
          </w:tcPr>
          <w:p>
            <w:pPr>
              <w:pStyle w:val="单元格样式2"/>
            </w:pPr>
            <w:r>
              <w:t xml:space="preserve">≥85百分比</w:t>
            </w:r>
          </w:p>
        </w:tc>
        <w:tc>
          <w:tcPr>
            <w:tcW w:w="1276" w:type="dxa"/>
            <w:vAlign w:val="center"/>
          </w:tcPr>
          <w:p>
            <w:pPr>
              <w:pStyle w:val="单元格样式2"/>
            </w:pPr>
            <w:r>
              <w:t xml:space="preserve">冀财资〔2024〕124号/省级/提前下达2025年国有企业退休人员社会化管理补助资金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企业满意度指标</w:t>
            </w:r>
          </w:p>
        </w:tc>
        <w:tc>
          <w:tcPr>
            <w:tcW w:w="5386" w:type="dxa"/>
            <w:vAlign w:val="center"/>
          </w:tcPr>
          <w:p>
            <w:pPr>
              <w:pStyle w:val="单元格样式2"/>
            </w:pPr>
            <w:r>
              <w:t xml:space="preserve">移交企业的综合满意程度，企业满意度=问卷调查平均得分/总分*100%</w:t>
            </w:r>
          </w:p>
        </w:tc>
        <w:tc>
          <w:tcPr>
            <w:tcW w:w="2268" w:type="dxa"/>
            <w:vAlign w:val="center"/>
          </w:tcPr>
          <w:p>
            <w:pPr>
              <w:pStyle w:val="单元格样式2"/>
            </w:pPr>
            <w:r>
              <w:t xml:space="preserve">≥85百分比</w:t>
            </w:r>
          </w:p>
        </w:tc>
        <w:tc>
          <w:tcPr>
            <w:tcW w:w="1276" w:type="dxa"/>
            <w:vAlign w:val="center"/>
          </w:tcPr>
          <w:p>
            <w:pPr>
              <w:pStyle w:val="单元格样式2"/>
            </w:pPr>
            <w:r>
              <w:t xml:space="preserve">冀财资〔2024〕124号/省级/提前下达2025年国有企业退休人员社会化管理补助资金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3、冀财资〔2025〕106号/省级/提前下达2026年国有企业退休人员社会化管理补助资金绩效目标表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13052526P00000210215K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冀财资〔2025〕106号/省级/提前下达2026年国有企业退休人员社会化管理补助资金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国有企业退休人员社会化管理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w:t>
            </w:r>
          </w:p>
        </w:tc>
        <w:tc>
          <w:tcPr>
            <w:tcW w:w="2835" w:type="dxa"/>
            <w:vAlign w:val="center"/>
          </w:tcPr>
          <w:p>
            <w:pPr>
              <w:pStyle w:val="单元格样式3"/>
            </w:pPr>
            <w:r>
              <w:t xml:space="preserve">30%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1.1、国有企业已退休人员管理服务工作与原企业分离。2、国有企业不承担移交后的退休人员社会化管理服务费用。3、国有企业新办理退休人员管理服务工作与原企业分离。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退休人员管理服务工作与原企业分离</w:t>
            </w:r>
          </w:p>
        </w:tc>
        <w:tc>
          <w:tcPr>
            <w:tcW w:w="5386" w:type="dxa"/>
            <w:vAlign w:val="center"/>
          </w:tcPr>
          <w:p>
            <w:pPr>
              <w:pStyle w:val="单元格样式2"/>
            </w:pPr>
            <w:r>
              <w:t xml:space="preserve">国有企业已退休人员管理服务工作与原企业分离，国有企业新办理退休人员管理服务工作与原企业分离。</w:t>
            </w:r>
          </w:p>
        </w:tc>
        <w:tc>
          <w:tcPr>
            <w:tcW w:w="2268" w:type="dxa"/>
            <w:vAlign w:val="center"/>
          </w:tcPr>
          <w:p>
            <w:pPr>
              <w:pStyle w:val="单元格样式2"/>
            </w:pPr>
            <w:r>
              <w:t xml:space="preserve">100百分比</w:t>
            </w:r>
          </w:p>
        </w:tc>
        <w:tc>
          <w:tcPr>
            <w:tcW w:w="1276" w:type="dxa"/>
            <w:vAlign w:val="center"/>
          </w:tcPr>
          <w:p>
            <w:pPr>
              <w:pStyle w:val="单元格样式2"/>
            </w:pPr>
            <w:r>
              <w:t xml:space="preserve">冀财资〔2025〕106号/省级/提前下达2026年国有企业退休人员社会化管理补助资金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完成项目的成本控制在预算水平</w:t>
            </w:r>
          </w:p>
        </w:tc>
        <w:tc>
          <w:tcPr>
            <w:tcW w:w="2268" w:type="dxa"/>
            <w:vAlign w:val="center"/>
          </w:tcPr>
          <w:p>
            <w:pPr>
              <w:pStyle w:val="单元格样式2"/>
            </w:pPr>
            <w:r>
              <w:t xml:space="preserve">100百分比</w:t>
            </w:r>
          </w:p>
        </w:tc>
        <w:tc>
          <w:tcPr>
            <w:tcW w:w="1276" w:type="dxa"/>
            <w:vAlign w:val="center"/>
          </w:tcPr>
          <w:p>
            <w:pPr>
              <w:pStyle w:val="单元格样式2"/>
            </w:pPr>
            <w:r>
              <w:t xml:space="preserve">冀财资〔2025〕106号/省级/提前下达2026年国有企业退休人员社会化管理补助资金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按期完成资金支付</w:t>
            </w:r>
          </w:p>
        </w:tc>
        <w:tc>
          <w:tcPr>
            <w:tcW w:w="5386" w:type="dxa"/>
            <w:vAlign w:val="center"/>
          </w:tcPr>
          <w:p>
            <w:pPr>
              <w:pStyle w:val="单元格样式2"/>
            </w:pPr>
            <w:r>
              <w:t xml:space="preserve">按期完成资金支付</w:t>
            </w:r>
          </w:p>
        </w:tc>
        <w:tc>
          <w:tcPr>
            <w:tcW w:w="2268" w:type="dxa"/>
            <w:vAlign w:val="center"/>
          </w:tcPr>
          <w:p>
            <w:pPr>
              <w:pStyle w:val="单元格样式2"/>
            </w:pPr>
            <w:r>
              <w:t xml:space="preserve">≥85百分比</w:t>
            </w:r>
          </w:p>
        </w:tc>
        <w:tc>
          <w:tcPr>
            <w:tcW w:w="1276" w:type="dxa"/>
            <w:vAlign w:val="center"/>
          </w:tcPr>
          <w:p>
            <w:pPr>
              <w:pStyle w:val="单元格样式2"/>
            </w:pPr>
            <w:r>
              <w:t xml:space="preserve">冀财资〔2025〕106号/省级/提前下达2026年国有企业退休人员社会化管理补助资金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各项支付工作完成率</w:t>
            </w:r>
          </w:p>
        </w:tc>
        <w:tc>
          <w:tcPr>
            <w:tcW w:w="5386" w:type="dxa"/>
            <w:vAlign w:val="center"/>
          </w:tcPr>
          <w:p>
            <w:pPr>
              <w:pStyle w:val="单元格样式2"/>
            </w:pPr>
            <w:r>
              <w:t xml:space="preserve">各项支付工作完成率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冀财资〔2025〕106号/省级/提前下达2026年国有企业退休人员社会化管理补助资金</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退休人员社会化管理服务费用</w:t>
            </w:r>
          </w:p>
        </w:tc>
        <w:tc>
          <w:tcPr>
            <w:tcW w:w="5386" w:type="dxa"/>
            <w:vAlign w:val="center"/>
          </w:tcPr>
          <w:p>
            <w:pPr>
              <w:pStyle w:val="单元格样式2"/>
            </w:pPr>
            <w:r>
              <w:t xml:space="preserve">国有企业不承担移交后的退休人员社会化管理服务费用</w:t>
            </w:r>
          </w:p>
        </w:tc>
        <w:tc>
          <w:tcPr>
            <w:tcW w:w="2268" w:type="dxa"/>
            <w:vAlign w:val="center"/>
          </w:tcPr>
          <w:p>
            <w:pPr>
              <w:pStyle w:val="单元格样式2"/>
            </w:pPr>
            <w:r>
              <w:t xml:space="preserve">≥85百分比</w:t>
            </w:r>
          </w:p>
        </w:tc>
        <w:tc>
          <w:tcPr>
            <w:tcW w:w="1276" w:type="dxa"/>
            <w:vAlign w:val="center"/>
          </w:tcPr>
          <w:p>
            <w:pPr>
              <w:pStyle w:val="单元格样式2"/>
            </w:pPr>
            <w:r>
              <w:t xml:space="preserve">冀财资〔2025〕106号/省级/提前下达2026年国有企业退休人员社会化管理补助资金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企业满意度指标</w:t>
            </w:r>
          </w:p>
        </w:tc>
        <w:tc>
          <w:tcPr>
            <w:tcW w:w="5386" w:type="dxa"/>
            <w:vAlign w:val="center"/>
          </w:tcPr>
          <w:p>
            <w:pPr>
              <w:pStyle w:val="单元格样式2"/>
            </w:pPr>
            <w:r>
              <w:t xml:space="preserve">移交企业的综合满意程度，企业满意度=问卷调查平均得分/总分*100%</w:t>
            </w:r>
          </w:p>
        </w:tc>
        <w:tc>
          <w:tcPr>
            <w:tcW w:w="2268" w:type="dxa"/>
            <w:vAlign w:val="center"/>
          </w:tcPr>
          <w:p>
            <w:pPr>
              <w:pStyle w:val="单元格样式2"/>
            </w:pPr>
            <w:r>
              <w:t xml:space="preserve">≥85百分比</w:t>
            </w:r>
          </w:p>
        </w:tc>
        <w:tc>
          <w:tcPr>
            <w:tcW w:w="1276" w:type="dxa"/>
            <w:vAlign w:val="center"/>
          </w:tcPr>
          <w:p>
            <w:pPr>
              <w:pStyle w:val="单元格样式2"/>
            </w:pPr>
            <w:r>
              <w:t xml:space="preserve">冀财资〔2025〕106号/省级/提前下达2026年国有企业退休人员社会化管理补助资金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4、冀财资〔2025〕98号/中央/提前下达2026年国有企业退休人员社会化管理补助资金绩效目标表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13052526P00000210217T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冀财资〔2025〕98号/中央/提前下达2026年国有企业退休人员社会化管理补助资金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用于国有企业退休人员社会化管理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w:t>
            </w:r>
          </w:p>
        </w:tc>
        <w:tc>
          <w:tcPr>
            <w:tcW w:w="2835" w:type="dxa"/>
            <w:vAlign w:val="center"/>
          </w:tcPr>
          <w:p>
            <w:pPr>
              <w:pStyle w:val="单元格样式3"/>
            </w:pPr>
            <w:r>
              <w:t xml:space="preserve">30%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1.1、国有企业已退休人员管理服务工作与原企业分离。2、国有企业不承担移交后的退休人员社会化管理服务费用。3、国有企业新办理退休人员管理服务工作与原企业分离。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退休人员管理服务工作与原企业分离</w:t>
            </w:r>
          </w:p>
        </w:tc>
        <w:tc>
          <w:tcPr>
            <w:tcW w:w="5386" w:type="dxa"/>
            <w:vAlign w:val="center"/>
          </w:tcPr>
          <w:p>
            <w:pPr>
              <w:pStyle w:val="单元格样式2"/>
            </w:pPr>
            <w:r>
              <w:t xml:space="preserve">国有企业已退休人员管理服务工作与原企业分离，国有企业新办理退休人员管理服务工作与原企业分离。</w:t>
            </w:r>
          </w:p>
        </w:tc>
        <w:tc>
          <w:tcPr>
            <w:tcW w:w="2268" w:type="dxa"/>
            <w:vAlign w:val="center"/>
          </w:tcPr>
          <w:p>
            <w:pPr>
              <w:pStyle w:val="单元格样式2"/>
            </w:pPr>
            <w:r>
              <w:t xml:space="preserve">100百分比</w:t>
            </w:r>
          </w:p>
        </w:tc>
        <w:tc>
          <w:tcPr>
            <w:tcW w:w="1276" w:type="dxa"/>
            <w:vAlign w:val="center"/>
          </w:tcPr>
          <w:p>
            <w:pPr>
              <w:pStyle w:val="单元格样式2"/>
            </w:pPr>
            <w:r>
              <w:t xml:space="preserve">冀财资〔2025〕98号/中央/提前下达2026年国有企业退休人员社会化管理补助资金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完成项目的成本控制在预算水平</w:t>
            </w:r>
          </w:p>
        </w:tc>
        <w:tc>
          <w:tcPr>
            <w:tcW w:w="2268" w:type="dxa"/>
            <w:vAlign w:val="center"/>
          </w:tcPr>
          <w:p>
            <w:pPr>
              <w:pStyle w:val="单元格样式2"/>
            </w:pPr>
            <w:r>
              <w:t xml:space="preserve">100百分比</w:t>
            </w:r>
          </w:p>
        </w:tc>
        <w:tc>
          <w:tcPr>
            <w:tcW w:w="1276" w:type="dxa"/>
            <w:vAlign w:val="center"/>
          </w:tcPr>
          <w:p>
            <w:pPr>
              <w:pStyle w:val="单元格样式2"/>
            </w:pPr>
            <w:r>
              <w:t xml:space="preserve">冀财资〔2025〕98号/中央/提前下达2026年国有企业退休人员社会化管理补助资金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按期完成资金支付</w:t>
            </w:r>
          </w:p>
        </w:tc>
        <w:tc>
          <w:tcPr>
            <w:tcW w:w="5386" w:type="dxa"/>
            <w:vAlign w:val="center"/>
          </w:tcPr>
          <w:p>
            <w:pPr>
              <w:pStyle w:val="单元格样式2"/>
            </w:pPr>
            <w:r>
              <w:t xml:space="preserve">按期完成资金支付</w:t>
            </w:r>
          </w:p>
        </w:tc>
        <w:tc>
          <w:tcPr>
            <w:tcW w:w="2268" w:type="dxa"/>
            <w:vAlign w:val="center"/>
          </w:tcPr>
          <w:p>
            <w:pPr>
              <w:pStyle w:val="单元格样式2"/>
            </w:pPr>
            <w:r>
              <w:t xml:space="preserve">≥85百分比</w:t>
            </w:r>
          </w:p>
        </w:tc>
        <w:tc>
          <w:tcPr>
            <w:tcW w:w="1276" w:type="dxa"/>
            <w:vAlign w:val="center"/>
          </w:tcPr>
          <w:p>
            <w:pPr>
              <w:pStyle w:val="单元格样式2"/>
            </w:pPr>
            <w:r>
              <w:t xml:space="preserve">冀财资〔2025〕98号/中央/提前下达2026年国有企业退休人员社会化管理补助资金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各项支付工作完成率</w:t>
            </w:r>
          </w:p>
        </w:tc>
        <w:tc>
          <w:tcPr>
            <w:tcW w:w="5386" w:type="dxa"/>
            <w:vAlign w:val="center"/>
          </w:tcPr>
          <w:p>
            <w:pPr>
              <w:pStyle w:val="单元格样式2"/>
            </w:pPr>
            <w:r>
              <w:t xml:space="preserve">各项支付工作完成率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冀财资〔2025〕98号/中央/提前下达2026年国有企业退休人员社会化管理补助资金</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退休人员社会化管理服务费用</w:t>
            </w:r>
          </w:p>
        </w:tc>
        <w:tc>
          <w:tcPr>
            <w:tcW w:w="5386" w:type="dxa"/>
            <w:vAlign w:val="center"/>
          </w:tcPr>
          <w:p>
            <w:pPr>
              <w:pStyle w:val="单元格样式2"/>
            </w:pPr>
            <w:r>
              <w:t xml:space="preserve">国有企业不承担移交后的退休人员社会化管理服务费用</w:t>
            </w:r>
          </w:p>
        </w:tc>
        <w:tc>
          <w:tcPr>
            <w:tcW w:w="2268" w:type="dxa"/>
            <w:vAlign w:val="center"/>
          </w:tcPr>
          <w:p>
            <w:pPr>
              <w:pStyle w:val="单元格样式2"/>
            </w:pPr>
            <w:r>
              <w:t xml:space="preserve">≥85百分比</w:t>
            </w:r>
          </w:p>
        </w:tc>
        <w:tc>
          <w:tcPr>
            <w:tcW w:w="1276" w:type="dxa"/>
            <w:vAlign w:val="center"/>
          </w:tcPr>
          <w:p>
            <w:pPr>
              <w:pStyle w:val="单元格样式2"/>
            </w:pPr>
            <w:r>
              <w:t xml:space="preserve">冀财资〔2025〕98号/中央/提前下达2026年国有企业退休人员社会化管理补助资金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企业满意度指标</w:t>
            </w:r>
          </w:p>
        </w:tc>
        <w:tc>
          <w:tcPr>
            <w:tcW w:w="5386" w:type="dxa"/>
            <w:vAlign w:val="center"/>
          </w:tcPr>
          <w:p>
            <w:pPr>
              <w:pStyle w:val="单元格样式2"/>
            </w:pPr>
            <w:r>
              <w:t xml:space="preserve">移交企业的综合满意程度，企业满意度=问卷调查平均得分/总分*100%</w:t>
            </w:r>
          </w:p>
        </w:tc>
        <w:tc>
          <w:tcPr>
            <w:tcW w:w="2268" w:type="dxa"/>
            <w:vAlign w:val="center"/>
          </w:tcPr>
          <w:p>
            <w:pPr>
              <w:pStyle w:val="单元格样式2"/>
            </w:pPr>
            <w:r>
              <w:t xml:space="preserve">≥85百分比</w:t>
            </w:r>
          </w:p>
        </w:tc>
        <w:tc>
          <w:tcPr>
            <w:tcW w:w="1276" w:type="dxa"/>
            <w:vAlign w:val="center"/>
          </w:tcPr>
          <w:p>
            <w:pPr>
              <w:pStyle w:val="单元格样式2"/>
            </w:pPr>
            <w:r>
              <w:t xml:space="preserve">冀财资〔2025〕98号/中央/提前下达2026年国有企业退休人员社会化管理补助资金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5、社区办公专项经费绩效目标表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13052526P00000110087M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社区办公专项经费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社区办公专项经费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w:t>
            </w:r>
          </w:p>
        </w:tc>
        <w:tc>
          <w:tcPr>
            <w:tcW w:w="2835" w:type="dxa"/>
            <w:vAlign w:val="center"/>
          </w:tcPr>
          <w:p>
            <w:pPr>
              <w:pStyle w:val="单元格样式3"/>
            </w:pPr>
            <w:r>
              <w:t xml:space="preserve">30%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1.用于社区办公电费、社区日间照料站专项网费、党员活动经费、社区办公专项经费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组织开展社区便民活动</w:t>
            </w:r>
          </w:p>
        </w:tc>
        <w:tc>
          <w:tcPr>
            <w:tcW w:w="5386" w:type="dxa"/>
            <w:vAlign w:val="center"/>
          </w:tcPr>
          <w:p>
            <w:pPr>
              <w:pStyle w:val="单元格样式2"/>
            </w:pPr>
            <w:r>
              <w:t xml:space="preserve">组织社区开展各类服务居民的活动</w:t>
            </w:r>
          </w:p>
        </w:tc>
        <w:tc>
          <w:tcPr>
            <w:tcW w:w="2268" w:type="dxa"/>
            <w:vAlign w:val="center"/>
          </w:tcPr>
          <w:p>
            <w:pPr>
              <w:pStyle w:val="单元格样式2"/>
            </w:pPr>
            <w:r>
              <w:t xml:space="preserve">≥300次</w:t>
            </w:r>
          </w:p>
        </w:tc>
        <w:tc>
          <w:tcPr>
            <w:tcW w:w="1276" w:type="dxa"/>
            <w:vAlign w:val="center"/>
          </w:tcPr>
          <w:p>
            <w:pPr>
              <w:pStyle w:val="单元格样式2"/>
            </w:pPr>
            <w:r>
              <w:t xml:space="preserve">组织开展社区开展便民活动全年不低于300次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保证工作正常开展</w:t>
            </w:r>
          </w:p>
        </w:tc>
        <w:tc>
          <w:tcPr>
            <w:tcW w:w="5386" w:type="dxa"/>
            <w:vAlign w:val="center"/>
          </w:tcPr>
          <w:p>
            <w:pPr>
              <w:pStyle w:val="单元格样式2"/>
            </w:pPr>
            <w:r>
              <w:t xml:space="preserve">保证工作正常开展</w:t>
            </w:r>
          </w:p>
        </w:tc>
        <w:tc>
          <w:tcPr>
            <w:tcW w:w="2268" w:type="dxa"/>
            <w:vAlign w:val="center"/>
          </w:tcPr>
          <w:p>
            <w:pPr>
              <w:pStyle w:val="单元格样式2"/>
            </w:pPr>
            <w:r>
              <w:t xml:space="preserve">≥90百分比</w:t>
            </w:r>
          </w:p>
        </w:tc>
        <w:tc>
          <w:tcPr>
            <w:tcW w:w="1276" w:type="dxa"/>
            <w:vAlign w:val="center"/>
          </w:tcPr>
          <w:p>
            <w:pPr>
              <w:pStyle w:val="单元格样式2"/>
            </w:pPr>
            <w:r>
              <w:t xml:space="preserve">保障社区建设服务中心的工作正常开展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按年度工作计划完成比例</w:t>
            </w:r>
          </w:p>
        </w:tc>
        <w:tc>
          <w:tcPr>
            <w:tcW w:w="5386" w:type="dxa"/>
            <w:vAlign w:val="center"/>
          </w:tcPr>
          <w:p>
            <w:pPr>
              <w:pStyle w:val="单元格样式2"/>
            </w:pPr>
            <w:r>
              <w:t xml:space="preserve">按年度工作计划完成比例</w:t>
            </w:r>
          </w:p>
        </w:tc>
        <w:tc>
          <w:tcPr>
            <w:tcW w:w="2268" w:type="dxa"/>
            <w:vAlign w:val="center"/>
          </w:tcPr>
          <w:p>
            <w:pPr>
              <w:pStyle w:val="单元格样式2"/>
            </w:pPr>
            <w:r>
              <w:t xml:space="preserve">≥90百分比</w:t>
            </w:r>
          </w:p>
        </w:tc>
        <w:tc>
          <w:tcPr>
            <w:tcW w:w="1276" w:type="dxa"/>
            <w:vAlign w:val="center"/>
          </w:tcPr>
          <w:p>
            <w:pPr>
              <w:pStyle w:val="单元格样式2"/>
            </w:pPr>
            <w:r>
              <w:t xml:space="preserve">完成年度计划的90%以上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用电成本</w:t>
            </w:r>
          </w:p>
        </w:tc>
        <w:tc>
          <w:tcPr>
            <w:tcW w:w="5386" w:type="dxa"/>
            <w:vAlign w:val="center"/>
          </w:tcPr>
          <w:p>
            <w:pPr>
              <w:pStyle w:val="单元格样式2"/>
            </w:pPr>
            <w:r>
              <w:t xml:space="preserve">用电成本</w:t>
            </w:r>
          </w:p>
        </w:tc>
        <w:tc>
          <w:tcPr>
            <w:tcW w:w="2268" w:type="dxa"/>
            <w:vAlign w:val="center"/>
          </w:tcPr>
          <w:p>
            <w:pPr>
              <w:pStyle w:val="单元格样式2"/>
            </w:pPr>
            <w:r>
              <w:t xml:space="preserve">≥100百分比</w:t>
            </w:r>
          </w:p>
        </w:tc>
        <w:tc>
          <w:tcPr>
            <w:tcW w:w="1276" w:type="dxa"/>
            <w:vAlign w:val="center"/>
          </w:tcPr>
          <w:p>
            <w:pPr>
              <w:pStyle w:val="单元格样式2"/>
            </w:pPr>
            <w:r>
              <w:t xml:space="preserve">倡导节约用电，控制用电成本不超过100%预算</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办公经费、专用材料费</w:t>
            </w:r>
          </w:p>
        </w:tc>
        <w:tc>
          <w:tcPr>
            <w:tcW w:w="5386" w:type="dxa"/>
            <w:vAlign w:val="center"/>
          </w:tcPr>
          <w:p>
            <w:pPr>
              <w:pStyle w:val="单元格样式2"/>
            </w:pPr>
            <w:r>
              <w:t xml:space="preserve">办公经费、专用材料费</w:t>
            </w:r>
          </w:p>
        </w:tc>
        <w:tc>
          <w:tcPr>
            <w:tcW w:w="2268" w:type="dxa"/>
            <w:vAlign w:val="center"/>
          </w:tcPr>
          <w:p>
            <w:pPr>
              <w:pStyle w:val="单元格样式2"/>
            </w:pPr>
            <w:r>
              <w:t xml:space="preserve">≥100百分比</w:t>
            </w:r>
          </w:p>
        </w:tc>
        <w:tc>
          <w:tcPr>
            <w:tcW w:w="1276" w:type="dxa"/>
            <w:vAlign w:val="center"/>
          </w:tcPr>
          <w:p>
            <w:pPr>
              <w:pStyle w:val="单元格样式2"/>
            </w:pPr>
            <w:r>
              <w:t xml:space="preserve">倡导节约办公，控制办公经费支出不超过100%预算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对社会发展带来的影响</w:t>
            </w:r>
          </w:p>
          <w:p>
            <w:pPr>
              <w:pStyle w:val="单元格样式2"/>
            </w:pPr>
          </w:p>
        </w:tc>
        <w:tc>
          <w:tcPr>
            <w:tcW w:w="5386" w:type="dxa"/>
            <w:vAlign w:val="center"/>
          </w:tcPr>
          <w:p>
            <w:pPr>
              <w:pStyle w:val="单元格样式2"/>
            </w:pPr>
            <w:r>
              <w:t xml:space="preserve">对社会发展带来的影响</w:t>
            </w:r>
          </w:p>
          <w:p>
            <w:pPr>
              <w:pStyle w:val="单元格样式2"/>
            </w:pPr>
          </w:p>
        </w:tc>
        <w:tc>
          <w:tcPr>
            <w:tcW w:w="2268" w:type="dxa"/>
            <w:vAlign w:val="center"/>
          </w:tcPr>
          <w:p>
            <w:pPr>
              <w:pStyle w:val="单元格样式2"/>
            </w:pPr>
            <w:r>
              <w:t xml:space="preserve">≥5000人次</w:t>
            </w:r>
          </w:p>
        </w:tc>
        <w:tc>
          <w:tcPr>
            <w:tcW w:w="1276" w:type="dxa"/>
            <w:vAlign w:val="center"/>
          </w:tcPr>
          <w:p>
            <w:pPr>
              <w:pStyle w:val="单元格样式2"/>
            </w:pPr>
            <w:r>
              <w:t xml:space="preserve">积极组织开展有效的社区活动，达到便民为民的目的，惠及居民不低于5000人次</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社会影响力</w:t>
            </w:r>
          </w:p>
        </w:tc>
        <w:tc>
          <w:tcPr>
            <w:tcW w:w="2268" w:type="dxa"/>
            <w:vAlign w:val="center"/>
          </w:tcPr>
          <w:p>
            <w:pPr>
              <w:pStyle w:val="单元格样式2"/>
            </w:pPr>
            <w:r>
              <w:t xml:space="preserve">≥85百分比</w:t>
            </w:r>
          </w:p>
        </w:tc>
        <w:tc>
          <w:tcPr>
            <w:tcW w:w="1276" w:type="dxa"/>
            <w:vAlign w:val="center"/>
          </w:tcPr>
          <w:p>
            <w:pPr>
              <w:pStyle w:val="单元格样式2"/>
            </w:pPr>
            <w:r>
              <w:t xml:space="preserve">常态化开展人民环境整治工作，让居民满意度超过85%</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6、社区党群服务中心租金绩效目标表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13052526P004R9810030M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社区党群服务中心租金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昭庆社区、太行社区租金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1.保障社区租金正常拨付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办公用房租赁</w:t>
            </w:r>
          </w:p>
        </w:tc>
        <w:tc>
          <w:tcPr>
            <w:tcW w:w="5386" w:type="dxa"/>
            <w:vAlign w:val="center"/>
          </w:tcPr>
          <w:p>
            <w:pPr>
              <w:pStyle w:val="单元格样式2"/>
            </w:pPr>
            <w:r>
              <w:t xml:space="preserve">办公用房租赁</w:t>
            </w:r>
          </w:p>
        </w:tc>
        <w:tc>
          <w:tcPr>
            <w:tcW w:w="2268" w:type="dxa"/>
            <w:vAlign w:val="center"/>
          </w:tcPr>
          <w:p>
            <w:pPr>
              <w:pStyle w:val="单元格样式2"/>
            </w:pPr>
            <w:r>
              <w:t xml:space="preserve">1项</w:t>
            </w:r>
          </w:p>
        </w:tc>
        <w:tc>
          <w:tcPr>
            <w:tcW w:w="1276" w:type="dxa"/>
            <w:vAlign w:val="center"/>
          </w:tcPr>
          <w:p>
            <w:pPr>
              <w:pStyle w:val="单元格样式2"/>
            </w:pPr>
            <w:r>
              <w:t xml:space="preserve">保障社区租金正常拨付</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办公用房租赁</w:t>
            </w:r>
          </w:p>
        </w:tc>
        <w:tc>
          <w:tcPr>
            <w:tcW w:w="5386" w:type="dxa"/>
            <w:vAlign w:val="center"/>
          </w:tcPr>
          <w:p>
            <w:pPr>
              <w:pStyle w:val="单元格样式2"/>
            </w:pPr>
            <w:r>
              <w:t xml:space="preserve">办公用房租赁</w:t>
            </w:r>
          </w:p>
        </w:tc>
        <w:tc>
          <w:tcPr>
            <w:tcW w:w="2268" w:type="dxa"/>
            <w:vAlign w:val="center"/>
          </w:tcPr>
          <w:p>
            <w:pPr>
              <w:pStyle w:val="单元格样式2"/>
            </w:pPr>
            <w:r>
              <w:t xml:space="preserve">1项</w:t>
            </w:r>
          </w:p>
        </w:tc>
        <w:tc>
          <w:tcPr>
            <w:tcW w:w="1276" w:type="dxa"/>
            <w:vAlign w:val="center"/>
          </w:tcPr>
          <w:p>
            <w:pPr>
              <w:pStyle w:val="单元格样式2"/>
            </w:pPr>
            <w:r>
              <w:t xml:space="preserve">保障社区租金正常拨付</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租赁费支付</w:t>
            </w:r>
          </w:p>
        </w:tc>
        <w:tc>
          <w:tcPr>
            <w:tcW w:w="5386" w:type="dxa"/>
            <w:vAlign w:val="center"/>
          </w:tcPr>
          <w:p>
            <w:pPr>
              <w:pStyle w:val="单元格样式2"/>
            </w:pPr>
            <w:r>
              <w:t xml:space="preserve">租赁费支付</w:t>
            </w:r>
          </w:p>
        </w:tc>
        <w:tc>
          <w:tcPr>
            <w:tcW w:w="2268" w:type="dxa"/>
            <w:vAlign w:val="center"/>
          </w:tcPr>
          <w:p>
            <w:pPr>
              <w:pStyle w:val="单元格样式2"/>
            </w:pPr>
            <w:r>
              <w:t xml:space="preserve">1次</w:t>
            </w:r>
          </w:p>
        </w:tc>
        <w:tc>
          <w:tcPr>
            <w:tcW w:w="1276" w:type="dxa"/>
            <w:vAlign w:val="center"/>
          </w:tcPr>
          <w:p>
            <w:pPr>
              <w:pStyle w:val="单元格样式2"/>
            </w:pPr>
            <w:r>
              <w:t xml:space="preserve">保障社区租金正常拨付</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租用办公用房所需经费</w:t>
            </w:r>
          </w:p>
        </w:tc>
        <w:tc>
          <w:tcPr>
            <w:tcW w:w="5386" w:type="dxa"/>
            <w:vAlign w:val="center"/>
          </w:tcPr>
          <w:p>
            <w:pPr>
              <w:pStyle w:val="单元格样式2"/>
            </w:pPr>
            <w:r>
              <w:t xml:space="preserve">租用办公用房所需经费</w:t>
            </w:r>
          </w:p>
        </w:tc>
        <w:tc>
          <w:tcPr>
            <w:tcW w:w="2268" w:type="dxa"/>
            <w:vAlign w:val="center"/>
          </w:tcPr>
          <w:p>
            <w:pPr>
              <w:pStyle w:val="单元格样式2"/>
            </w:pPr>
            <w:r>
              <w:t xml:space="preserve">1项</w:t>
            </w:r>
          </w:p>
        </w:tc>
        <w:tc>
          <w:tcPr>
            <w:tcW w:w="1276" w:type="dxa"/>
            <w:vAlign w:val="center"/>
          </w:tcPr>
          <w:p>
            <w:pPr>
              <w:pStyle w:val="单元格样式2"/>
            </w:pPr>
            <w:r>
              <w:t xml:space="preserve">保障社区租金正常拨付</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岗位配置率</w:t>
            </w:r>
          </w:p>
        </w:tc>
        <w:tc>
          <w:tcPr>
            <w:tcW w:w="5386" w:type="dxa"/>
            <w:vAlign w:val="center"/>
          </w:tcPr>
          <w:p>
            <w:pPr>
              <w:pStyle w:val="单元格样式2"/>
            </w:pPr>
            <w:r>
              <w:t xml:space="preserve">岗位配置率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社区岗位配置率大于95%</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社会影响力</w:t>
            </w:r>
          </w:p>
        </w:tc>
        <w:tc>
          <w:tcPr>
            <w:tcW w:w="2268" w:type="dxa"/>
            <w:vAlign w:val="center"/>
          </w:tcPr>
          <w:p>
            <w:pPr>
              <w:pStyle w:val="单元格样式2"/>
            </w:pPr>
            <w:r>
              <w:t xml:space="preserve">≥1000人次</w:t>
            </w:r>
          </w:p>
        </w:tc>
        <w:tc>
          <w:tcPr>
            <w:tcW w:w="1276" w:type="dxa"/>
            <w:vAlign w:val="center"/>
          </w:tcPr>
          <w:p>
            <w:pPr>
              <w:pStyle w:val="单元格样式2"/>
            </w:pPr>
            <w:r>
              <w:t xml:space="preserve">社区社会影响力不小于1000人次</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单位满意度</w:t>
            </w:r>
          </w:p>
        </w:tc>
        <w:tc>
          <w:tcPr>
            <w:tcW w:w="5386" w:type="dxa"/>
            <w:vAlign w:val="center"/>
          </w:tcPr>
          <w:p>
            <w:pPr>
              <w:pStyle w:val="单元格样式2"/>
            </w:pPr>
            <w:r>
              <w:t xml:space="preserve">单位满意度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保障社区租金正常拨付</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7、社区工作经费和党组织服务群众专项经费绩效目标表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13052526P00003510003L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社区工作经费和党组织服务群众专项经费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9个社区办公经费及服务群众专项经费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1.9个社区能够按时完成各项工作，并且妥善使用服务群众专项经费为民服务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宣讲、培训次数</w:t>
            </w:r>
          </w:p>
        </w:tc>
        <w:tc>
          <w:tcPr>
            <w:tcW w:w="5386" w:type="dxa"/>
            <w:vAlign w:val="center"/>
          </w:tcPr>
          <w:p>
            <w:pPr>
              <w:pStyle w:val="单元格样式2"/>
            </w:pPr>
            <w:r>
              <w:t xml:space="preserve">宣讲、培训次数</w:t>
            </w:r>
          </w:p>
        </w:tc>
        <w:tc>
          <w:tcPr>
            <w:tcW w:w="2268" w:type="dxa"/>
            <w:vAlign w:val="center"/>
          </w:tcPr>
          <w:p>
            <w:pPr>
              <w:pStyle w:val="单元格样式2"/>
            </w:pPr>
            <w:r>
              <w:t xml:space="preserve">≥90次</w:t>
            </w:r>
          </w:p>
        </w:tc>
        <w:tc>
          <w:tcPr>
            <w:tcW w:w="1276" w:type="dxa"/>
            <w:vAlign w:val="center"/>
          </w:tcPr>
          <w:p>
            <w:pPr>
              <w:pStyle w:val="单元格样式2"/>
            </w:pPr>
            <w:r>
              <w:t xml:space="preserve">县城9个社区全年开展各类活动达90次以上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活动圆满完成率</w:t>
            </w:r>
          </w:p>
        </w:tc>
        <w:tc>
          <w:tcPr>
            <w:tcW w:w="5386" w:type="dxa"/>
            <w:vAlign w:val="center"/>
          </w:tcPr>
          <w:p>
            <w:pPr>
              <w:pStyle w:val="单元格样式2"/>
            </w:pPr>
            <w:r>
              <w:t xml:space="preserve">活动圆满完成率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9个社区开展活动圆满完成率超90%以上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工作按时完成率</w:t>
            </w:r>
          </w:p>
        </w:tc>
        <w:tc>
          <w:tcPr>
            <w:tcW w:w="5386" w:type="dxa"/>
            <w:vAlign w:val="center"/>
          </w:tcPr>
          <w:p>
            <w:pPr>
              <w:pStyle w:val="单元格样式2"/>
            </w:pPr>
            <w:r>
              <w:t xml:space="preserve">工作按时完成率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9个社区能够按时完成各项工作完成率超90%</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经费使用率(%)</w:t>
            </w:r>
          </w:p>
        </w:tc>
        <w:tc>
          <w:tcPr>
            <w:tcW w:w="5386" w:type="dxa"/>
            <w:vAlign w:val="center"/>
          </w:tcPr>
          <w:p>
            <w:pPr>
              <w:pStyle w:val="单元格样式2"/>
            </w:pPr>
            <w:r>
              <w:t xml:space="preserve">经费使用率(%)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社区办公经费及服务群众专项经费合理使用率超90%</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≥90百分比</w:t>
            </w:r>
          </w:p>
        </w:tc>
        <w:tc>
          <w:tcPr>
            <w:tcW w:w="1276" w:type="dxa"/>
            <w:vAlign w:val="center"/>
          </w:tcPr>
          <w:p>
            <w:pPr>
              <w:pStyle w:val="单元格样式2"/>
            </w:pPr>
            <w:r>
              <w:t xml:space="preserve">社区办公经费及服务群众专项经费合理使用率超90%</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社会影响力</w:t>
            </w:r>
          </w:p>
        </w:tc>
        <w:tc>
          <w:tcPr>
            <w:tcW w:w="2268" w:type="dxa"/>
            <w:vAlign w:val="center"/>
          </w:tcPr>
          <w:p>
            <w:pPr>
              <w:pStyle w:val="单元格样式2"/>
            </w:pPr>
            <w:r>
              <w:t xml:space="preserve">≥90百分比</w:t>
            </w:r>
          </w:p>
        </w:tc>
        <w:tc>
          <w:tcPr>
            <w:tcW w:w="1276" w:type="dxa"/>
            <w:vAlign w:val="center"/>
          </w:tcPr>
          <w:p>
            <w:pPr>
              <w:pStyle w:val="单元格样式2"/>
            </w:pPr>
            <w:r>
              <w:t xml:space="preserve">开展各类活动达到社区居民影响力90%以上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促进生态文明建设，推动绿色发展</w:t>
            </w:r>
          </w:p>
        </w:tc>
        <w:tc>
          <w:tcPr>
            <w:tcW w:w="5386" w:type="dxa"/>
            <w:vAlign w:val="center"/>
          </w:tcPr>
          <w:p>
            <w:pPr>
              <w:pStyle w:val="单元格样式2"/>
            </w:pPr>
            <w:r>
              <w:t xml:space="preserve">促进生态文明建设，推动绿色发展和绿色生活方式</w:t>
            </w:r>
          </w:p>
        </w:tc>
        <w:tc>
          <w:tcPr>
            <w:tcW w:w="2268" w:type="dxa"/>
            <w:vAlign w:val="center"/>
          </w:tcPr>
          <w:p>
            <w:pPr>
              <w:pStyle w:val="单元格样式2"/>
            </w:pPr>
            <w:r>
              <w:t xml:space="preserve">≥90百分比</w:t>
            </w:r>
          </w:p>
        </w:tc>
        <w:tc>
          <w:tcPr>
            <w:tcW w:w="1276" w:type="dxa"/>
            <w:vAlign w:val="center"/>
          </w:tcPr>
          <w:p>
            <w:pPr>
              <w:pStyle w:val="单元格样式2"/>
            </w:pPr>
            <w:r>
              <w:t xml:space="preserve">助力文明小区、绿色建设，使县城文明小区、绿色小区完成率达到90%以上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帮扶宣讲持续发挥作用的期限</w:t>
            </w:r>
          </w:p>
        </w:tc>
        <w:tc>
          <w:tcPr>
            <w:tcW w:w="5386" w:type="dxa"/>
            <w:vAlign w:val="center"/>
          </w:tcPr>
          <w:p>
            <w:pPr>
              <w:pStyle w:val="单元格样式2"/>
            </w:pPr>
            <w:r>
              <w:t xml:space="preserve">帮扶宣讲持续发挥作用的期限</w:t>
            </w:r>
          </w:p>
        </w:tc>
        <w:tc>
          <w:tcPr>
            <w:tcW w:w="2268" w:type="dxa"/>
            <w:vAlign w:val="center"/>
          </w:tcPr>
          <w:p>
            <w:pPr>
              <w:pStyle w:val="单元格样式2"/>
            </w:pPr>
            <w:r>
              <w:t xml:space="preserve">1年</w:t>
            </w:r>
          </w:p>
        </w:tc>
        <w:tc>
          <w:tcPr>
            <w:tcW w:w="1276" w:type="dxa"/>
            <w:vAlign w:val="center"/>
          </w:tcPr>
          <w:p>
            <w:pPr>
              <w:pStyle w:val="单元格样式2"/>
            </w:pPr>
            <w:r>
              <w:t xml:space="preserve">9个社区全年开展帮扶宣讲活动</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9个社区服务的居民满意度超90%以上</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8、社区工作者绩效目标表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13052526P000012101893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社区工作者</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497.92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497.92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保障社区工作者工资及福利正常拨付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60%</w:t>
            </w:r>
          </w:p>
        </w:tc>
        <w:tc>
          <w:tcPr>
            <w:tcW w:w="2551" w:type="dxa"/>
            <w:vAlign w:val="center"/>
          </w:tcPr>
          <w:p>
            <w:pPr>
              <w:pStyle w:val="单元格样式3"/>
            </w:pPr>
            <w:r>
              <w:t xml:space="preserve">90%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1.按时足额发放社区工作者工资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支付在职人员经费</w:t>
            </w:r>
          </w:p>
        </w:tc>
        <w:tc>
          <w:tcPr>
            <w:tcW w:w="5386" w:type="dxa"/>
            <w:vAlign w:val="center"/>
          </w:tcPr>
          <w:p>
            <w:pPr>
              <w:pStyle w:val="单元格样式2"/>
            </w:pPr>
            <w:r>
              <w:t xml:space="preserve">支付在职人员经费</w:t>
            </w:r>
          </w:p>
        </w:tc>
        <w:tc>
          <w:tcPr>
            <w:tcW w:w="2268" w:type="dxa"/>
            <w:vAlign w:val="center"/>
          </w:tcPr>
          <w:p>
            <w:pPr>
              <w:pStyle w:val="单元格样式2"/>
            </w:pPr>
            <w:r>
              <w:t xml:space="preserve">≥95百分比</w:t>
            </w:r>
          </w:p>
        </w:tc>
        <w:tc>
          <w:tcPr>
            <w:tcW w:w="1276" w:type="dxa"/>
            <w:vAlign w:val="center"/>
          </w:tcPr>
          <w:p>
            <w:pPr>
              <w:pStyle w:val="单元格样式2"/>
            </w:pPr>
            <w:r>
              <w:t xml:space="preserve">及时支付在职社区工作者工资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各项支付工作完成率</w:t>
            </w:r>
          </w:p>
        </w:tc>
        <w:tc>
          <w:tcPr>
            <w:tcW w:w="5386" w:type="dxa"/>
            <w:vAlign w:val="center"/>
          </w:tcPr>
          <w:p>
            <w:pPr>
              <w:pStyle w:val="单元格样式2"/>
            </w:pPr>
            <w:r>
              <w:t xml:space="preserve">各项支付工作完成率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及时支付在职社区工作者工资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资金支付时限</w:t>
            </w:r>
          </w:p>
        </w:tc>
        <w:tc>
          <w:tcPr>
            <w:tcW w:w="5386" w:type="dxa"/>
            <w:vAlign w:val="center"/>
          </w:tcPr>
          <w:p>
            <w:pPr>
              <w:pStyle w:val="单元格样式2"/>
            </w:pPr>
            <w:r>
              <w:t xml:space="preserve">资金支付时限</w:t>
            </w:r>
          </w:p>
        </w:tc>
        <w:tc>
          <w:tcPr>
            <w:tcW w:w="2268" w:type="dxa"/>
            <w:vAlign w:val="center"/>
          </w:tcPr>
          <w:p>
            <w:pPr>
              <w:pStyle w:val="单元格样式2"/>
            </w:pPr>
            <w:r>
              <w:t xml:space="preserve">≥95百分比</w:t>
            </w:r>
          </w:p>
        </w:tc>
        <w:tc>
          <w:tcPr>
            <w:tcW w:w="1276" w:type="dxa"/>
            <w:vAlign w:val="center"/>
          </w:tcPr>
          <w:p>
            <w:pPr>
              <w:pStyle w:val="单元格样式2"/>
            </w:pPr>
            <w:r>
              <w:t xml:space="preserve">及时支付在职社区工作者工资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经费保证能力</w:t>
            </w:r>
          </w:p>
        </w:tc>
        <w:tc>
          <w:tcPr>
            <w:tcW w:w="5386" w:type="dxa"/>
            <w:vAlign w:val="center"/>
          </w:tcPr>
          <w:p>
            <w:pPr>
              <w:pStyle w:val="单元格样式2"/>
            </w:pPr>
            <w:r>
              <w:t xml:space="preserve">经费保证能力</w:t>
            </w:r>
          </w:p>
        </w:tc>
        <w:tc>
          <w:tcPr>
            <w:tcW w:w="2268" w:type="dxa"/>
            <w:vAlign w:val="center"/>
          </w:tcPr>
          <w:p>
            <w:pPr>
              <w:pStyle w:val="单元格样式2"/>
            </w:pPr>
            <w:r>
              <w:t xml:space="preserve">≥95百分比</w:t>
            </w:r>
          </w:p>
        </w:tc>
        <w:tc>
          <w:tcPr>
            <w:tcW w:w="1276" w:type="dxa"/>
            <w:vAlign w:val="center"/>
          </w:tcPr>
          <w:p>
            <w:pPr>
              <w:pStyle w:val="单元格样式2"/>
            </w:pPr>
            <w:r>
              <w:t xml:space="preserve">及时支付在职社区工作者工资</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人员队伍稳定率</w:t>
            </w:r>
          </w:p>
        </w:tc>
        <w:tc>
          <w:tcPr>
            <w:tcW w:w="5386" w:type="dxa"/>
            <w:vAlign w:val="center"/>
          </w:tcPr>
          <w:p>
            <w:pPr>
              <w:pStyle w:val="单元格样式2"/>
            </w:pPr>
            <w:r>
              <w:t xml:space="preserve">反映机关、事业单位人员队伍流入流出情况。</w:t>
            </w:r>
          </w:p>
        </w:tc>
        <w:tc>
          <w:tcPr>
            <w:tcW w:w="2268" w:type="dxa"/>
            <w:vAlign w:val="center"/>
          </w:tcPr>
          <w:p>
            <w:pPr>
              <w:pStyle w:val="单元格样式2"/>
            </w:pPr>
            <w:r>
              <w:t xml:space="preserve">≥90百分比</w:t>
            </w:r>
          </w:p>
        </w:tc>
        <w:tc>
          <w:tcPr>
            <w:tcW w:w="1276" w:type="dxa"/>
            <w:vAlign w:val="center"/>
          </w:tcPr>
          <w:p>
            <w:pPr>
              <w:pStyle w:val="单元格样式2"/>
            </w:pPr>
            <w:r>
              <w:t xml:space="preserve">保障社区工作者的配备稳定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岗位配置率</w:t>
            </w:r>
          </w:p>
          <w:p>
            <w:pPr>
              <w:pStyle w:val="单元格样式2"/>
            </w:pPr>
          </w:p>
        </w:tc>
        <w:tc>
          <w:tcPr>
            <w:tcW w:w="5386" w:type="dxa"/>
            <w:vAlign w:val="center"/>
          </w:tcPr>
          <w:p>
            <w:pPr>
              <w:pStyle w:val="单元格样式2"/>
            </w:pPr>
            <w:r>
              <w:t xml:space="preserve">岗位配置率</w:t>
            </w:r>
          </w:p>
          <w:p>
            <w:pPr>
              <w:pStyle w:val="单元格样式2"/>
            </w:pPr>
          </w:p>
        </w:tc>
        <w:tc>
          <w:tcPr>
            <w:tcW w:w="2268" w:type="dxa"/>
            <w:vAlign w:val="center"/>
          </w:tcPr>
          <w:p>
            <w:pPr>
              <w:pStyle w:val="单元格样式2"/>
            </w:pPr>
            <w:r>
              <w:t xml:space="preserve">≥95百分比</w:t>
            </w:r>
          </w:p>
        </w:tc>
        <w:tc>
          <w:tcPr>
            <w:tcW w:w="1276" w:type="dxa"/>
            <w:vAlign w:val="center"/>
          </w:tcPr>
          <w:p>
            <w:pPr>
              <w:pStyle w:val="单元格样式2"/>
            </w:pPr>
            <w:r>
              <w:t xml:space="preserve">保障社区工作者的配备稳定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人员满意度</w:t>
            </w:r>
          </w:p>
        </w:tc>
        <w:tc>
          <w:tcPr>
            <w:tcW w:w="5386" w:type="dxa"/>
            <w:vAlign w:val="center"/>
          </w:tcPr>
          <w:p>
            <w:pPr>
              <w:pStyle w:val="单元格样式2"/>
            </w:pPr>
            <w:r>
              <w:t xml:space="preserve">人员满意度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按时足额发放社区工作者工资</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817隆尧县社区建设服务中心</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隆尧县社区建设服务中心（含所属单位）上年末固定资产金额为0.00万元（详见下表）。本年度拟购置固定资产总额为0.00万元，已按要求列入政府采购预算，详见政府采购预算表。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817隆尧县社区建设服务中心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41</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2026-02-06T10:01:53Z</dcterms:created>
  <dcterms:modified xsi:type="dcterms:W3CDTF">2026-02-06T10:01:53Z</dcterms:modified>
</cp:coreProperties>
</file>