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center"/>
        <w:outlineLvl w:val="9"/>
      </w:pPr>
      <w:r>
        <w:rPr>
          <w:rFonts w:ascii="黑体" w:eastAsia="黑体" w:hAnsi="黑体" w:cs="黑体"/>
          <w:b/>
          <w:color w:val="000000"/>
          <w:sz w:val="30"/>
        </w:rPr>
        <w:t xml:space="preserve">第一部分  部门预算</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2</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4</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6</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11</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13</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15</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16</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27</w:t>
      </w:r>
      <w:r>
        <w:fldChar w:fldCharType="end"/>
      </w:r>
      <w:r>
        <w:fldChar w:fldCharType="end"/>
      </w:r>
    </w:p>
    <w:p>
      <w:r>
        <w:fldChar w:fldCharType="end"/>
      </w:r>
    </w:p>
    <w:p>
      <w:pPr>
        <w:spacing w:before="0" w:after="0" w:line="240" w:lineRule="auto"/>
        <w:ind w:firstLine="0"/>
        <w:jc w:val="center"/>
        <w:outlineLvl w:val="9"/>
      </w:pPr>
      <w:r>
        <w:rPr>
          <w:rFonts w:ascii="黑体" w:eastAsia="黑体" w:hAnsi="黑体" w:cs="黑体"/>
          <w:b/>
          <w:color w:val="000000"/>
          <w:sz w:val="30"/>
        </w:rPr>
        <w:t xml:space="preserve">第二部分  部门所属单位预算</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 xml:space="preserve">一、隆尧县人民代表大会常务委员会办公室本级收支预算</w:t>
      </w:r>
      <w:r>
        <w:tab/>
      </w:r>
      <w:r>
        <w:fldChar w:fldCharType="begin"/>
      </w:r>
      <w:r>
        <w:instrText xml:space="preserve">PAGEREF _Toc_4_4_0000000021 \h</w:instrText>
      </w:r>
      <w:r>
        <w:fldChar w:fldCharType="separate"/>
      </w:r>
      <w:r>
        <w:t xml:space="preserve">30</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footerReference w:type="even" r:id="rId3"/>
          <w:footerReference w:type="default" r:id="rId4"/>
          <w:type w:val="nextPage"/>
          <w:pgSz w:w="16840" w:h="11900" w:orient="landscape"/>
          <w:pgMar w:top="1361" w:right="1020" w:bottom="1134" w:left="1020" w:header="720" w:footer="720" w:gutter="0"/>
          <w:pgNumType w:start="1"/>
        </w:sectPr>
      </w:pPr>
      <w:r>
        <w:rPr>
          <w:rFonts w:ascii="方正小标宋_GBK" w:eastAsia="方正小标宋_GBK" w:hAnsi="方正小标宋_GBK" w:cs="方正小标宋_GBK"/>
          <w:color w:val="000000"/>
          <w:sz w:val="72"/>
        </w:rPr>
        <w:t xml:space="preserve">第一部分  部门预算</w:t>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431.14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369.52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28.20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13.03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20.38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431.14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431.14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431.14</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431.14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431.14</w:t>
            </w:r>
          </w:p>
        </w:tc>
        <w:tc>
          <w:tcPr>
            <w:tcW w:w="1134" w:type="dxa"/>
            <w:vAlign w:val="center"/>
          </w:tcPr>
          <w:p>
            <w:pPr>
              <w:pStyle w:val="单元格样式7"/>
            </w:pPr>
            <w:r>
              <w:t xml:space="preserve">431.14</w:t>
            </w:r>
          </w:p>
        </w:tc>
        <w:tc>
          <w:tcPr>
            <w:tcW w:w="1134" w:type="dxa"/>
            <w:vAlign w:val="center"/>
          </w:tcPr>
          <w:p>
            <w:pPr>
              <w:pStyle w:val="单元格样式7"/>
            </w:pPr>
            <w:r>
              <w:t xml:space="preserve">431.14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334.85</w:t>
            </w:r>
          </w:p>
        </w:tc>
        <w:tc>
          <w:tcPr>
            <w:tcW w:w="1134" w:type="dxa"/>
            <w:vAlign w:val="center"/>
          </w:tcPr>
          <w:p>
            <w:pPr>
              <w:pStyle w:val="单元格样式4"/>
            </w:pPr>
            <w:r>
              <w:t xml:space="preserve">334.85</w:t>
            </w:r>
          </w:p>
        </w:tc>
        <w:tc>
          <w:tcPr>
            <w:tcW w:w="1134" w:type="dxa"/>
            <w:vAlign w:val="center"/>
          </w:tcPr>
          <w:p>
            <w:pPr>
              <w:pStyle w:val="单元格样式4"/>
            </w:pPr>
            <w:r>
              <w:t xml:space="preserve">334.85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2010104</w:t>
            </w:r>
          </w:p>
        </w:tc>
        <w:tc>
          <w:tcPr>
            <w:tcW w:w="1559" w:type="dxa"/>
            <w:vAlign w:val="center"/>
          </w:tcPr>
          <w:p>
            <w:pPr>
              <w:pStyle w:val="单元格样式2"/>
            </w:pPr>
            <w:r>
              <w:t xml:space="preserve">人大会议</w:t>
            </w:r>
          </w:p>
        </w:tc>
        <w:tc>
          <w:tcPr>
            <w:tcW w:w="1134" w:type="dxa"/>
            <w:vAlign w:val="center"/>
          </w:tcPr>
          <w:p>
            <w:pPr>
              <w:pStyle w:val="单元格样式4"/>
            </w:pPr>
            <w:r>
              <w:t xml:space="preserve">32.67</w:t>
            </w:r>
          </w:p>
        </w:tc>
        <w:tc>
          <w:tcPr>
            <w:tcW w:w="1134" w:type="dxa"/>
            <w:vAlign w:val="center"/>
          </w:tcPr>
          <w:p>
            <w:pPr>
              <w:pStyle w:val="单元格样式4"/>
            </w:pPr>
            <w:r>
              <w:t xml:space="preserve">32.67</w:t>
            </w:r>
          </w:p>
        </w:tc>
        <w:tc>
          <w:tcPr>
            <w:tcW w:w="1134" w:type="dxa"/>
            <w:vAlign w:val="center"/>
          </w:tcPr>
          <w:p>
            <w:pPr>
              <w:pStyle w:val="单元格样式4"/>
            </w:pPr>
            <w:r>
              <w:t xml:space="preserve">32.67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431.14</w:t>
            </w:r>
          </w:p>
        </w:tc>
        <w:tc>
          <w:tcPr>
            <w:tcW w:w="1361" w:type="dxa"/>
            <w:vAlign w:val="center"/>
          </w:tcPr>
          <w:p>
            <w:pPr>
              <w:pStyle w:val="单元格样式7"/>
            </w:pPr>
            <w:r>
              <w:t xml:space="preserve">327.79</w:t>
            </w:r>
          </w:p>
        </w:tc>
        <w:tc>
          <w:tcPr>
            <w:tcW w:w="1361" w:type="dxa"/>
            <w:vAlign w:val="center"/>
          </w:tcPr>
          <w:p>
            <w:pPr>
              <w:pStyle w:val="单元格样式7"/>
            </w:pPr>
            <w:r>
              <w:t xml:space="preserve">103.34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369.52</w:t>
            </w:r>
          </w:p>
        </w:tc>
        <w:tc>
          <w:tcPr>
            <w:tcW w:w="1361" w:type="dxa"/>
            <w:vAlign w:val="center"/>
          </w:tcPr>
          <w:p>
            <w:pPr>
              <w:pStyle w:val="单元格样式4"/>
            </w:pPr>
            <w:r>
              <w:t xml:space="preserve">266.18</w:t>
            </w:r>
          </w:p>
        </w:tc>
        <w:tc>
          <w:tcPr>
            <w:tcW w:w="1361" w:type="dxa"/>
            <w:vAlign w:val="center"/>
          </w:tcPr>
          <w:p>
            <w:pPr>
              <w:pStyle w:val="单元格样式4"/>
            </w:pPr>
            <w:r>
              <w:t xml:space="preserve">103.34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369.52</w:t>
            </w:r>
          </w:p>
        </w:tc>
        <w:tc>
          <w:tcPr>
            <w:tcW w:w="1361" w:type="dxa"/>
            <w:vAlign w:val="center"/>
          </w:tcPr>
          <w:p>
            <w:pPr>
              <w:pStyle w:val="单元格样式4"/>
            </w:pPr>
            <w:r>
              <w:t xml:space="preserve">266.18</w:t>
            </w:r>
          </w:p>
        </w:tc>
        <w:tc>
          <w:tcPr>
            <w:tcW w:w="1361" w:type="dxa"/>
            <w:vAlign w:val="center"/>
          </w:tcPr>
          <w:p>
            <w:pPr>
              <w:pStyle w:val="单元格样式4"/>
            </w:pPr>
            <w:r>
              <w:t xml:space="preserve">103.34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334.85</w:t>
            </w:r>
          </w:p>
        </w:tc>
        <w:tc>
          <w:tcPr>
            <w:tcW w:w="1361" w:type="dxa"/>
            <w:vAlign w:val="center"/>
          </w:tcPr>
          <w:p>
            <w:pPr>
              <w:pStyle w:val="单元格样式4"/>
            </w:pPr>
            <w:r>
              <w:t xml:space="preserve">266.18</w:t>
            </w:r>
          </w:p>
        </w:tc>
        <w:tc>
          <w:tcPr>
            <w:tcW w:w="1361" w:type="dxa"/>
            <w:vAlign w:val="center"/>
          </w:tcPr>
          <w:p>
            <w:pPr>
              <w:pStyle w:val="单元格样式4"/>
            </w:pPr>
            <w:r>
              <w:t xml:space="preserve">68.67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1361" w:type="dxa"/>
            <w:vAlign w:val="center"/>
          </w:tcPr>
          <w:p>
            <w:pPr>
              <w:pStyle w:val="单元格样式4"/>
            </w:pPr>
            <w:r>
              <w:t xml:space="preserve">32.67</w:t>
            </w:r>
          </w:p>
        </w:tc>
        <w:tc>
          <w:tcPr>
            <w:tcW w:w="1361" w:type="dxa"/>
            <w:vAlign w:val="center"/>
          </w:tcPr>
          <w:p>
            <w:pPr>
              <w:pStyle w:val="单元格样式4"/>
            </w:pPr>
          </w:p>
        </w:tc>
        <w:tc>
          <w:tcPr>
            <w:tcW w:w="1361" w:type="dxa"/>
            <w:vAlign w:val="center"/>
          </w:tcPr>
          <w:p>
            <w:pPr>
              <w:pStyle w:val="单元格样式4"/>
            </w:pPr>
            <w:r>
              <w:t xml:space="preserve">32.67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431.14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369.52</w:t>
            </w:r>
          </w:p>
        </w:tc>
        <w:tc>
          <w:tcPr>
            <w:tcW w:w="1474" w:type="dxa"/>
            <w:vAlign w:val="center"/>
          </w:tcPr>
          <w:p>
            <w:pPr>
              <w:pStyle w:val="单元格样式4"/>
            </w:pPr>
            <w:r>
              <w:t xml:space="preserve">369.52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28.20</w:t>
            </w:r>
          </w:p>
        </w:tc>
        <w:tc>
          <w:tcPr>
            <w:tcW w:w="1474" w:type="dxa"/>
            <w:vAlign w:val="center"/>
          </w:tcPr>
          <w:p>
            <w:pPr>
              <w:pStyle w:val="单元格样式4"/>
            </w:pPr>
            <w:r>
              <w:t xml:space="preserve">28.20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13.03</w:t>
            </w:r>
          </w:p>
        </w:tc>
        <w:tc>
          <w:tcPr>
            <w:tcW w:w="1474" w:type="dxa"/>
            <w:vAlign w:val="center"/>
          </w:tcPr>
          <w:p>
            <w:pPr>
              <w:pStyle w:val="单元格样式4"/>
            </w:pPr>
            <w:r>
              <w:t xml:space="preserve">13.03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20.38</w:t>
            </w:r>
          </w:p>
        </w:tc>
        <w:tc>
          <w:tcPr>
            <w:tcW w:w="1474" w:type="dxa"/>
            <w:vAlign w:val="center"/>
          </w:tcPr>
          <w:p>
            <w:pPr>
              <w:pStyle w:val="单元格样式4"/>
            </w:pPr>
            <w:r>
              <w:t xml:space="preserve">20.38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431.14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431.14</w:t>
            </w:r>
          </w:p>
        </w:tc>
        <w:tc>
          <w:tcPr>
            <w:tcW w:w="1474" w:type="dxa"/>
            <w:vAlign w:val="center"/>
          </w:tcPr>
          <w:p>
            <w:pPr>
              <w:pStyle w:val="单元格样式7"/>
            </w:pPr>
            <w:r>
              <w:t xml:space="preserve">431.14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431.14</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431.14</w:t>
            </w:r>
          </w:p>
        </w:tc>
        <w:tc>
          <w:tcPr>
            <w:tcW w:w="1474" w:type="dxa"/>
            <w:vAlign w:val="center"/>
          </w:tcPr>
          <w:p>
            <w:pPr>
              <w:pStyle w:val="单元格样式7"/>
            </w:pPr>
            <w:r>
              <w:t xml:space="preserve">431.14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431.14</w:t>
            </w:r>
          </w:p>
        </w:tc>
        <w:tc>
          <w:tcPr>
            <w:tcW w:w="2551" w:type="dxa"/>
            <w:vAlign w:val="center"/>
          </w:tcPr>
          <w:p>
            <w:pPr>
              <w:pStyle w:val="单元格样式7"/>
            </w:pPr>
            <w:r>
              <w:t xml:space="preserve">327.79</w:t>
            </w:r>
          </w:p>
        </w:tc>
        <w:tc>
          <w:tcPr>
            <w:tcW w:w="2551" w:type="dxa"/>
            <w:vAlign w:val="center"/>
          </w:tcPr>
          <w:p>
            <w:pPr>
              <w:pStyle w:val="单元格样式7"/>
            </w:pPr>
            <w:r>
              <w:t xml:space="preserve">103.34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369.52</w:t>
            </w:r>
          </w:p>
        </w:tc>
        <w:tc>
          <w:tcPr>
            <w:tcW w:w="2551" w:type="dxa"/>
            <w:vAlign w:val="center"/>
          </w:tcPr>
          <w:p>
            <w:pPr>
              <w:pStyle w:val="单元格样式4"/>
            </w:pPr>
            <w:r>
              <w:t xml:space="preserve">266.18</w:t>
            </w:r>
          </w:p>
        </w:tc>
        <w:tc>
          <w:tcPr>
            <w:tcW w:w="2551" w:type="dxa"/>
            <w:vAlign w:val="center"/>
          </w:tcPr>
          <w:p>
            <w:pPr>
              <w:pStyle w:val="单元格样式4"/>
            </w:pPr>
            <w:r>
              <w:t xml:space="preserve">103.34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369.52</w:t>
            </w:r>
          </w:p>
        </w:tc>
        <w:tc>
          <w:tcPr>
            <w:tcW w:w="2551" w:type="dxa"/>
            <w:vAlign w:val="center"/>
          </w:tcPr>
          <w:p>
            <w:pPr>
              <w:pStyle w:val="单元格样式4"/>
            </w:pPr>
            <w:r>
              <w:t xml:space="preserve">266.18</w:t>
            </w:r>
          </w:p>
        </w:tc>
        <w:tc>
          <w:tcPr>
            <w:tcW w:w="2551" w:type="dxa"/>
            <w:vAlign w:val="center"/>
          </w:tcPr>
          <w:p>
            <w:pPr>
              <w:pStyle w:val="单元格样式4"/>
            </w:pPr>
            <w:r>
              <w:t xml:space="preserve">103.34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334.85</w:t>
            </w:r>
          </w:p>
        </w:tc>
        <w:tc>
          <w:tcPr>
            <w:tcW w:w="2551" w:type="dxa"/>
            <w:vAlign w:val="center"/>
          </w:tcPr>
          <w:p>
            <w:pPr>
              <w:pStyle w:val="单元格样式4"/>
            </w:pPr>
            <w:r>
              <w:t xml:space="preserve">266.18</w:t>
            </w:r>
          </w:p>
        </w:tc>
        <w:tc>
          <w:tcPr>
            <w:tcW w:w="2551" w:type="dxa"/>
            <w:vAlign w:val="center"/>
          </w:tcPr>
          <w:p>
            <w:pPr>
              <w:pStyle w:val="单元格样式4"/>
            </w:pPr>
            <w:r>
              <w:t xml:space="preserve">68.67</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2551" w:type="dxa"/>
            <w:vAlign w:val="center"/>
          </w:tcPr>
          <w:p>
            <w:pPr>
              <w:pStyle w:val="单元格样式4"/>
            </w:pPr>
            <w:r>
              <w:t xml:space="preserve">32.67</w:t>
            </w:r>
          </w:p>
        </w:tc>
        <w:tc>
          <w:tcPr>
            <w:tcW w:w="2551" w:type="dxa"/>
            <w:vAlign w:val="center"/>
          </w:tcPr>
          <w:p>
            <w:pPr>
              <w:pStyle w:val="单元格样式4"/>
            </w:pPr>
          </w:p>
        </w:tc>
        <w:tc>
          <w:tcPr>
            <w:tcW w:w="2551" w:type="dxa"/>
            <w:vAlign w:val="center"/>
          </w:tcPr>
          <w:p>
            <w:pPr>
              <w:pStyle w:val="单元格样式4"/>
            </w:pPr>
            <w:r>
              <w:t xml:space="preserve">32.67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327.79</w:t>
            </w:r>
          </w:p>
        </w:tc>
        <w:tc>
          <w:tcPr>
            <w:tcW w:w="2551" w:type="dxa"/>
            <w:vAlign w:val="center"/>
          </w:tcPr>
          <w:p>
            <w:pPr>
              <w:pStyle w:val="单元格样式7"/>
            </w:pPr>
            <w:r>
              <w:t xml:space="preserve">302.24</w:t>
            </w:r>
          </w:p>
        </w:tc>
        <w:tc>
          <w:tcPr>
            <w:tcW w:w="2551" w:type="dxa"/>
            <w:vAlign w:val="center"/>
          </w:tcPr>
          <w:p>
            <w:pPr>
              <w:pStyle w:val="单元格样式7"/>
            </w:pPr>
            <w:r>
              <w:t xml:space="preserve">25.55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262.35</w:t>
            </w:r>
          </w:p>
        </w:tc>
        <w:tc>
          <w:tcPr>
            <w:tcW w:w="2551" w:type="dxa"/>
            <w:vAlign w:val="center"/>
          </w:tcPr>
          <w:p>
            <w:pPr>
              <w:pStyle w:val="单元格样式4"/>
            </w:pPr>
            <w:r>
              <w:t xml:space="preserve">262.35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114.91</w:t>
            </w:r>
          </w:p>
        </w:tc>
        <w:tc>
          <w:tcPr>
            <w:tcW w:w="2551" w:type="dxa"/>
            <w:vAlign w:val="center"/>
          </w:tcPr>
          <w:p>
            <w:pPr>
              <w:pStyle w:val="单元格样式4"/>
            </w:pPr>
            <w:r>
              <w:t xml:space="preserve">114.91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39.08</w:t>
            </w:r>
          </w:p>
        </w:tc>
        <w:tc>
          <w:tcPr>
            <w:tcW w:w="2551" w:type="dxa"/>
            <w:vAlign w:val="center"/>
          </w:tcPr>
          <w:p>
            <w:pPr>
              <w:pStyle w:val="单元格样式4"/>
            </w:pPr>
            <w:r>
              <w:t xml:space="preserve">39.08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20.32</w:t>
            </w:r>
          </w:p>
        </w:tc>
        <w:tc>
          <w:tcPr>
            <w:tcW w:w="2551" w:type="dxa"/>
            <w:vAlign w:val="center"/>
          </w:tcPr>
          <w:p>
            <w:pPr>
              <w:pStyle w:val="单元格样式4"/>
            </w:pPr>
            <w:r>
              <w:t xml:space="preserve">20.32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25.43</w:t>
            </w:r>
          </w:p>
        </w:tc>
        <w:tc>
          <w:tcPr>
            <w:tcW w:w="2551" w:type="dxa"/>
            <w:vAlign w:val="center"/>
          </w:tcPr>
          <w:p>
            <w:pPr>
              <w:pStyle w:val="单元格样式4"/>
            </w:pPr>
            <w:r>
              <w:t xml:space="preserve">25.43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1.01</w:t>
            </w:r>
          </w:p>
        </w:tc>
        <w:tc>
          <w:tcPr>
            <w:tcW w:w="2551" w:type="dxa"/>
            <w:vAlign w:val="center"/>
          </w:tcPr>
          <w:p>
            <w:pPr>
              <w:pStyle w:val="单元格样式4"/>
            </w:pPr>
            <w:r>
              <w:t xml:space="preserve">1.01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25.55</w:t>
            </w:r>
          </w:p>
        </w:tc>
        <w:tc>
          <w:tcPr>
            <w:tcW w:w="2551" w:type="dxa"/>
            <w:vAlign w:val="center"/>
          </w:tcPr>
          <w:p>
            <w:pPr>
              <w:pStyle w:val="单元格样式4"/>
            </w:pPr>
          </w:p>
        </w:tc>
        <w:tc>
          <w:tcPr>
            <w:tcW w:w="2551" w:type="dxa"/>
            <w:vAlign w:val="center"/>
          </w:tcPr>
          <w:p>
            <w:pPr>
              <w:pStyle w:val="单元格样式4"/>
            </w:pPr>
            <w:r>
              <w:t xml:space="preserve">25.55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4.35</w:t>
            </w:r>
          </w:p>
        </w:tc>
        <w:tc>
          <w:tcPr>
            <w:tcW w:w="2551" w:type="dxa"/>
            <w:vAlign w:val="center"/>
          </w:tcPr>
          <w:p>
            <w:pPr>
              <w:pStyle w:val="单元格样式4"/>
            </w:pPr>
          </w:p>
        </w:tc>
        <w:tc>
          <w:tcPr>
            <w:tcW w:w="2551" w:type="dxa"/>
            <w:vAlign w:val="center"/>
          </w:tcPr>
          <w:p>
            <w:pPr>
              <w:pStyle w:val="单元格样式4"/>
            </w:pPr>
            <w:r>
              <w:t xml:space="preserve">4.35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0.21</w:t>
            </w:r>
          </w:p>
        </w:tc>
        <w:tc>
          <w:tcPr>
            <w:tcW w:w="2551" w:type="dxa"/>
            <w:vAlign w:val="center"/>
          </w:tcPr>
          <w:p>
            <w:pPr>
              <w:pStyle w:val="单元格样式4"/>
            </w:pPr>
          </w:p>
        </w:tc>
        <w:tc>
          <w:tcPr>
            <w:tcW w:w="2551" w:type="dxa"/>
            <w:vAlign w:val="center"/>
          </w:tcPr>
          <w:p>
            <w:pPr>
              <w:pStyle w:val="单元格样式4"/>
            </w:pPr>
            <w:r>
              <w:t xml:space="preserve">0.21</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0.66</w:t>
            </w:r>
          </w:p>
        </w:tc>
        <w:tc>
          <w:tcPr>
            <w:tcW w:w="2551" w:type="dxa"/>
            <w:vAlign w:val="center"/>
          </w:tcPr>
          <w:p>
            <w:pPr>
              <w:pStyle w:val="单元格样式4"/>
            </w:pPr>
          </w:p>
        </w:tc>
        <w:tc>
          <w:tcPr>
            <w:tcW w:w="2551" w:type="dxa"/>
            <w:vAlign w:val="center"/>
          </w:tcPr>
          <w:p>
            <w:pPr>
              <w:pStyle w:val="单元格样式4"/>
            </w:pPr>
            <w:r>
              <w:t xml:space="preserve">0.66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17.63</w:t>
            </w:r>
          </w:p>
        </w:tc>
        <w:tc>
          <w:tcPr>
            <w:tcW w:w="2551" w:type="dxa"/>
            <w:vAlign w:val="center"/>
          </w:tcPr>
          <w:p>
            <w:pPr>
              <w:pStyle w:val="单元格样式4"/>
            </w:pPr>
          </w:p>
        </w:tc>
        <w:tc>
          <w:tcPr>
            <w:tcW w:w="2551" w:type="dxa"/>
            <w:vAlign w:val="center"/>
          </w:tcPr>
          <w:p>
            <w:pPr>
              <w:pStyle w:val="单元格样式4"/>
            </w:pPr>
            <w:r>
              <w:t xml:space="preserve">17.63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39.89</w:t>
            </w:r>
          </w:p>
        </w:tc>
        <w:tc>
          <w:tcPr>
            <w:tcW w:w="2551" w:type="dxa"/>
            <w:vAlign w:val="center"/>
          </w:tcPr>
          <w:p>
            <w:pPr>
              <w:pStyle w:val="单元格样式4"/>
            </w:pPr>
            <w:r>
              <w:t xml:space="preserve">39.89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38.81</w:t>
            </w:r>
          </w:p>
        </w:tc>
        <w:tc>
          <w:tcPr>
            <w:tcW w:w="2551" w:type="dxa"/>
            <w:vAlign w:val="center"/>
          </w:tcPr>
          <w:p>
            <w:pPr>
              <w:pStyle w:val="单元格样式4"/>
            </w:pPr>
            <w:r>
              <w:t xml:space="preserve">38.81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1.08</w:t>
            </w:r>
          </w:p>
        </w:tc>
        <w:tc>
          <w:tcPr>
            <w:tcW w:w="2551" w:type="dxa"/>
            <w:vAlign w:val="center"/>
          </w:tcPr>
          <w:p>
            <w:pPr>
              <w:pStyle w:val="单元格样式4"/>
            </w:pPr>
            <w:r>
              <w:t xml:space="preserve">1.08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隆尧县人民代表大会常务委员会办公室2026年部门预算信息公开情况说明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隆尧县人民代表大会常务委员会办公室2026年部门预算信息公开情况说明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按照《中华人民共和国预算法》、《地方预决算公开操作规程》和《关于进一步推进预算公开工作的实施意见》规定，现将隆尧县人民代表大会常务委员会办公室2026年部门预算公开如下：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隆尧县人民代表大会常务委员会办公室本级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反映本部门当年全部收入。2026年预算收入431.14万元，其中：一般公共预算收入431.141万元，基金预算收入0万元，国有资本经营预算收入0万元，财政专户核拨收入0万元，单位资金收入0万元，上年结转结余0万元。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隆尧县人民代表大会常务委员会办公室年度部门预算中支出预算的总体情况。2026年支出预算431.14万元，其中基本支出327.79万元，包括人员经费302.24万元和日常公用经费25.55万元；项目支出10.3.34万元，主要为县人大会议费、代表活动费、常委会会议等项目工作支出。</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2026年预算收支安排431.14万元，较2025年预算增加15.33万元，主要为增加物业费等部分项目支出。</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2026年，我部门运行经费共计安排25.55万元，主要用于办公费、公务交通补贴等支出。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0万元，其中因公出国（境）费0万元；公务用车购置及运维费0万元（其中：公务用车购置费为0万元，公务用车运行维护费0万元)；公务接待费0万元。较2025年持平，主要是按照中央八项规定精神，严格压减三公经费。</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1、人大专项工作经费绩效目标表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13052526P00000110099Q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人大专项工作经费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保障机关运行经费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1.按时完成年度计划既定目标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会议、调研人数</w:t>
            </w:r>
          </w:p>
        </w:tc>
        <w:tc>
          <w:tcPr>
            <w:tcW w:w="5386" w:type="dxa"/>
            <w:vAlign w:val="center"/>
          </w:tcPr>
          <w:p>
            <w:pPr>
              <w:pStyle w:val="单元格样式2"/>
            </w:pPr>
            <w:r>
              <w:t xml:space="preserve">会议、调研人数</w:t>
            </w:r>
          </w:p>
        </w:tc>
        <w:tc>
          <w:tcPr>
            <w:tcW w:w="2268" w:type="dxa"/>
            <w:vAlign w:val="center"/>
          </w:tcPr>
          <w:p>
            <w:pPr>
              <w:pStyle w:val="单元格样式2"/>
            </w:pPr>
            <w:r>
              <w:t xml:space="preserve">≥200人</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会议费人均标准符合率</w:t>
            </w:r>
          </w:p>
        </w:tc>
        <w:tc>
          <w:tcPr>
            <w:tcW w:w="5386" w:type="dxa"/>
            <w:vAlign w:val="center"/>
          </w:tcPr>
          <w:p>
            <w:pPr>
              <w:pStyle w:val="单元格样式2"/>
            </w:pPr>
            <w:r>
              <w:t xml:space="preserve">会议费人均标准符合率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数据统计工作上报时限；国有资产日常管理业务时限</w:t>
            </w:r>
          </w:p>
        </w:tc>
        <w:tc>
          <w:tcPr>
            <w:tcW w:w="2268" w:type="dxa"/>
            <w:vAlign w:val="center"/>
          </w:tcPr>
          <w:p>
            <w:pPr>
              <w:pStyle w:val="单元格样式2"/>
            </w:pPr>
            <w:r>
              <w:t xml:space="preserve">≤1年</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2、十六届六次会议绩效目标表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13052526P00000410002M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十六届六次会议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十六届六次人大会议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1.顺利完成十六届六次会议安排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相关会议次数</w:t>
            </w:r>
          </w:p>
        </w:tc>
        <w:tc>
          <w:tcPr>
            <w:tcW w:w="5386" w:type="dxa"/>
            <w:vAlign w:val="center"/>
          </w:tcPr>
          <w:p>
            <w:pPr>
              <w:pStyle w:val="单元格样式2"/>
            </w:pPr>
            <w:r>
              <w:t xml:space="preserve">相关会议次数</w:t>
            </w:r>
          </w:p>
        </w:tc>
        <w:tc>
          <w:tcPr>
            <w:tcW w:w="2268" w:type="dxa"/>
            <w:vAlign w:val="center"/>
          </w:tcPr>
          <w:p>
            <w:pPr>
              <w:pStyle w:val="单元格样式2"/>
            </w:pPr>
            <w:r>
              <w:t xml:space="preserve">1次</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项目实施满意度</w:t>
            </w:r>
          </w:p>
        </w:tc>
        <w:tc>
          <w:tcPr>
            <w:tcW w:w="5386" w:type="dxa"/>
            <w:vAlign w:val="center"/>
          </w:tcPr>
          <w:p>
            <w:pPr>
              <w:pStyle w:val="单元格样式2"/>
            </w:pPr>
            <w:r>
              <w:t xml:space="preserve">项目实施满意度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3、十六届七次会议绩效目标表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13052526P00000410019T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十六届七次会议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十六届人大其次会议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1.按时完成隆尧县十六届七次会议安排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培训、会议天数（天）</w:t>
            </w:r>
          </w:p>
        </w:tc>
        <w:tc>
          <w:tcPr>
            <w:tcW w:w="5386" w:type="dxa"/>
            <w:vAlign w:val="center"/>
          </w:tcPr>
          <w:p>
            <w:pPr>
              <w:pStyle w:val="单元格样式2"/>
            </w:pPr>
            <w:r>
              <w:t xml:space="preserve">培训、会议天数（天）</w:t>
            </w:r>
          </w:p>
        </w:tc>
        <w:tc>
          <w:tcPr>
            <w:tcW w:w="2268" w:type="dxa"/>
            <w:vAlign w:val="center"/>
          </w:tcPr>
          <w:p>
            <w:pPr>
              <w:pStyle w:val="单元格样式2"/>
            </w:pPr>
            <w:r>
              <w:t xml:space="preserve">3天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会议效果良好率</w:t>
            </w:r>
          </w:p>
        </w:tc>
        <w:tc>
          <w:tcPr>
            <w:tcW w:w="5386" w:type="dxa"/>
            <w:vAlign w:val="center"/>
          </w:tcPr>
          <w:p>
            <w:pPr>
              <w:pStyle w:val="单元格样式2"/>
            </w:pPr>
            <w:r>
              <w:t xml:space="preserve">会议效果良好率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会议完成时限</w:t>
            </w:r>
          </w:p>
        </w:tc>
        <w:tc>
          <w:tcPr>
            <w:tcW w:w="5386" w:type="dxa"/>
            <w:vAlign w:val="center"/>
          </w:tcPr>
          <w:p>
            <w:pPr>
              <w:pStyle w:val="单元格样式2"/>
            </w:pPr>
            <w:r>
              <w:t xml:space="preserve">会议完成时限</w:t>
            </w:r>
          </w:p>
        </w:tc>
        <w:tc>
          <w:tcPr>
            <w:tcW w:w="2268" w:type="dxa"/>
            <w:vAlign w:val="center"/>
          </w:tcPr>
          <w:p>
            <w:pPr>
              <w:pStyle w:val="单元格样式2"/>
            </w:pPr>
            <w:r>
              <w:t xml:space="preserve">3天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会议人均成本</w:t>
            </w:r>
          </w:p>
        </w:tc>
        <w:tc>
          <w:tcPr>
            <w:tcW w:w="5386" w:type="dxa"/>
            <w:vAlign w:val="center"/>
          </w:tcPr>
          <w:p>
            <w:pPr>
              <w:pStyle w:val="单元格样式2"/>
            </w:pPr>
            <w:r>
              <w:t xml:space="preserve">会议人均成本</w:t>
            </w:r>
          </w:p>
        </w:tc>
        <w:tc>
          <w:tcPr>
            <w:tcW w:w="2268" w:type="dxa"/>
            <w:vAlign w:val="center"/>
          </w:tcPr>
          <w:p>
            <w:pPr>
              <w:pStyle w:val="单元格样式2"/>
            </w:pPr>
            <w:r>
              <w:t xml:space="preserve">≤20百分比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4、物业管理费绩效目标表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13052526P00000110100N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保障机关正常运行物业管理费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1.按时完成机关制定的既定目标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物业服务面积</w:t>
            </w:r>
          </w:p>
        </w:tc>
        <w:tc>
          <w:tcPr>
            <w:tcW w:w="5386" w:type="dxa"/>
            <w:vAlign w:val="center"/>
          </w:tcPr>
          <w:p>
            <w:pPr>
              <w:pStyle w:val="单元格样式2"/>
            </w:pPr>
            <w:r>
              <w:t xml:space="preserve">物业服务面积</w:t>
            </w:r>
          </w:p>
        </w:tc>
        <w:tc>
          <w:tcPr>
            <w:tcW w:w="2268" w:type="dxa"/>
            <w:vAlign w:val="center"/>
          </w:tcPr>
          <w:p>
            <w:pPr>
              <w:pStyle w:val="单元格样式2"/>
            </w:pPr>
            <w:r>
              <w:t xml:space="preserve">100机关办公面积</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保证工作正常开展</w:t>
            </w:r>
          </w:p>
        </w:tc>
        <w:tc>
          <w:tcPr>
            <w:tcW w:w="5386" w:type="dxa"/>
            <w:vAlign w:val="center"/>
          </w:tcPr>
          <w:p>
            <w:pPr>
              <w:pStyle w:val="单元格样式2"/>
            </w:pPr>
            <w:r>
              <w:t xml:space="preserve">保证工作正常开展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保障设备正常运行</w:t>
            </w:r>
          </w:p>
        </w:tc>
        <w:tc>
          <w:tcPr>
            <w:tcW w:w="5386" w:type="dxa"/>
            <w:vAlign w:val="center"/>
          </w:tcPr>
          <w:p>
            <w:pPr>
              <w:pStyle w:val="单元格样式2"/>
            </w:pPr>
            <w:r>
              <w:t xml:space="preserve">保障设备正常运行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加强节约集约利用，促进生态文明</w:t>
            </w:r>
          </w:p>
        </w:tc>
        <w:tc>
          <w:tcPr>
            <w:tcW w:w="5386" w:type="dxa"/>
            <w:vAlign w:val="center"/>
          </w:tcPr>
          <w:p>
            <w:pPr>
              <w:pStyle w:val="单元格样式2"/>
            </w:pPr>
            <w:r>
              <w:t xml:space="preserve">加强节约集约利用，促进生态文明建设</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color w:val="000000"/>
          <w:sz w:val="28"/>
        </w:rPr>
        <w:t xml:space="preserve">5、预算联网监督经费绩效目标表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13052526P00000110101A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预算联网监督经费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预算联网监督正常运行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1.按时完成机关年度工作计划安排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监督检查覆盖率</w:t>
            </w:r>
          </w:p>
        </w:tc>
        <w:tc>
          <w:tcPr>
            <w:tcW w:w="5386" w:type="dxa"/>
            <w:vAlign w:val="center"/>
          </w:tcPr>
          <w:p>
            <w:pPr>
              <w:pStyle w:val="单元格样式2"/>
            </w:pPr>
            <w:r>
              <w:t xml:space="preserve">反映监督检查覆盖情况。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档案整理验收合格率</w:t>
            </w:r>
          </w:p>
        </w:tc>
        <w:tc>
          <w:tcPr>
            <w:tcW w:w="5386" w:type="dxa"/>
            <w:vAlign w:val="center"/>
          </w:tcPr>
          <w:p>
            <w:pPr>
              <w:pStyle w:val="单元格样式2"/>
            </w:pPr>
            <w:r>
              <w:t xml:space="preserve">档案整理验收合格率</w:t>
            </w:r>
          </w:p>
        </w:tc>
        <w:tc>
          <w:tcPr>
            <w:tcW w:w="2268" w:type="dxa"/>
            <w:vAlign w:val="center"/>
          </w:tcPr>
          <w:p>
            <w:pPr>
              <w:pStyle w:val="单元格样式2"/>
            </w:pPr>
            <w:r>
              <w:t xml:space="preserve">≥100百分比</w:t>
            </w:r>
          </w:p>
        </w:tc>
        <w:tc>
          <w:tcPr>
            <w:tcW w:w="1276" w:type="dxa"/>
            <w:vAlign w:val="center"/>
          </w:tcPr>
          <w:p>
            <w:pPr>
              <w:pStyle w:val="单元格样式2"/>
            </w:pPr>
            <w:r>
              <w:tab/>
            </w:r>
          </w:p>
          <w:p>
            <w:pPr>
              <w:pStyle w:val="单元格样式2"/>
            </w:pPr>
          </w:p>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服务器采购完成时间</w:t>
            </w:r>
          </w:p>
        </w:tc>
        <w:tc>
          <w:tcPr>
            <w:tcW w:w="5386" w:type="dxa"/>
            <w:vAlign w:val="center"/>
          </w:tcPr>
          <w:p>
            <w:pPr>
              <w:pStyle w:val="单元格样式2"/>
            </w:pPr>
            <w:r>
              <w:t xml:space="preserve">服务器采购完成时间</w:t>
            </w:r>
          </w:p>
        </w:tc>
        <w:tc>
          <w:tcPr>
            <w:tcW w:w="2268" w:type="dxa"/>
            <w:vAlign w:val="center"/>
          </w:tcPr>
          <w:p>
            <w:pPr>
              <w:pStyle w:val="单元格样式2"/>
            </w:pPr>
            <w:r>
              <w:t xml:space="preserve">≤30天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≥100百分比</w:t>
            </w:r>
          </w:p>
        </w:tc>
        <w:tc>
          <w:tcPr>
            <w:tcW w:w="1276" w:type="dxa"/>
            <w:vAlign w:val="center"/>
          </w:tcPr>
          <w:p>
            <w:pPr>
              <w:pStyle w:val="单元格样式2"/>
            </w:pPr>
            <w:r>
              <w:tab/>
            </w:r>
          </w:p>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≤20百分比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tc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隆尧县人民代表大会常务委员会办公室（含所属单位）上年末固定资产金额为0.00万元（详见下表）。本年度拟购置固定资产总额为0.00万元，已按要求列入政府采购预算，详见政府采购预算表。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101隆尧县人民代表大会常务委员会办公室</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sectPr>
          <w:type w:val="nextPage"/>
          <w:pgSz w:w="16840" w:h="11900" w:orient="landscape"/>
          <w:pgMar w:top="1361" w:right="1020" w:bottom="1134" w:left="1020" w:header="720" w:footer="720" w:gutter="0"/>
        </w:sectPr>
      </w:pPr>
      <w:r>
        <w:rPr>
          <w:rFonts w:ascii="Times New Roman" w:eastAsia="方正仿宋_GBK" w:hAnsi="Times New Roman" w:cs="Times New Roman"/>
          <w:b w:val="0"/>
          <w:color w:val="000000"/>
          <w:sz w:val="28"/>
        </w:rPr>
        <w:t xml:space="preserve">我部门无其他需要说明的事项。</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 </w:t>
      </w:r>
    </w:p>
    <w:p>
      <w:pPr>
        <w:spacing w:before="0" w:after="0" w:line="240" w:lineRule="auto"/>
        <w:ind w:firstLine="0"/>
        <w:jc w:val="center"/>
        <w:outlineLvl w:val="0"/>
        <w:sectPr>
          <w:type w:val="nextPage"/>
          <w:pgSz w:w="16840" w:h="11900" w:orient="landscape"/>
          <w:pgMar w:top="1361" w:right="1020" w:bottom="1134" w:left="1020" w:header="720" w:footer="720" w:gutter="0"/>
        </w:sectPr>
      </w:pPr>
      <w:r>
        <w:rPr>
          <w:rFonts w:ascii="方正小标宋_GBK" w:eastAsia="方正小标宋_GBK" w:hAnsi="方正小标宋_GBK" w:cs="方正小标宋_GBK"/>
          <w:color w:val="000000"/>
          <w:sz w:val="72"/>
        </w:rPr>
        <w:t xml:space="preserve">第二部分  部门所属单位预算</w:t>
      </w:r>
    </w:p>
    <w:p>
      <w:pPr>
        <w:spacing w:before="0" w:after="0"/>
        <w:ind w:firstLine="0"/>
        <w:jc w:val="center"/>
        <w:outlineLvl w:val="3"/>
      </w:pPr>
      <w:bookmarkStart w:id="20" w:name="_Toc_4_4_0000000021"/>
      <w:r>
        <w:rPr>
          <w:rFonts w:ascii="方正小标宋_GBK" w:eastAsia="方正小标宋_GBK" w:hAnsi="方正小标宋_GBK" w:cs="方正小标宋_GBK"/>
          <w:b w:val="0"/>
          <w:color w:val="000000"/>
          <w:sz w:val="44"/>
        </w:rPr>
        <w:t xml:space="preserve">一、隆尧县人民代表大会常务委员会办公室本级收支预算</w:t>
      </w:r>
      <w:bookmarkEnd w:id="2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431.14</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369.52</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28.20</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13.03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20.38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431.14</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431.14</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431.14</w:t>
            </w:r>
          </w:p>
        </w:tc>
        <w:tc>
          <w:tcPr>
            <w:tcW w:w="4535" w:type="dxa"/>
            <w:vAlign w:val="center"/>
          </w:tcPr>
          <w:p>
            <w:pPr>
              <w:pStyle w:val="单元格样式6"/>
            </w:pPr>
            <w:r>
              <w:t xml:space="preserve">支出总计</w:t>
            </w:r>
          </w:p>
        </w:tc>
        <w:tc>
          <w:tcPr>
            <w:tcW w:w="2126" w:type="dxa"/>
            <w:vAlign w:val="center"/>
          </w:tcPr>
          <w:p>
            <w:pPr>
              <w:pStyle w:val="单元格样式7"/>
            </w:pPr>
            <w:r>
              <w:t xml:space="preserve">431.14</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431.14</w:t>
            </w:r>
          </w:p>
        </w:tc>
        <w:tc>
          <w:tcPr>
            <w:tcW w:w="1134" w:type="dxa"/>
            <w:vAlign w:val="center"/>
          </w:tcPr>
          <w:p>
            <w:pPr>
              <w:pStyle w:val="单元格样式7"/>
            </w:pPr>
            <w:r>
              <w:t xml:space="preserve">431.14</w:t>
            </w:r>
          </w:p>
        </w:tc>
        <w:tc>
          <w:tcPr>
            <w:tcW w:w="1134" w:type="dxa"/>
            <w:vAlign w:val="center"/>
          </w:tcPr>
          <w:p>
            <w:pPr>
              <w:pStyle w:val="单元格样式7"/>
            </w:pPr>
            <w:r>
              <w:t xml:space="preserve">431.14</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20101</w:t>
            </w:r>
          </w:p>
        </w:tc>
        <w:tc>
          <w:tcPr>
            <w:tcW w:w="1559" w:type="dxa"/>
            <w:vAlign w:val="center"/>
          </w:tcPr>
          <w:p>
            <w:pPr>
              <w:pStyle w:val="单元格样式2"/>
            </w:pPr>
            <w:r>
              <w:t xml:space="preserve">人大事务</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r>
              <w:t xml:space="preserve">369.52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334.85</w:t>
            </w:r>
          </w:p>
        </w:tc>
        <w:tc>
          <w:tcPr>
            <w:tcW w:w="1134" w:type="dxa"/>
            <w:vAlign w:val="center"/>
          </w:tcPr>
          <w:p>
            <w:pPr>
              <w:pStyle w:val="单元格样式4"/>
            </w:pPr>
            <w:r>
              <w:t xml:space="preserve">334.85</w:t>
            </w:r>
          </w:p>
        </w:tc>
        <w:tc>
          <w:tcPr>
            <w:tcW w:w="1134" w:type="dxa"/>
            <w:vAlign w:val="center"/>
          </w:tcPr>
          <w:p>
            <w:pPr>
              <w:pStyle w:val="单元格样式4"/>
            </w:pPr>
            <w:r>
              <w:t xml:space="preserve">334.85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2010102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2010104</w:t>
            </w:r>
          </w:p>
        </w:tc>
        <w:tc>
          <w:tcPr>
            <w:tcW w:w="1559" w:type="dxa"/>
            <w:vAlign w:val="center"/>
          </w:tcPr>
          <w:p>
            <w:pPr>
              <w:pStyle w:val="单元格样式2"/>
            </w:pPr>
            <w:r>
              <w:t xml:space="preserve">人大会议</w:t>
            </w:r>
          </w:p>
        </w:tc>
        <w:tc>
          <w:tcPr>
            <w:tcW w:w="1134" w:type="dxa"/>
            <w:vAlign w:val="center"/>
          </w:tcPr>
          <w:p>
            <w:pPr>
              <w:pStyle w:val="单元格样式4"/>
            </w:pPr>
            <w:r>
              <w:t xml:space="preserve">32.67</w:t>
            </w:r>
          </w:p>
        </w:tc>
        <w:tc>
          <w:tcPr>
            <w:tcW w:w="1134" w:type="dxa"/>
            <w:vAlign w:val="center"/>
          </w:tcPr>
          <w:p>
            <w:pPr>
              <w:pStyle w:val="单元格样式4"/>
            </w:pPr>
            <w:r>
              <w:t xml:space="preserve">32.67</w:t>
            </w:r>
          </w:p>
        </w:tc>
        <w:tc>
          <w:tcPr>
            <w:tcW w:w="1134" w:type="dxa"/>
            <w:vAlign w:val="center"/>
          </w:tcPr>
          <w:p>
            <w:pPr>
              <w:pStyle w:val="单元格样式4"/>
            </w:pPr>
            <w:r>
              <w:t xml:space="preserve">32.67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r>
              <w:t xml:space="preserve">28.20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r>
              <w:t xml:space="preserve">13.03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r>
              <w:t xml:space="preserve">20.38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431.14</w:t>
            </w:r>
          </w:p>
        </w:tc>
        <w:tc>
          <w:tcPr>
            <w:tcW w:w="1361" w:type="dxa"/>
            <w:vAlign w:val="center"/>
          </w:tcPr>
          <w:p>
            <w:pPr>
              <w:pStyle w:val="单元格样式7"/>
            </w:pPr>
            <w:r>
              <w:t xml:space="preserve">327.79</w:t>
            </w:r>
          </w:p>
        </w:tc>
        <w:tc>
          <w:tcPr>
            <w:tcW w:w="1361" w:type="dxa"/>
            <w:vAlign w:val="center"/>
          </w:tcPr>
          <w:p>
            <w:pPr>
              <w:pStyle w:val="单元格样式7"/>
            </w:pPr>
            <w:r>
              <w:t xml:space="preserve">103.34</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369.52</w:t>
            </w:r>
          </w:p>
        </w:tc>
        <w:tc>
          <w:tcPr>
            <w:tcW w:w="1361" w:type="dxa"/>
            <w:vAlign w:val="center"/>
          </w:tcPr>
          <w:p>
            <w:pPr>
              <w:pStyle w:val="单元格样式4"/>
            </w:pPr>
            <w:r>
              <w:t xml:space="preserve">266.18</w:t>
            </w:r>
          </w:p>
        </w:tc>
        <w:tc>
          <w:tcPr>
            <w:tcW w:w="1361" w:type="dxa"/>
            <w:vAlign w:val="center"/>
          </w:tcPr>
          <w:p>
            <w:pPr>
              <w:pStyle w:val="单元格样式4"/>
            </w:pPr>
            <w:r>
              <w:t xml:space="preserve">103.34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20101</w:t>
            </w:r>
          </w:p>
        </w:tc>
        <w:tc>
          <w:tcPr>
            <w:tcW w:w="4535" w:type="dxa"/>
            <w:vAlign w:val="center"/>
          </w:tcPr>
          <w:p>
            <w:pPr>
              <w:pStyle w:val="单元格样式2"/>
            </w:pPr>
            <w:r>
              <w:t xml:space="preserve">人大事务</w:t>
            </w:r>
          </w:p>
        </w:tc>
        <w:tc>
          <w:tcPr>
            <w:tcW w:w="1361" w:type="dxa"/>
            <w:vAlign w:val="center"/>
          </w:tcPr>
          <w:p>
            <w:pPr>
              <w:pStyle w:val="单元格样式4"/>
            </w:pPr>
            <w:r>
              <w:t xml:space="preserve">369.52</w:t>
            </w:r>
          </w:p>
        </w:tc>
        <w:tc>
          <w:tcPr>
            <w:tcW w:w="1361" w:type="dxa"/>
            <w:vAlign w:val="center"/>
          </w:tcPr>
          <w:p>
            <w:pPr>
              <w:pStyle w:val="单元格样式4"/>
            </w:pPr>
            <w:r>
              <w:t xml:space="preserve">266.18</w:t>
            </w:r>
          </w:p>
        </w:tc>
        <w:tc>
          <w:tcPr>
            <w:tcW w:w="1361" w:type="dxa"/>
            <w:vAlign w:val="center"/>
          </w:tcPr>
          <w:p>
            <w:pPr>
              <w:pStyle w:val="单元格样式4"/>
            </w:pPr>
            <w:r>
              <w:t xml:space="preserve">103.34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334.85</w:t>
            </w:r>
          </w:p>
        </w:tc>
        <w:tc>
          <w:tcPr>
            <w:tcW w:w="1361" w:type="dxa"/>
            <w:vAlign w:val="center"/>
          </w:tcPr>
          <w:p>
            <w:pPr>
              <w:pStyle w:val="单元格样式4"/>
            </w:pPr>
            <w:r>
              <w:t xml:space="preserve">266.18</w:t>
            </w:r>
          </w:p>
        </w:tc>
        <w:tc>
          <w:tcPr>
            <w:tcW w:w="1361" w:type="dxa"/>
            <w:vAlign w:val="center"/>
          </w:tcPr>
          <w:p>
            <w:pPr>
              <w:pStyle w:val="单元格样式4"/>
            </w:pPr>
            <w:r>
              <w:t xml:space="preserve">68.67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1361" w:type="dxa"/>
            <w:vAlign w:val="center"/>
          </w:tcPr>
          <w:p>
            <w:pPr>
              <w:pStyle w:val="单元格样式4"/>
            </w:pPr>
            <w:r>
              <w:t xml:space="preserve">32.67</w:t>
            </w:r>
          </w:p>
        </w:tc>
        <w:tc>
          <w:tcPr>
            <w:tcW w:w="1361" w:type="dxa"/>
            <w:vAlign w:val="center"/>
          </w:tcPr>
          <w:p>
            <w:pPr>
              <w:pStyle w:val="单元格样式4"/>
            </w:pPr>
          </w:p>
        </w:tc>
        <w:tc>
          <w:tcPr>
            <w:tcW w:w="1361" w:type="dxa"/>
            <w:vAlign w:val="center"/>
          </w:tcPr>
          <w:p>
            <w:pPr>
              <w:pStyle w:val="单元格样式4"/>
            </w:pPr>
            <w:r>
              <w:t xml:space="preserve">32.67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28.20</w:t>
            </w:r>
          </w:p>
        </w:tc>
        <w:tc>
          <w:tcPr>
            <w:tcW w:w="1361" w:type="dxa"/>
            <w:vAlign w:val="center"/>
          </w:tcPr>
          <w:p>
            <w:pPr>
              <w:pStyle w:val="单元格样式4"/>
            </w:pPr>
            <w:r>
              <w:t xml:space="preserve">28.20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13.03</w:t>
            </w:r>
          </w:p>
        </w:tc>
        <w:tc>
          <w:tcPr>
            <w:tcW w:w="1361" w:type="dxa"/>
            <w:vAlign w:val="center"/>
          </w:tcPr>
          <w:p>
            <w:pPr>
              <w:pStyle w:val="单元格样式4"/>
            </w:pPr>
            <w:r>
              <w:t xml:space="preserve">13.03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20.38</w:t>
            </w:r>
          </w:p>
        </w:tc>
        <w:tc>
          <w:tcPr>
            <w:tcW w:w="1361" w:type="dxa"/>
            <w:vAlign w:val="center"/>
          </w:tcPr>
          <w:p>
            <w:pPr>
              <w:pStyle w:val="单元格样式4"/>
            </w:pPr>
            <w:r>
              <w:t xml:space="preserve">20.38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431.14</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369.52</w:t>
            </w:r>
          </w:p>
        </w:tc>
        <w:tc>
          <w:tcPr>
            <w:tcW w:w="1474" w:type="dxa"/>
            <w:vAlign w:val="center"/>
          </w:tcPr>
          <w:p>
            <w:pPr>
              <w:pStyle w:val="单元格样式4"/>
            </w:pPr>
            <w:r>
              <w:t xml:space="preserve">369.52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28.20</w:t>
            </w:r>
          </w:p>
        </w:tc>
        <w:tc>
          <w:tcPr>
            <w:tcW w:w="1474" w:type="dxa"/>
            <w:vAlign w:val="center"/>
          </w:tcPr>
          <w:p>
            <w:pPr>
              <w:pStyle w:val="单元格样式4"/>
            </w:pPr>
            <w:r>
              <w:t xml:space="preserve">28.20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13.03</w:t>
            </w:r>
          </w:p>
        </w:tc>
        <w:tc>
          <w:tcPr>
            <w:tcW w:w="1474" w:type="dxa"/>
            <w:vAlign w:val="center"/>
          </w:tcPr>
          <w:p>
            <w:pPr>
              <w:pStyle w:val="单元格样式4"/>
            </w:pPr>
            <w:r>
              <w:t xml:space="preserve">13.03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20.38</w:t>
            </w:r>
          </w:p>
        </w:tc>
        <w:tc>
          <w:tcPr>
            <w:tcW w:w="1474" w:type="dxa"/>
            <w:vAlign w:val="center"/>
          </w:tcPr>
          <w:p>
            <w:pPr>
              <w:pStyle w:val="单元格样式4"/>
            </w:pPr>
            <w:r>
              <w:t xml:space="preserve">20.38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431.14</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431.14</w:t>
            </w:r>
          </w:p>
        </w:tc>
        <w:tc>
          <w:tcPr>
            <w:tcW w:w="1474" w:type="dxa"/>
            <w:vAlign w:val="center"/>
          </w:tcPr>
          <w:p>
            <w:pPr>
              <w:pStyle w:val="单元格样式7"/>
            </w:pPr>
            <w:r>
              <w:t xml:space="preserve">431.14</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431.14</w:t>
            </w:r>
          </w:p>
        </w:tc>
        <w:tc>
          <w:tcPr>
            <w:tcW w:w="3402" w:type="dxa"/>
            <w:vAlign w:val="center"/>
          </w:tcPr>
          <w:p>
            <w:pPr>
              <w:pStyle w:val="单元格样式6"/>
            </w:pPr>
            <w:r>
              <w:t xml:space="preserve">支出总计</w:t>
            </w:r>
          </w:p>
        </w:tc>
        <w:tc>
          <w:tcPr>
            <w:tcW w:w="1474" w:type="dxa"/>
            <w:vAlign w:val="center"/>
          </w:tcPr>
          <w:p>
            <w:pPr>
              <w:pStyle w:val="单元格样式7"/>
            </w:pPr>
            <w:r>
              <w:t xml:space="preserve">431.14</w:t>
            </w:r>
          </w:p>
        </w:tc>
        <w:tc>
          <w:tcPr>
            <w:tcW w:w="1474" w:type="dxa"/>
            <w:vAlign w:val="center"/>
          </w:tcPr>
          <w:p>
            <w:pPr>
              <w:pStyle w:val="单元格样式7"/>
            </w:pPr>
            <w:r>
              <w:t xml:space="preserve">431.14</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431.14</w:t>
            </w:r>
          </w:p>
        </w:tc>
        <w:tc>
          <w:tcPr>
            <w:tcW w:w="2551" w:type="dxa"/>
            <w:vAlign w:val="center"/>
          </w:tcPr>
          <w:p>
            <w:pPr>
              <w:pStyle w:val="单元格样式7"/>
            </w:pPr>
            <w:r>
              <w:t xml:space="preserve">327.79</w:t>
            </w:r>
          </w:p>
        </w:tc>
        <w:tc>
          <w:tcPr>
            <w:tcW w:w="2551" w:type="dxa"/>
            <w:vAlign w:val="center"/>
          </w:tcPr>
          <w:p>
            <w:pPr>
              <w:pStyle w:val="单元格样式7"/>
            </w:pPr>
            <w:r>
              <w:t xml:space="preserve">103.34</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369.52</w:t>
            </w:r>
          </w:p>
        </w:tc>
        <w:tc>
          <w:tcPr>
            <w:tcW w:w="2551" w:type="dxa"/>
            <w:vAlign w:val="center"/>
          </w:tcPr>
          <w:p>
            <w:pPr>
              <w:pStyle w:val="单元格样式4"/>
            </w:pPr>
            <w:r>
              <w:t xml:space="preserve">266.18</w:t>
            </w:r>
          </w:p>
        </w:tc>
        <w:tc>
          <w:tcPr>
            <w:tcW w:w="2551" w:type="dxa"/>
            <w:vAlign w:val="center"/>
          </w:tcPr>
          <w:p>
            <w:pPr>
              <w:pStyle w:val="单元格样式4"/>
            </w:pPr>
            <w:r>
              <w:t xml:space="preserve">103.34</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20101</w:t>
            </w:r>
          </w:p>
        </w:tc>
        <w:tc>
          <w:tcPr>
            <w:tcW w:w="4535" w:type="dxa"/>
            <w:vAlign w:val="center"/>
          </w:tcPr>
          <w:p>
            <w:pPr>
              <w:pStyle w:val="单元格样式2"/>
            </w:pPr>
            <w:r>
              <w:t xml:space="preserve">人大事务</w:t>
            </w:r>
          </w:p>
        </w:tc>
        <w:tc>
          <w:tcPr>
            <w:tcW w:w="2551" w:type="dxa"/>
            <w:vAlign w:val="center"/>
          </w:tcPr>
          <w:p>
            <w:pPr>
              <w:pStyle w:val="单元格样式4"/>
            </w:pPr>
            <w:r>
              <w:t xml:space="preserve">369.52</w:t>
            </w:r>
          </w:p>
        </w:tc>
        <w:tc>
          <w:tcPr>
            <w:tcW w:w="2551" w:type="dxa"/>
            <w:vAlign w:val="center"/>
          </w:tcPr>
          <w:p>
            <w:pPr>
              <w:pStyle w:val="单元格样式4"/>
            </w:pPr>
            <w:r>
              <w:t xml:space="preserve">266.18</w:t>
            </w:r>
          </w:p>
        </w:tc>
        <w:tc>
          <w:tcPr>
            <w:tcW w:w="2551" w:type="dxa"/>
            <w:vAlign w:val="center"/>
          </w:tcPr>
          <w:p>
            <w:pPr>
              <w:pStyle w:val="单元格样式4"/>
            </w:pPr>
            <w:r>
              <w:t xml:space="preserve">103.34</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334.85</w:t>
            </w:r>
          </w:p>
        </w:tc>
        <w:tc>
          <w:tcPr>
            <w:tcW w:w="2551" w:type="dxa"/>
            <w:vAlign w:val="center"/>
          </w:tcPr>
          <w:p>
            <w:pPr>
              <w:pStyle w:val="单元格样式4"/>
            </w:pPr>
            <w:r>
              <w:t xml:space="preserve">266.18</w:t>
            </w:r>
          </w:p>
        </w:tc>
        <w:tc>
          <w:tcPr>
            <w:tcW w:w="2551" w:type="dxa"/>
            <w:vAlign w:val="center"/>
          </w:tcPr>
          <w:p>
            <w:pPr>
              <w:pStyle w:val="单元格样式4"/>
            </w:pPr>
            <w:r>
              <w:t xml:space="preserve">68.67</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2010102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2010104</w:t>
            </w:r>
          </w:p>
        </w:tc>
        <w:tc>
          <w:tcPr>
            <w:tcW w:w="4535" w:type="dxa"/>
            <w:vAlign w:val="center"/>
          </w:tcPr>
          <w:p>
            <w:pPr>
              <w:pStyle w:val="单元格样式2"/>
            </w:pPr>
            <w:r>
              <w:t xml:space="preserve">人大会议</w:t>
            </w:r>
          </w:p>
        </w:tc>
        <w:tc>
          <w:tcPr>
            <w:tcW w:w="2551" w:type="dxa"/>
            <w:vAlign w:val="center"/>
          </w:tcPr>
          <w:p>
            <w:pPr>
              <w:pStyle w:val="单元格样式4"/>
            </w:pPr>
            <w:r>
              <w:t xml:space="preserve">32.67</w:t>
            </w:r>
          </w:p>
        </w:tc>
        <w:tc>
          <w:tcPr>
            <w:tcW w:w="2551" w:type="dxa"/>
            <w:vAlign w:val="center"/>
          </w:tcPr>
          <w:p>
            <w:pPr>
              <w:pStyle w:val="单元格样式4"/>
            </w:pPr>
          </w:p>
        </w:tc>
        <w:tc>
          <w:tcPr>
            <w:tcW w:w="2551" w:type="dxa"/>
            <w:vAlign w:val="center"/>
          </w:tcPr>
          <w:p>
            <w:pPr>
              <w:pStyle w:val="单元格样式4"/>
            </w:pPr>
            <w:r>
              <w:t xml:space="preserve">32.67</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327.79</w:t>
            </w:r>
          </w:p>
        </w:tc>
        <w:tc>
          <w:tcPr>
            <w:tcW w:w="2551" w:type="dxa"/>
            <w:vAlign w:val="center"/>
          </w:tcPr>
          <w:p>
            <w:pPr>
              <w:pStyle w:val="单元格样式7"/>
            </w:pPr>
            <w:r>
              <w:t xml:space="preserve">302.24</w:t>
            </w:r>
          </w:p>
        </w:tc>
        <w:tc>
          <w:tcPr>
            <w:tcW w:w="2551" w:type="dxa"/>
            <w:vAlign w:val="center"/>
          </w:tcPr>
          <w:p>
            <w:pPr>
              <w:pStyle w:val="单元格样式7"/>
            </w:pPr>
            <w:r>
              <w:t xml:space="preserve">25.55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262.35</w:t>
            </w:r>
          </w:p>
        </w:tc>
        <w:tc>
          <w:tcPr>
            <w:tcW w:w="2551" w:type="dxa"/>
            <w:vAlign w:val="center"/>
          </w:tcPr>
          <w:p>
            <w:pPr>
              <w:pStyle w:val="单元格样式4"/>
            </w:pPr>
            <w:r>
              <w:t xml:space="preserve">262.35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114.91</w:t>
            </w:r>
          </w:p>
        </w:tc>
        <w:tc>
          <w:tcPr>
            <w:tcW w:w="2551" w:type="dxa"/>
            <w:vAlign w:val="center"/>
          </w:tcPr>
          <w:p>
            <w:pPr>
              <w:pStyle w:val="单元格样式4"/>
            </w:pPr>
            <w:r>
              <w:t xml:space="preserve">114.91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39.08</w:t>
            </w:r>
          </w:p>
        </w:tc>
        <w:tc>
          <w:tcPr>
            <w:tcW w:w="2551" w:type="dxa"/>
            <w:vAlign w:val="center"/>
          </w:tcPr>
          <w:p>
            <w:pPr>
              <w:pStyle w:val="单元格样式4"/>
            </w:pPr>
            <w:r>
              <w:t xml:space="preserve">39.08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20.32</w:t>
            </w:r>
          </w:p>
        </w:tc>
        <w:tc>
          <w:tcPr>
            <w:tcW w:w="2551" w:type="dxa"/>
            <w:vAlign w:val="center"/>
          </w:tcPr>
          <w:p>
            <w:pPr>
              <w:pStyle w:val="单元格样式4"/>
            </w:pPr>
            <w:r>
              <w:t xml:space="preserve">20.32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25.43</w:t>
            </w:r>
          </w:p>
        </w:tc>
        <w:tc>
          <w:tcPr>
            <w:tcW w:w="2551" w:type="dxa"/>
            <w:vAlign w:val="center"/>
          </w:tcPr>
          <w:p>
            <w:pPr>
              <w:pStyle w:val="单元格样式4"/>
            </w:pPr>
            <w:r>
              <w:t xml:space="preserve">25.43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28.20</w:t>
            </w:r>
          </w:p>
        </w:tc>
        <w:tc>
          <w:tcPr>
            <w:tcW w:w="2551" w:type="dxa"/>
            <w:vAlign w:val="center"/>
          </w:tcPr>
          <w:p>
            <w:pPr>
              <w:pStyle w:val="单元格样式4"/>
            </w:pPr>
            <w:r>
              <w:t xml:space="preserve">28.20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13.03</w:t>
            </w:r>
          </w:p>
        </w:tc>
        <w:tc>
          <w:tcPr>
            <w:tcW w:w="2551" w:type="dxa"/>
            <w:vAlign w:val="center"/>
          </w:tcPr>
          <w:p>
            <w:pPr>
              <w:pStyle w:val="单元格样式4"/>
            </w:pPr>
            <w:r>
              <w:t xml:space="preserve">13.03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1.01</w:t>
            </w:r>
          </w:p>
        </w:tc>
        <w:tc>
          <w:tcPr>
            <w:tcW w:w="2551" w:type="dxa"/>
            <w:vAlign w:val="center"/>
          </w:tcPr>
          <w:p>
            <w:pPr>
              <w:pStyle w:val="单元格样式4"/>
            </w:pPr>
            <w:r>
              <w:t xml:space="preserve">1.01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20.38</w:t>
            </w:r>
          </w:p>
        </w:tc>
        <w:tc>
          <w:tcPr>
            <w:tcW w:w="2551" w:type="dxa"/>
            <w:vAlign w:val="center"/>
          </w:tcPr>
          <w:p>
            <w:pPr>
              <w:pStyle w:val="单元格样式4"/>
            </w:pPr>
            <w:r>
              <w:t xml:space="preserve">20.38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25.55</w:t>
            </w:r>
          </w:p>
        </w:tc>
        <w:tc>
          <w:tcPr>
            <w:tcW w:w="2551" w:type="dxa"/>
            <w:vAlign w:val="center"/>
          </w:tcPr>
          <w:p>
            <w:pPr>
              <w:pStyle w:val="单元格样式4"/>
            </w:pPr>
          </w:p>
        </w:tc>
        <w:tc>
          <w:tcPr>
            <w:tcW w:w="2551" w:type="dxa"/>
            <w:vAlign w:val="center"/>
          </w:tcPr>
          <w:p>
            <w:pPr>
              <w:pStyle w:val="单元格样式4"/>
            </w:pPr>
            <w:r>
              <w:t xml:space="preserve">25.55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4.35</w:t>
            </w:r>
          </w:p>
        </w:tc>
        <w:tc>
          <w:tcPr>
            <w:tcW w:w="2551" w:type="dxa"/>
            <w:vAlign w:val="center"/>
          </w:tcPr>
          <w:p>
            <w:pPr>
              <w:pStyle w:val="单元格样式4"/>
            </w:pPr>
          </w:p>
        </w:tc>
        <w:tc>
          <w:tcPr>
            <w:tcW w:w="2551" w:type="dxa"/>
            <w:vAlign w:val="center"/>
          </w:tcPr>
          <w:p>
            <w:pPr>
              <w:pStyle w:val="单元格样式4"/>
            </w:pPr>
            <w:r>
              <w:t xml:space="preserve">4.35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0.21</w:t>
            </w:r>
          </w:p>
        </w:tc>
        <w:tc>
          <w:tcPr>
            <w:tcW w:w="2551" w:type="dxa"/>
            <w:vAlign w:val="center"/>
          </w:tcPr>
          <w:p>
            <w:pPr>
              <w:pStyle w:val="单元格样式4"/>
            </w:pPr>
          </w:p>
        </w:tc>
        <w:tc>
          <w:tcPr>
            <w:tcW w:w="2551" w:type="dxa"/>
            <w:vAlign w:val="center"/>
          </w:tcPr>
          <w:p>
            <w:pPr>
              <w:pStyle w:val="单元格样式4"/>
            </w:pPr>
            <w:r>
              <w:t xml:space="preserve">0.21</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0.66</w:t>
            </w:r>
          </w:p>
        </w:tc>
        <w:tc>
          <w:tcPr>
            <w:tcW w:w="2551" w:type="dxa"/>
            <w:vAlign w:val="center"/>
          </w:tcPr>
          <w:p>
            <w:pPr>
              <w:pStyle w:val="单元格样式4"/>
            </w:pPr>
          </w:p>
        </w:tc>
        <w:tc>
          <w:tcPr>
            <w:tcW w:w="2551" w:type="dxa"/>
            <w:vAlign w:val="center"/>
          </w:tcPr>
          <w:p>
            <w:pPr>
              <w:pStyle w:val="单元格样式4"/>
            </w:pPr>
            <w:r>
              <w:t xml:space="preserve">0.66</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17.63</w:t>
            </w:r>
          </w:p>
        </w:tc>
        <w:tc>
          <w:tcPr>
            <w:tcW w:w="2551" w:type="dxa"/>
            <w:vAlign w:val="center"/>
          </w:tcPr>
          <w:p>
            <w:pPr>
              <w:pStyle w:val="单元格样式4"/>
            </w:pPr>
          </w:p>
        </w:tc>
        <w:tc>
          <w:tcPr>
            <w:tcW w:w="2551" w:type="dxa"/>
            <w:vAlign w:val="center"/>
          </w:tcPr>
          <w:p>
            <w:pPr>
              <w:pStyle w:val="单元格样式4"/>
            </w:pPr>
            <w:r>
              <w:t xml:space="preserve">17.63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2.50</w:t>
            </w:r>
          </w:p>
        </w:tc>
        <w:tc>
          <w:tcPr>
            <w:tcW w:w="2551" w:type="dxa"/>
            <w:vAlign w:val="center"/>
          </w:tcPr>
          <w:p>
            <w:pPr>
              <w:pStyle w:val="单元格样式4"/>
            </w:pPr>
          </w:p>
        </w:tc>
        <w:tc>
          <w:tcPr>
            <w:tcW w:w="2551" w:type="dxa"/>
            <w:vAlign w:val="center"/>
          </w:tcPr>
          <w:p>
            <w:pPr>
              <w:pStyle w:val="单元格样式4"/>
            </w:pPr>
            <w:r>
              <w:t xml:space="preserve">2.50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39.89</w:t>
            </w:r>
          </w:p>
        </w:tc>
        <w:tc>
          <w:tcPr>
            <w:tcW w:w="2551" w:type="dxa"/>
            <w:vAlign w:val="center"/>
          </w:tcPr>
          <w:p>
            <w:pPr>
              <w:pStyle w:val="单元格样式4"/>
            </w:pPr>
            <w:r>
              <w:t xml:space="preserve">39.89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38.81</w:t>
            </w:r>
          </w:p>
        </w:tc>
        <w:tc>
          <w:tcPr>
            <w:tcW w:w="2551" w:type="dxa"/>
            <w:vAlign w:val="center"/>
          </w:tcPr>
          <w:p>
            <w:pPr>
              <w:pStyle w:val="单元格样式4"/>
            </w:pPr>
            <w:r>
              <w:t xml:space="preserve">38.81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1.08</w:t>
            </w:r>
          </w:p>
        </w:tc>
        <w:tc>
          <w:tcPr>
            <w:tcW w:w="2551" w:type="dxa"/>
            <w:vAlign w:val="center"/>
          </w:tcPr>
          <w:p>
            <w:pPr>
              <w:pStyle w:val="单元格样式4"/>
            </w:pPr>
            <w:r>
              <w:t xml:space="preserve">1.08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隆尧县人民代表大会常务委员会办公室本级2026年单位预算信息公开情况说明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按照《中华人民共和国预算法》、《地方预决算公开操作规程》和《关于进一步推进预算公开工作的实施意见》规定，现将隆尧县人民代表大会常务委员会办公室本级2026年单位预算公开如下：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隆尧县人民代表大会常务委员会办公室本级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反映本部门当年全部收入。2026年预算收入431.14万元，其中：一般公共预算收入431.141万元，基金预算收入0万元，国有资本经营预算收入0万元，财政专户核拨收入0万元，单位资金收入0万元，上年结转结余0万元。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隆尧县人民代表大会常务委员会办公室年度部门预算中支出预算的总体情况。2026年支出预算431.14万元，其中基本支出327.79万元，包括人员经费302.24万元和日常公用经费25.55万元；项目支出10.3.34万元，主要为县人大会议费、代表活动费、常委会会议等项目工作支出。</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2026年预算收支安排431.14万元，较2025年预算增加15.33万元，主要为增加物业费等部分项目支出。</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2026年，我部门运行经费共计安排25.55万元，主要用于办公费、公务交通补贴等支出。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部门财政拨款“三公”经费预算安排0万元，其中因公出国（境）费0万元；公务用车购置及运维费0万元（其中：公务用车购置费为0万元，公务用车运行维护费0万元)；公务接待费0万元。与2025年相比持平。</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1、人大专项工作经费绩效目标表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13052526P00000110099Q</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人大专项工作经费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保障机关运行经费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1.按时完成年度计划既定目标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会议、调研人数</w:t>
            </w:r>
          </w:p>
        </w:tc>
        <w:tc>
          <w:tcPr>
            <w:tcW w:w="5386" w:type="dxa"/>
            <w:vAlign w:val="center"/>
          </w:tcPr>
          <w:p>
            <w:pPr>
              <w:pStyle w:val="单元格样式2"/>
            </w:pPr>
            <w:r>
              <w:t xml:space="preserve">会议、调研人数</w:t>
            </w:r>
          </w:p>
        </w:tc>
        <w:tc>
          <w:tcPr>
            <w:tcW w:w="2268" w:type="dxa"/>
            <w:vAlign w:val="center"/>
          </w:tcPr>
          <w:p>
            <w:pPr>
              <w:pStyle w:val="单元格样式2"/>
            </w:pPr>
            <w:r>
              <w:t xml:space="preserve">≥200人</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会议费人均标准符合率</w:t>
            </w:r>
          </w:p>
        </w:tc>
        <w:tc>
          <w:tcPr>
            <w:tcW w:w="5386" w:type="dxa"/>
            <w:vAlign w:val="center"/>
          </w:tcPr>
          <w:p>
            <w:pPr>
              <w:pStyle w:val="单元格样式2"/>
            </w:pPr>
            <w:r>
              <w:t xml:space="preserve">会议费人均标准符合率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完成工作时间</w:t>
            </w:r>
          </w:p>
        </w:tc>
        <w:tc>
          <w:tcPr>
            <w:tcW w:w="5386" w:type="dxa"/>
            <w:vAlign w:val="center"/>
          </w:tcPr>
          <w:p>
            <w:pPr>
              <w:pStyle w:val="单元格样式2"/>
            </w:pPr>
            <w:r>
              <w:t xml:space="preserve">数据统计工作上报时限；国有资产日常管理业务时限</w:t>
            </w:r>
          </w:p>
        </w:tc>
        <w:tc>
          <w:tcPr>
            <w:tcW w:w="2268" w:type="dxa"/>
            <w:vAlign w:val="center"/>
          </w:tcPr>
          <w:p>
            <w:pPr>
              <w:pStyle w:val="单元格样式2"/>
            </w:pPr>
            <w:r>
              <w:t xml:space="preserve">≤1年</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经费使用率(%)</w:t>
            </w:r>
          </w:p>
        </w:tc>
        <w:tc>
          <w:tcPr>
            <w:tcW w:w="5386" w:type="dxa"/>
            <w:vAlign w:val="center"/>
          </w:tcPr>
          <w:p>
            <w:pPr>
              <w:pStyle w:val="单元格样式2"/>
            </w:pPr>
            <w:r>
              <w:t xml:space="preserve">经费使用率(%)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经济效益增值率</w:t>
            </w:r>
          </w:p>
        </w:tc>
        <w:tc>
          <w:tcPr>
            <w:tcW w:w="5386" w:type="dxa"/>
            <w:vAlign w:val="center"/>
          </w:tcPr>
          <w:p>
            <w:pPr>
              <w:pStyle w:val="单元格样式2"/>
            </w:pPr>
            <w:r>
              <w:t xml:space="preserve">项目实施后经济效益增长率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公共服务水平提升情况</w:t>
            </w:r>
          </w:p>
        </w:tc>
        <w:tc>
          <w:tcPr>
            <w:tcW w:w="5386" w:type="dxa"/>
            <w:vAlign w:val="center"/>
          </w:tcPr>
          <w:p>
            <w:pPr>
              <w:pStyle w:val="单元格样式2"/>
            </w:pPr>
            <w:r>
              <w:t xml:space="preserve">公共服务水平提升情况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结果准确性</w:t>
            </w:r>
          </w:p>
        </w:tc>
        <w:tc>
          <w:tcPr>
            <w:tcW w:w="5386" w:type="dxa"/>
            <w:vAlign w:val="center"/>
          </w:tcPr>
          <w:p>
            <w:pPr>
              <w:pStyle w:val="单元格样式2"/>
            </w:pPr>
            <w:r>
              <w:t xml:space="preserve">结果准确性</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2、十六届六次会议绩效目标表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13052526P00000410002M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十六届六次会议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十六届六次人大会议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1.顺利完成十六届六次会议安排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相关会议次数</w:t>
            </w:r>
          </w:p>
        </w:tc>
        <w:tc>
          <w:tcPr>
            <w:tcW w:w="5386" w:type="dxa"/>
            <w:vAlign w:val="center"/>
          </w:tcPr>
          <w:p>
            <w:pPr>
              <w:pStyle w:val="单元格样式2"/>
            </w:pPr>
            <w:r>
              <w:t xml:space="preserve">相关会议次数</w:t>
            </w:r>
          </w:p>
        </w:tc>
        <w:tc>
          <w:tcPr>
            <w:tcW w:w="2268" w:type="dxa"/>
            <w:vAlign w:val="center"/>
          </w:tcPr>
          <w:p>
            <w:pPr>
              <w:pStyle w:val="单元格样式2"/>
            </w:pPr>
            <w:r>
              <w:t xml:space="preserve">1次</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完成及时率（%）</w:t>
            </w:r>
          </w:p>
        </w:tc>
        <w:tc>
          <w:tcPr>
            <w:tcW w:w="5386" w:type="dxa"/>
            <w:vAlign w:val="center"/>
          </w:tcPr>
          <w:p>
            <w:pPr>
              <w:pStyle w:val="单元格样式2"/>
            </w:pPr>
            <w:r>
              <w:t xml:space="preserve">完成及时率（%）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经费保证能力</w:t>
            </w:r>
          </w:p>
        </w:tc>
        <w:tc>
          <w:tcPr>
            <w:tcW w:w="5386" w:type="dxa"/>
            <w:vAlign w:val="center"/>
          </w:tcPr>
          <w:p>
            <w:pPr>
              <w:pStyle w:val="单元格样式2"/>
            </w:pPr>
            <w:r>
              <w:t xml:space="preserve">经费保证能力</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生态效益提升值%</w:t>
            </w:r>
          </w:p>
        </w:tc>
        <w:tc>
          <w:tcPr>
            <w:tcW w:w="5386" w:type="dxa"/>
            <w:vAlign w:val="center"/>
          </w:tcPr>
          <w:p>
            <w:pPr>
              <w:pStyle w:val="单元格样式2"/>
            </w:pPr>
            <w:r>
              <w:t xml:space="preserve">生态效益提升值%</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项目实施满意度</w:t>
            </w:r>
          </w:p>
        </w:tc>
        <w:tc>
          <w:tcPr>
            <w:tcW w:w="5386" w:type="dxa"/>
            <w:vAlign w:val="center"/>
          </w:tcPr>
          <w:p>
            <w:pPr>
              <w:pStyle w:val="单元格样式2"/>
            </w:pPr>
            <w:r>
              <w:t xml:space="preserve">项目实施满意度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3、十六届七次会议绩效目标表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13052526P00000410019T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十六届七次会议</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十六届人大其次会议</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1.按时完成隆尧县十六届七次会议安排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培训、会议天数（天）</w:t>
            </w:r>
          </w:p>
        </w:tc>
        <w:tc>
          <w:tcPr>
            <w:tcW w:w="5386" w:type="dxa"/>
            <w:vAlign w:val="center"/>
          </w:tcPr>
          <w:p>
            <w:pPr>
              <w:pStyle w:val="单元格样式2"/>
            </w:pPr>
            <w:r>
              <w:t xml:space="preserve">培训、会议天数（天）</w:t>
            </w:r>
          </w:p>
        </w:tc>
        <w:tc>
          <w:tcPr>
            <w:tcW w:w="2268" w:type="dxa"/>
            <w:vAlign w:val="center"/>
          </w:tcPr>
          <w:p>
            <w:pPr>
              <w:pStyle w:val="单元格样式2"/>
            </w:pPr>
            <w:r>
              <w:t xml:space="preserve">3天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会议效果良好率</w:t>
            </w:r>
          </w:p>
        </w:tc>
        <w:tc>
          <w:tcPr>
            <w:tcW w:w="5386" w:type="dxa"/>
            <w:vAlign w:val="center"/>
          </w:tcPr>
          <w:p>
            <w:pPr>
              <w:pStyle w:val="单元格样式2"/>
            </w:pPr>
            <w:r>
              <w:t xml:space="preserve">会议效果良好率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会议完成时限</w:t>
            </w:r>
          </w:p>
        </w:tc>
        <w:tc>
          <w:tcPr>
            <w:tcW w:w="5386" w:type="dxa"/>
            <w:vAlign w:val="center"/>
          </w:tcPr>
          <w:p>
            <w:pPr>
              <w:pStyle w:val="单元格样式2"/>
            </w:pPr>
            <w:r>
              <w:t xml:space="preserve">会议完成时限</w:t>
            </w:r>
          </w:p>
        </w:tc>
        <w:tc>
          <w:tcPr>
            <w:tcW w:w="2268" w:type="dxa"/>
            <w:vAlign w:val="center"/>
          </w:tcPr>
          <w:p>
            <w:pPr>
              <w:pStyle w:val="单元格样式2"/>
            </w:pPr>
            <w:r>
              <w:t xml:space="preserve">3天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会议人均成本</w:t>
            </w:r>
          </w:p>
        </w:tc>
        <w:tc>
          <w:tcPr>
            <w:tcW w:w="5386" w:type="dxa"/>
            <w:vAlign w:val="center"/>
          </w:tcPr>
          <w:p>
            <w:pPr>
              <w:pStyle w:val="单元格样式2"/>
            </w:pPr>
            <w:r>
              <w:t xml:space="preserve">会议人均成本</w:t>
            </w:r>
          </w:p>
        </w:tc>
        <w:tc>
          <w:tcPr>
            <w:tcW w:w="2268" w:type="dxa"/>
            <w:vAlign w:val="center"/>
          </w:tcPr>
          <w:p>
            <w:pPr>
              <w:pStyle w:val="单元格样式2"/>
            </w:pPr>
            <w:r>
              <w:t xml:space="preserve">≤20百分比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降低成本</w:t>
            </w:r>
          </w:p>
        </w:tc>
        <w:tc>
          <w:tcPr>
            <w:tcW w:w="5386" w:type="dxa"/>
            <w:vAlign w:val="center"/>
          </w:tcPr>
          <w:p>
            <w:pPr>
              <w:pStyle w:val="单元格样式2"/>
            </w:pPr>
            <w:r>
              <w:t xml:space="preserve">降低成本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社会影响度</w:t>
            </w:r>
          </w:p>
        </w:tc>
        <w:tc>
          <w:tcPr>
            <w:tcW w:w="5386" w:type="dxa"/>
            <w:vAlign w:val="center"/>
          </w:tcPr>
          <w:p>
            <w:pPr>
              <w:pStyle w:val="单元格样式2"/>
            </w:pPr>
            <w:r>
              <w:t xml:space="preserve">社会影响度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环保节能</w:t>
            </w:r>
          </w:p>
        </w:tc>
        <w:tc>
          <w:tcPr>
            <w:tcW w:w="5386" w:type="dxa"/>
            <w:vAlign w:val="center"/>
          </w:tcPr>
          <w:p>
            <w:pPr>
              <w:pStyle w:val="单元格样式2"/>
            </w:pPr>
            <w:r>
              <w:t xml:space="preserve">环保节能</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服务满意度</w:t>
            </w:r>
          </w:p>
        </w:tc>
        <w:tc>
          <w:tcPr>
            <w:tcW w:w="5386" w:type="dxa"/>
            <w:vAlign w:val="center"/>
          </w:tcPr>
          <w:p>
            <w:pPr>
              <w:pStyle w:val="单元格样式2"/>
            </w:pPr>
            <w:r>
              <w:t xml:space="preserve">服务满意度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4、物业管理费绩效目标表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13052526P00000110100N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物业管理费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18.67</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18.67</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保障机关正常运行物业管理费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20%</w:t>
            </w:r>
          </w:p>
        </w:tc>
        <w:tc>
          <w:tcPr>
            <w:tcW w:w="2835" w:type="dxa"/>
            <w:vAlign w:val="center"/>
          </w:tcPr>
          <w:p>
            <w:pPr>
              <w:pStyle w:val="单元格样式3"/>
            </w:pPr>
            <w:r>
              <w:t xml:space="preserve">50%</w:t>
            </w:r>
          </w:p>
        </w:tc>
        <w:tc>
          <w:tcPr>
            <w:tcW w:w="2551" w:type="dxa"/>
            <w:vAlign w:val="center"/>
          </w:tcPr>
          <w:p>
            <w:pPr>
              <w:pStyle w:val="单元格样式3"/>
            </w:pPr>
            <w:r>
              <w:t xml:space="preserve">80%</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1.按时完成机关制定的既定目标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物业服务面积</w:t>
            </w:r>
          </w:p>
        </w:tc>
        <w:tc>
          <w:tcPr>
            <w:tcW w:w="5386" w:type="dxa"/>
            <w:vAlign w:val="center"/>
          </w:tcPr>
          <w:p>
            <w:pPr>
              <w:pStyle w:val="单元格样式2"/>
            </w:pPr>
            <w:r>
              <w:t xml:space="preserve">物业服务面积</w:t>
            </w:r>
          </w:p>
        </w:tc>
        <w:tc>
          <w:tcPr>
            <w:tcW w:w="2268" w:type="dxa"/>
            <w:vAlign w:val="center"/>
          </w:tcPr>
          <w:p>
            <w:pPr>
              <w:pStyle w:val="单元格样式2"/>
            </w:pPr>
            <w:r>
              <w:t xml:space="preserve">100机关办公面积</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保证工作正常开展</w:t>
            </w:r>
          </w:p>
        </w:tc>
        <w:tc>
          <w:tcPr>
            <w:tcW w:w="5386" w:type="dxa"/>
            <w:vAlign w:val="center"/>
          </w:tcPr>
          <w:p>
            <w:pPr>
              <w:pStyle w:val="单元格样式2"/>
            </w:pPr>
            <w:r>
              <w:t xml:space="preserve">保证工作正常开展</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按期完成率</w:t>
            </w:r>
          </w:p>
        </w:tc>
        <w:tc>
          <w:tcPr>
            <w:tcW w:w="5386" w:type="dxa"/>
            <w:vAlign w:val="center"/>
          </w:tcPr>
          <w:p>
            <w:pPr>
              <w:pStyle w:val="单元格样式2"/>
            </w:pPr>
            <w:r>
              <w:t xml:space="preserve">按期完成率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项目预算成本</w:t>
            </w:r>
          </w:p>
        </w:tc>
        <w:tc>
          <w:tcPr>
            <w:tcW w:w="5386" w:type="dxa"/>
            <w:vAlign w:val="center"/>
          </w:tcPr>
          <w:p>
            <w:pPr>
              <w:pStyle w:val="单元格样式2"/>
            </w:pPr>
            <w:r>
              <w:t xml:space="preserve">项目预算成本</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资金使用效益</w:t>
            </w:r>
          </w:p>
        </w:tc>
        <w:tc>
          <w:tcPr>
            <w:tcW w:w="5386" w:type="dxa"/>
            <w:vAlign w:val="center"/>
          </w:tcPr>
          <w:p>
            <w:pPr>
              <w:pStyle w:val="单元格样式2"/>
            </w:pPr>
            <w:r>
              <w:t xml:space="preserve">资金使用效益</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保障设备正常运行</w:t>
            </w:r>
          </w:p>
        </w:tc>
        <w:tc>
          <w:tcPr>
            <w:tcW w:w="5386" w:type="dxa"/>
            <w:vAlign w:val="center"/>
          </w:tcPr>
          <w:p>
            <w:pPr>
              <w:pStyle w:val="单元格样式2"/>
            </w:pPr>
            <w:r>
              <w:t xml:space="preserve">保障设备正常运行</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加强节约集约利用，促进生态文明</w:t>
            </w:r>
          </w:p>
        </w:tc>
        <w:tc>
          <w:tcPr>
            <w:tcW w:w="5386" w:type="dxa"/>
            <w:vAlign w:val="center"/>
          </w:tcPr>
          <w:p>
            <w:pPr>
              <w:pStyle w:val="单元格样式2"/>
            </w:pPr>
            <w:r>
              <w:t xml:space="preserve">加强节约集约利用，促进生态文明建设</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服务对象的满意度</w:t>
            </w:r>
          </w:p>
        </w:tc>
        <w:tc>
          <w:tcPr>
            <w:tcW w:w="5386" w:type="dxa"/>
            <w:vAlign w:val="center"/>
          </w:tcPr>
          <w:p>
            <w:pPr>
              <w:pStyle w:val="单元格样式2"/>
            </w:pPr>
            <w:r>
              <w:t xml:space="preserve">服务对象的满意度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5、预算联网监督经费绩效目标表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13052526P00000110101A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预算联网监督经费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预算联网监督正常运行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100%</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 </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1.按时完成机关年度工作计划安排</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监督检查覆盖率</w:t>
            </w:r>
          </w:p>
        </w:tc>
        <w:tc>
          <w:tcPr>
            <w:tcW w:w="5386" w:type="dxa"/>
            <w:vAlign w:val="center"/>
          </w:tcPr>
          <w:p>
            <w:pPr>
              <w:pStyle w:val="单元格样式2"/>
            </w:pPr>
            <w:r>
              <w:t xml:space="preserve">反映监督检查覆盖情况。</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档案整理验收合格率</w:t>
            </w:r>
          </w:p>
        </w:tc>
        <w:tc>
          <w:tcPr>
            <w:tcW w:w="5386" w:type="dxa"/>
            <w:vAlign w:val="center"/>
          </w:tcPr>
          <w:p>
            <w:pPr>
              <w:pStyle w:val="单元格样式2"/>
            </w:pPr>
            <w:r>
              <w:t xml:space="preserve">档案整理验收合格率</w:t>
            </w:r>
          </w:p>
        </w:tc>
        <w:tc>
          <w:tcPr>
            <w:tcW w:w="2268" w:type="dxa"/>
            <w:vAlign w:val="center"/>
          </w:tcPr>
          <w:p>
            <w:pPr>
              <w:pStyle w:val="单元格样式2"/>
            </w:pPr>
            <w:r>
              <w:t xml:space="preserve">≥100百分比</w:t>
            </w:r>
          </w:p>
        </w:tc>
        <w:tc>
          <w:tcPr>
            <w:tcW w:w="1276" w:type="dxa"/>
            <w:vAlign w:val="center"/>
          </w:tcPr>
          <w:p>
            <w:pPr>
              <w:pStyle w:val="单元格样式2"/>
            </w:pPr>
            <w:r>
              <w:tab/>
            </w:r>
          </w:p>
          <w:p>
            <w:pPr>
              <w:pStyle w:val="单元格样式2"/>
            </w:pPr>
          </w:p>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服务器采购完成时间</w:t>
            </w:r>
          </w:p>
        </w:tc>
        <w:tc>
          <w:tcPr>
            <w:tcW w:w="5386" w:type="dxa"/>
            <w:vAlign w:val="center"/>
          </w:tcPr>
          <w:p>
            <w:pPr>
              <w:pStyle w:val="单元格样式2"/>
            </w:pPr>
            <w:r>
              <w:t xml:space="preserve">服务器采购完成时间</w:t>
            </w:r>
          </w:p>
        </w:tc>
        <w:tc>
          <w:tcPr>
            <w:tcW w:w="2268" w:type="dxa"/>
            <w:vAlign w:val="center"/>
          </w:tcPr>
          <w:p>
            <w:pPr>
              <w:pStyle w:val="单元格样式2"/>
            </w:pPr>
            <w:r>
              <w:t xml:space="preserve">≤30天</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成本控制率(%)</w:t>
            </w:r>
          </w:p>
        </w:tc>
        <w:tc>
          <w:tcPr>
            <w:tcW w:w="5386" w:type="dxa"/>
            <w:vAlign w:val="center"/>
          </w:tcPr>
          <w:p>
            <w:pPr>
              <w:pStyle w:val="单元格样式2"/>
            </w:pPr>
            <w:r>
              <w:t xml:space="preserve">成本控制率(%)</w:t>
            </w:r>
          </w:p>
        </w:tc>
        <w:tc>
          <w:tcPr>
            <w:tcW w:w="2268" w:type="dxa"/>
            <w:vAlign w:val="center"/>
          </w:tcPr>
          <w:p>
            <w:pPr>
              <w:pStyle w:val="单元格样式2"/>
            </w:pPr>
            <w:r>
              <w:t xml:space="preserve">≥100百分比</w:t>
            </w:r>
          </w:p>
        </w:tc>
        <w:tc>
          <w:tcPr>
            <w:tcW w:w="1276" w:type="dxa"/>
            <w:vAlign w:val="center"/>
          </w:tcPr>
          <w:p>
            <w:pPr>
              <w:pStyle w:val="单元格样式2"/>
            </w:pPr>
            <w:r>
              <w:tab/>
            </w:r>
          </w:p>
          <w:p>
            <w:pPr>
              <w:pStyle w:val="单元格样式2"/>
            </w:pPr>
            <w:r>
              <w:t xml:space="preserve">年度工作安排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成本节约</w:t>
            </w:r>
          </w:p>
        </w:tc>
        <w:tc>
          <w:tcPr>
            <w:tcW w:w="5386" w:type="dxa"/>
            <w:vAlign w:val="center"/>
          </w:tcPr>
          <w:p>
            <w:pPr>
              <w:pStyle w:val="单元格样式2"/>
            </w:pPr>
            <w:r>
              <w:t xml:space="preserve">成本节约</w:t>
            </w:r>
          </w:p>
        </w:tc>
        <w:tc>
          <w:tcPr>
            <w:tcW w:w="2268" w:type="dxa"/>
            <w:vAlign w:val="center"/>
          </w:tcPr>
          <w:p>
            <w:pPr>
              <w:pStyle w:val="单元格样式2"/>
            </w:pPr>
            <w:r>
              <w:t xml:space="preserve">≤20百分比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认知度</w:t>
            </w:r>
          </w:p>
        </w:tc>
        <w:tc>
          <w:tcPr>
            <w:tcW w:w="5386" w:type="dxa"/>
            <w:vAlign w:val="center"/>
          </w:tcPr>
          <w:p>
            <w:pPr>
              <w:pStyle w:val="单元格样式2"/>
            </w:pPr>
            <w:r>
              <w:t xml:space="preserve">认知度</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节能环保减排</w:t>
            </w:r>
          </w:p>
        </w:tc>
        <w:tc>
          <w:tcPr>
            <w:tcW w:w="5386" w:type="dxa"/>
            <w:vAlign w:val="center"/>
          </w:tcPr>
          <w:p>
            <w:pPr>
              <w:pStyle w:val="单元格样式2"/>
            </w:pPr>
            <w:r>
              <w:t xml:space="preserve">节能环保减排</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服务对象满意度指标</w:t>
            </w:r>
          </w:p>
        </w:tc>
        <w:tc>
          <w:tcPr>
            <w:tcW w:w="5386" w:type="dxa"/>
            <w:vAlign w:val="center"/>
          </w:tcPr>
          <w:p>
            <w:pPr>
              <w:pStyle w:val="单元格样式2"/>
            </w:pPr>
            <w:r>
              <w:t xml:space="preserve">服务对象满意度指标</w:t>
            </w:r>
          </w:p>
        </w:tc>
        <w:tc>
          <w:tcPr>
            <w:tcW w:w="2268" w:type="dxa"/>
            <w:vAlign w:val="center"/>
          </w:tcPr>
          <w:p>
            <w:pPr>
              <w:pStyle w:val="单元格样式2"/>
            </w:pPr>
            <w:r>
              <w:t xml:space="preserve">≥100百分比</w:t>
            </w:r>
          </w:p>
        </w:tc>
        <w:tc>
          <w:tcPr>
            <w:tcW w:w="1276" w:type="dxa"/>
            <w:vAlign w:val="center"/>
          </w:tcPr>
          <w:p>
            <w:pPr>
              <w:pStyle w:val="单元格样式2"/>
            </w:pPr>
            <w:r>
              <w:t xml:space="preserve">年度工作安排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隆尧县人民代表大会常务委员会办公室本级上年末固定资产金额为0.00万元（详见下表）。本年度拟购置固定资产总额为0.00万元，已按要求列入政府采购预算，详见政府采购预算表。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101001隆尧县人民代表大会常务委员会办公室本级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p>
        </w:tc>
        <w:tc>
          <w:tcPr>
            <w:tcW w:w="2835" w:type="dxa"/>
            <w:vAlign w:val="center"/>
          </w:tcPr>
          <w:p>
            <w:pPr>
              <w:pStyle w:val="单元格样式3"/>
            </w:pPr>
          </w:p>
        </w:tc>
        <w:tc>
          <w:tcPr>
            <w:tcW w:w="2835" w:type="dxa"/>
            <w:vAlign w:val="center"/>
          </w:tcPr>
          <w:p>
            <w:pPr>
              <w:pStyle w:val="单元格样式4"/>
            </w:pPr>
          </w:p>
        </w:tc>
      </w:tr>
    </w:tbl>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注：无固定资产占用情况，空表列示。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54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53</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TOC2">
    <w:name w:val="TOC 2"/>
    <w:basedOn w:val="Normal"/>
    <w:qFormat/>
    <w:pPr>
      <w:ind w:left="240"/>
    </w:pPr>
  </w:style>
  <w:style w:type="paragraph" w:styleId="TOC3">
    <w:name w:val="TOC 3"/>
    <w:basedOn w:val="Normal"/>
    <w:qFormat/>
    <w:pPr>
      <w:ind w:left="480"/>
    </w:p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56</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2026-02-24T16:16:45Z</dcterms:created>
  <dcterms:modified xsi:type="dcterms:W3CDTF">2026-02-24T16:16:45Z</dcterms:modified>
</cp:coreProperties>
</file>