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shd w:val="clear" w:color="auto" w:fill="auto"/>
        <w:spacing w:before="0" w:beforeAutospacing="0" w:after="0" w:afterAutospacing="0" w:line="600" w:lineRule="exact"/>
        <w:ind w:left="0"/>
        <w:jc w:val="center"/>
        <w:rPr>
          <w:rFonts w:ascii="方正小标宋_GBK" w:hAnsi="方正小标宋_GBK" w:eastAsia="方正小标宋_GBK" w:cs="方正小标宋_GBK"/>
          <w:b w:val="0"/>
          <w:bCs w:val="0"/>
          <w:color w:val="000000"/>
          <w:kern w:val="36"/>
          <w:sz w:val="44"/>
          <w:szCs w:val="44"/>
        </w:rPr>
      </w:pPr>
      <w:r>
        <w:rPr>
          <w:rFonts w:hint="eastAsia" w:ascii="方正小标宋_GBK" w:hAnsi="方正小标宋_GBK" w:eastAsia="方正小标宋_GBK" w:cs="方正小标宋_GBK"/>
          <w:b w:val="0"/>
          <w:bCs w:val="0"/>
          <w:color w:val="000000"/>
          <w:kern w:val="36"/>
          <w:sz w:val="44"/>
          <w:szCs w:val="44"/>
        </w:rPr>
        <w:t xml:space="preserve">2026年隆尧县发展和改革局 </w:t>
      </w:r>
    </w:p>
    <w:p>
      <w:pPr>
        <w:pStyle w:val="2"/>
        <w:shd w:val="clear" w:color="auto" w:fill="auto"/>
        <w:spacing w:before="0" w:beforeAutospacing="0" w:after="0" w:afterAutospacing="0" w:line="600" w:lineRule="exact"/>
        <w:ind w:left="0"/>
        <w:jc w:val="center"/>
        <w:rPr>
          <w:rFonts w:hint="eastAsia" w:ascii="方正小标宋_GBK" w:hAnsi="方正小标宋_GBK" w:eastAsia="方正小标宋_GBK" w:cs="方正小标宋_GBK"/>
          <w:b w:val="0"/>
          <w:bCs w:val="0"/>
          <w:color w:val="000000"/>
          <w:kern w:val="36"/>
          <w:sz w:val="44"/>
          <w:szCs w:val="44"/>
        </w:rPr>
      </w:pPr>
      <w:r>
        <w:rPr>
          <w:rFonts w:hint="eastAsia" w:ascii="方正小标宋_GBK" w:hAnsi="方正小标宋_GBK" w:eastAsia="方正小标宋_GBK" w:cs="方正小标宋_GBK"/>
          <w:b w:val="0"/>
          <w:bCs w:val="0"/>
          <w:color w:val="000000"/>
          <w:kern w:val="36"/>
          <w:sz w:val="44"/>
          <w:szCs w:val="44"/>
        </w:rPr>
        <w:t>“双随机、一公开”工作实施方案</w:t>
      </w:r>
    </w:p>
    <w:p>
      <w:pPr>
        <w:shd w:val="clear" w:color="auto" w:fill="auto"/>
        <w:spacing w:before="0" w:after="0" w:line="600" w:lineRule="exact"/>
        <w:ind w:left="0" w:firstLine="320" w:firstLineChars="100"/>
        <w:jc w:val="both"/>
        <w:rPr>
          <w:rFonts w:hint="eastAsia" w:ascii="CESI仿宋-GB2312" w:hAnsi="CESI仿宋-GB2312" w:eastAsia="CESI仿宋-GB2312" w:cs="CESI仿宋-GB2312"/>
          <w:b w:val="0"/>
          <w:bCs w:val="0"/>
          <w:color w:val="000000"/>
          <w:sz w:val="32"/>
          <w:szCs w:val="32"/>
        </w:rPr>
      </w:pPr>
      <w:r>
        <w:rPr>
          <w:rFonts w:hint="eastAsia" w:ascii="CESI仿宋-GB2312" w:hAnsi="CESI仿宋-GB2312" w:eastAsia="CESI仿宋-GB2312" w:cs="CESI仿宋-GB2312"/>
          <w:b w:val="0"/>
          <w:bCs w:val="0"/>
          <w:color w:val="000000"/>
          <w:sz w:val="32"/>
          <w:szCs w:val="32"/>
        </w:rPr>
        <w:t>为深入贯彻落实国务院、省委省政府、市委市政府及县委县政府关于优化营商环境和深化“双随机、一公开”监管的工作部署，严格落实《2026 年隆尧县 “双随机、一公开” 监管工作实施方案》要求，结合发改局、国动办监管工作职责和领域实际，持续规范涉企行政检查行为，提升监管效能，优化营商环境，制定本方案。</w:t>
      </w:r>
    </w:p>
    <w:p>
      <w:pPr>
        <w:pStyle w:val="3"/>
        <w:shd w:val="clear" w:color="auto" w:fill="auto"/>
        <w:spacing w:before="0" w:beforeAutospacing="0" w:after="0" w:afterAutospacing="0" w:line="600" w:lineRule="exact"/>
        <w:ind w:left="0"/>
        <w:rPr>
          <w:rFonts w:hint="eastAsia" w:ascii="方正黑体_GBK" w:hAnsi="方正黑体_GBK" w:eastAsia="方正黑体_GBK" w:cs="方正黑体_GBK"/>
          <w:b w:val="0"/>
          <w:bCs w:val="0"/>
          <w:color w:val="000000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b w:val="0"/>
          <w:bCs w:val="0"/>
          <w:color w:val="000000"/>
          <w:sz w:val="32"/>
          <w:szCs w:val="32"/>
        </w:rPr>
        <w:t>一、工作思路</w:t>
      </w:r>
    </w:p>
    <w:p>
      <w:pPr>
        <w:shd w:val="clear" w:color="auto" w:fill="auto"/>
        <w:spacing w:before="100" w:after="100" w:line="600" w:lineRule="exact"/>
        <w:ind w:left="0" w:firstLine="320" w:firstLineChars="100"/>
        <w:jc w:val="both"/>
        <w:rPr>
          <w:rFonts w:hint="eastAsia" w:ascii="CESI仿宋-GB2312" w:hAnsi="CESI仿宋-GB2312" w:eastAsia="CESI仿宋-GB2312" w:cs="CESI仿宋-GB2312"/>
          <w:b w:val="0"/>
          <w:bCs w:val="0"/>
          <w:color w:val="000000"/>
          <w:sz w:val="32"/>
          <w:szCs w:val="32"/>
        </w:rPr>
      </w:pPr>
      <w:r>
        <w:rPr>
          <w:rStyle w:val="7"/>
          <w:rFonts w:hint="eastAsia" w:ascii="方正楷体_GBK" w:hAnsi="方正楷体_GBK" w:eastAsia="方正楷体_GBK" w:cs="方正楷体_GBK"/>
          <w:b/>
          <w:bCs w:val="0"/>
          <w:color w:val="000000"/>
          <w:sz w:val="32"/>
          <w:szCs w:val="32"/>
          <w:shd w:val="clear" w:color="auto" w:fill="auto"/>
        </w:rPr>
        <w:t>规范检查流程，筑牢监管闭环</w:t>
      </w:r>
      <w:r>
        <w:rPr>
          <w:rFonts w:hint="eastAsia" w:ascii="方正楷体_GBK" w:hAnsi="方正楷体_GBK" w:eastAsia="方正楷体_GBK" w:cs="方正楷体_GBK"/>
          <w:b w:val="0"/>
          <w:bCs w:val="0"/>
          <w:color w:val="000000"/>
          <w:sz w:val="32"/>
          <w:szCs w:val="32"/>
        </w:rPr>
        <w:t>：</w:t>
      </w:r>
      <w:r>
        <w:rPr>
          <w:rFonts w:hint="eastAsia" w:ascii="CESI仿宋-GB2312" w:hAnsi="CESI仿宋-GB2312" w:eastAsia="CESI仿宋-GB2312" w:cs="CESI仿宋-GB2312"/>
          <w:b w:val="0"/>
          <w:bCs w:val="0"/>
          <w:color w:val="000000"/>
          <w:sz w:val="32"/>
          <w:szCs w:val="32"/>
        </w:rPr>
        <w:t>严格按照县级工作标准，规范发改、国动领域随机抽查全流程，健全抽查后续处置、问题线索移送机制，杜绝多头检查、重复检查和随意检查，回应经营主体合理诉求。</w:t>
      </w:r>
    </w:p>
    <w:p>
      <w:pPr>
        <w:shd w:val="clear" w:color="auto" w:fill="auto"/>
        <w:spacing w:before="100" w:after="100" w:line="600" w:lineRule="exact"/>
        <w:ind w:left="0" w:firstLine="320" w:firstLineChars="100"/>
        <w:jc w:val="both"/>
        <w:rPr>
          <w:rFonts w:hint="eastAsia" w:ascii="CESI仿宋-GB2312" w:hAnsi="CESI仿宋-GB2312" w:eastAsia="CESI仿宋-GB2312" w:cs="CESI仿宋-GB2312"/>
          <w:b w:val="0"/>
          <w:bCs w:val="0"/>
          <w:color w:val="000000"/>
          <w:sz w:val="32"/>
          <w:szCs w:val="32"/>
        </w:rPr>
      </w:pPr>
      <w:r>
        <w:rPr>
          <w:rStyle w:val="7"/>
          <w:rFonts w:hint="eastAsia" w:ascii="方正楷体_GBK" w:hAnsi="方正楷体_GBK" w:eastAsia="方正楷体_GBK" w:cs="方正楷体_GBK"/>
          <w:bCs w:val="0"/>
          <w:color w:val="000000"/>
          <w:sz w:val="32"/>
          <w:szCs w:val="32"/>
          <w:shd w:val="clear" w:color="auto" w:fill="auto"/>
        </w:rPr>
        <w:t>深化协同联动，推进联合监管：</w:t>
      </w:r>
      <w:r>
        <w:rPr>
          <w:rFonts w:hint="eastAsia" w:ascii="CESI仿宋-GB2312" w:hAnsi="CESI仿宋-GB2312" w:eastAsia="CESI仿宋-GB2312" w:cs="CESI仿宋-GB2312"/>
          <w:b w:val="0"/>
          <w:bCs w:val="0"/>
          <w:color w:val="000000"/>
          <w:sz w:val="32"/>
          <w:szCs w:val="32"/>
        </w:rPr>
        <w:t>立足发改、国动部门监管职责，加强与市场监管、住建、能源等部门的协调配合，积极融入县级 “一业一查” 联合模式，推动部门联合抽查成为本领域日常监管的主要方式，压减涉企检查频次。</w:t>
      </w:r>
    </w:p>
    <w:p>
      <w:pPr>
        <w:shd w:val="clear" w:color="auto" w:fill="auto"/>
        <w:spacing w:before="100" w:after="100" w:line="600" w:lineRule="exact"/>
        <w:ind w:left="0" w:firstLine="320" w:firstLineChars="100"/>
        <w:jc w:val="both"/>
        <w:rPr>
          <w:rFonts w:ascii="CESI仿宋-GB2312" w:hAnsi="CESI仿宋-GB2312" w:eastAsia="CESI仿宋-GB2312" w:cs="CESI仿宋-GB2312"/>
          <w:b w:val="0"/>
          <w:bCs w:val="0"/>
          <w:color w:val="000000"/>
          <w:sz w:val="32"/>
          <w:szCs w:val="32"/>
        </w:rPr>
      </w:pPr>
      <w:r>
        <w:rPr>
          <w:rStyle w:val="7"/>
          <w:rFonts w:hint="eastAsia" w:ascii="方正楷体_GBK" w:hAnsi="方正楷体_GBK" w:eastAsia="方正楷体_GBK" w:cs="方正楷体_GBK"/>
          <w:bCs w:val="0"/>
          <w:color w:val="000000"/>
          <w:sz w:val="32"/>
          <w:szCs w:val="32"/>
          <w:shd w:val="clear" w:color="auto" w:fill="auto"/>
        </w:rPr>
        <w:t>实施差异监管，提升监管质效：</w:t>
      </w:r>
      <w:r>
        <w:rPr>
          <w:rFonts w:hint="eastAsia" w:ascii="CESI仿宋-GB2312" w:hAnsi="CESI仿宋-GB2312" w:eastAsia="CESI仿宋-GB2312" w:cs="CESI仿宋-GB2312"/>
          <w:b w:val="0"/>
          <w:bCs w:val="0"/>
          <w:color w:val="000000"/>
          <w:sz w:val="32"/>
          <w:szCs w:val="32"/>
        </w:rPr>
        <w:t>将企业信用风险分类结果常态化运用到发改、国动领域双随机抽查中，根据信用风险等级精准确定抽查比例、频次和检查方式，实现 “信用高者少查、信用低者严管”，提升精准监管水平。</w:t>
      </w:r>
    </w:p>
    <w:p>
      <w:pPr>
        <w:shd w:val="clear" w:color="auto" w:fill="auto"/>
        <w:spacing w:before="100" w:after="100" w:line="600" w:lineRule="exact"/>
        <w:ind w:left="0" w:firstLine="320" w:firstLineChars="100"/>
        <w:jc w:val="both"/>
        <w:rPr>
          <w:rFonts w:hint="eastAsia" w:ascii="CESI仿宋-GB2312" w:hAnsi="CESI仿宋-GB2312" w:eastAsia="CESI仿宋-GB2312" w:cs="CESI仿宋-GB2312"/>
          <w:b w:val="0"/>
          <w:bCs w:val="0"/>
          <w:color w:val="000000"/>
          <w:sz w:val="32"/>
          <w:szCs w:val="32"/>
        </w:rPr>
      </w:pPr>
      <w:r>
        <w:rPr>
          <w:rStyle w:val="7"/>
          <w:rFonts w:hint="eastAsia" w:ascii="方正楷体_GBK" w:hAnsi="方正楷体_GBK" w:eastAsia="方正楷体_GBK" w:cs="方正楷体_GBK"/>
          <w:bCs w:val="0"/>
          <w:color w:val="000000"/>
          <w:sz w:val="32"/>
          <w:szCs w:val="32"/>
          <w:shd w:val="clear" w:color="auto" w:fill="auto"/>
        </w:rPr>
        <w:t>坚持监服融合，助力高质量发展：</w:t>
      </w:r>
      <w:r>
        <w:rPr>
          <w:rFonts w:hint="eastAsia" w:ascii="CESI仿宋-GB2312" w:hAnsi="CESI仿宋-GB2312" w:eastAsia="CESI仿宋-GB2312" w:cs="CESI仿宋-GB2312"/>
          <w:b w:val="0"/>
          <w:bCs w:val="0"/>
          <w:color w:val="000000"/>
          <w:sz w:val="32"/>
          <w:szCs w:val="32"/>
        </w:rPr>
        <w:t>牢固树立 “监管 + 服务” 理念，在抽查检查中同步开展政策宣教和行政指导，及时解决企业在项目建设、人防工程建设、资质运营等环节的实际问题，以精准监管护航企业高质量发展。</w:t>
      </w:r>
    </w:p>
    <w:p>
      <w:pPr>
        <w:pStyle w:val="3"/>
        <w:shd w:val="clear" w:color="auto" w:fill="auto"/>
        <w:spacing w:before="0" w:beforeAutospacing="0" w:after="0" w:afterAutospacing="0" w:line="600" w:lineRule="exact"/>
        <w:ind w:left="0"/>
        <w:rPr>
          <w:rFonts w:hint="eastAsia" w:ascii="方正黑体_GBK" w:hAnsi="方正黑体_GBK" w:eastAsia="方正黑体_GBK" w:cs="方正黑体_GBK"/>
          <w:b w:val="0"/>
          <w:bCs w:val="0"/>
          <w:color w:val="000000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b w:val="0"/>
          <w:bCs w:val="0"/>
          <w:color w:val="000000"/>
          <w:sz w:val="32"/>
          <w:szCs w:val="32"/>
        </w:rPr>
        <w:t>二、工作目标</w:t>
      </w:r>
    </w:p>
    <w:p>
      <w:pPr>
        <w:shd w:val="clear" w:color="auto" w:fill="auto"/>
        <w:spacing w:before="0" w:after="0" w:line="600" w:lineRule="exact"/>
        <w:ind w:left="0" w:firstLine="320" w:firstLineChars="100"/>
        <w:jc w:val="both"/>
        <w:rPr>
          <w:rFonts w:hint="eastAsia" w:ascii="CESI仿宋-GB2312" w:hAnsi="CESI仿宋-GB2312" w:eastAsia="CESI仿宋-GB2312" w:cs="CESI仿宋-GB2312"/>
          <w:b w:val="0"/>
          <w:bCs w:val="0"/>
          <w:color w:val="000000"/>
          <w:sz w:val="32"/>
          <w:szCs w:val="32"/>
        </w:rPr>
      </w:pPr>
      <w:r>
        <w:rPr>
          <w:rFonts w:hint="eastAsia" w:ascii="CESI仿宋-GB2312" w:hAnsi="CESI仿宋-GB2312" w:eastAsia="CESI仿宋-GB2312" w:cs="CESI仿宋-GB2312"/>
          <w:b w:val="0"/>
          <w:bCs w:val="0"/>
          <w:color w:val="000000"/>
          <w:sz w:val="32"/>
          <w:szCs w:val="32"/>
        </w:rPr>
        <w:t>2026 年底前，全面完善发改、国动领域 “一单两库” 动态管理机制；本领域联合抽查次数占随机抽查总次数比例不低于 60%，联合抽查户数占随机抽查总户数比例不低于 50%；运用信用风险分级分类开展的抽查次数占比不低于 95%；非现场检查方式在本领域抽查中广泛应用，涉企现场检查频次有效压缩；抽查结果 100% 依法依规公开，实现监管闭环管理。</w:t>
      </w:r>
    </w:p>
    <w:p>
      <w:pPr>
        <w:pStyle w:val="3"/>
        <w:shd w:val="clear" w:color="auto" w:fill="auto"/>
        <w:spacing w:before="0" w:beforeAutospacing="0" w:after="0" w:afterAutospacing="0" w:line="600" w:lineRule="exact"/>
        <w:ind w:left="0"/>
        <w:rPr>
          <w:rFonts w:hint="eastAsia" w:ascii="方正黑体_GBK" w:hAnsi="方正黑体_GBK" w:eastAsia="方正黑体_GBK" w:cs="方正黑体_GBK"/>
          <w:b w:val="0"/>
          <w:bCs w:val="0"/>
          <w:color w:val="000000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b w:val="0"/>
          <w:bCs w:val="0"/>
          <w:color w:val="000000"/>
          <w:sz w:val="32"/>
          <w:szCs w:val="32"/>
        </w:rPr>
        <w:t>三、主要工作任务</w:t>
      </w:r>
    </w:p>
    <w:p>
      <w:pPr>
        <w:pStyle w:val="4"/>
        <w:shd w:val="clear" w:color="auto" w:fill="auto"/>
        <w:spacing w:before="0" w:beforeAutospacing="0" w:after="0" w:afterAutospacing="0" w:line="600" w:lineRule="exact"/>
        <w:ind w:left="0"/>
        <w:rPr>
          <w:rFonts w:hint="eastAsia" w:ascii="CESI仿宋-GB2312" w:hAnsi="CESI仿宋-GB2312" w:eastAsia="CESI仿宋-GB2312" w:cs="CESI仿宋-GB2312"/>
          <w:b w:val="0"/>
          <w:bCs w:val="0"/>
          <w:color w:val="000000"/>
          <w:sz w:val="32"/>
          <w:szCs w:val="32"/>
        </w:rPr>
      </w:pPr>
      <w:r>
        <w:rPr>
          <w:rFonts w:hint="eastAsia" w:ascii="CESI仿宋-GB2312" w:hAnsi="CESI仿宋-GB2312" w:eastAsia="CESI仿宋-GB2312" w:cs="CESI仿宋-GB2312"/>
          <w:b w:val="0"/>
          <w:bCs w:val="0"/>
          <w:color w:val="000000"/>
          <w:sz w:val="32"/>
          <w:szCs w:val="32"/>
        </w:rPr>
        <w:t>（一）完善 “一单两库”，夯实监管基础（完成时限：2026 年 3 月底前）</w:t>
      </w:r>
    </w:p>
    <w:p>
      <w:pPr>
        <w:shd w:val="clear" w:color="auto" w:fill="auto"/>
        <w:spacing w:before="0" w:after="0" w:line="600" w:lineRule="exact"/>
        <w:ind w:left="0" w:firstLine="320" w:firstLineChars="100"/>
        <w:jc w:val="both"/>
        <w:rPr>
          <w:rFonts w:hint="eastAsia" w:ascii="CESI仿宋-GB2312" w:hAnsi="CESI仿宋-GB2312" w:eastAsia="CESI仿宋-GB2312" w:cs="CESI仿宋-GB2312"/>
          <w:b w:val="0"/>
          <w:bCs w:val="0"/>
          <w:color w:val="000000"/>
          <w:sz w:val="32"/>
          <w:szCs w:val="32"/>
        </w:rPr>
      </w:pPr>
      <w:r>
        <w:rPr>
          <w:rStyle w:val="7"/>
          <w:rFonts w:hint="eastAsia" w:ascii="方正楷体_GBK" w:hAnsi="方正楷体_GBK" w:eastAsia="方正楷体_GBK" w:cs="方正楷体_GBK"/>
          <w:bCs w:val="0"/>
          <w:color w:val="000000"/>
          <w:sz w:val="32"/>
          <w:szCs w:val="32"/>
          <w:shd w:val="clear" w:color="auto" w:fill="auto"/>
        </w:rPr>
        <w:t>规范制定抽查事项清单：</w:t>
      </w:r>
      <w:r>
        <w:rPr>
          <w:rFonts w:hint="eastAsia" w:ascii="CESI仿宋-GB2312" w:hAnsi="CESI仿宋-GB2312" w:eastAsia="CESI仿宋-GB2312" w:cs="CESI仿宋-GB2312"/>
          <w:b w:val="0"/>
          <w:bCs w:val="0"/>
          <w:color w:val="000000"/>
          <w:sz w:val="32"/>
          <w:szCs w:val="32"/>
        </w:rPr>
        <w:t>依据省级发改、国动部门随机抽查事项清单，结合本县监管事权、“三定” 方案及工作职责，认领并梳理形</w:t>
      </w:r>
      <w:r>
        <w:rPr>
          <w:rFonts w:hint="eastAsia" w:ascii="CESI仿宋-GB2312" w:hAnsi="CESI仿宋-GB2312" w:eastAsia="CESI仿宋-GB2312" w:cs="CESI仿宋-GB2312"/>
          <w:color w:val="000000"/>
          <w:sz w:val="32"/>
          <w:szCs w:val="32"/>
        </w:rPr>
        <w:t>成隆尧县发改局、国动办联合随机抽查事项清单，明确抽查事项、检查内容、检查方式、检查依据、抽查比例等，清单实</w:t>
      </w:r>
      <w:r>
        <w:rPr>
          <w:rFonts w:hint="eastAsia" w:ascii="CESI仿宋-GB2312" w:hAnsi="CESI仿宋-GB2312" w:eastAsia="CESI仿宋-GB2312" w:cs="CESI仿宋-GB2312"/>
          <w:b w:val="0"/>
          <w:bCs w:val="0"/>
          <w:color w:val="000000"/>
          <w:sz w:val="32"/>
          <w:szCs w:val="32"/>
        </w:rPr>
        <w:t>行动态管理，及时根据上级政策调整更新并向社会公开。</w:t>
      </w:r>
    </w:p>
    <w:p>
      <w:pPr>
        <w:shd w:val="clear" w:color="auto" w:fill="auto"/>
        <w:spacing w:before="100" w:after="100" w:line="600" w:lineRule="exact"/>
        <w:ind w:left="0" w:firstLine="320" w:firstLineChars="100"/>
        <w:jc w:val="both"/>
        <w:rPr>
          <w:rFonts w:hint="eastAsia" w:ascii="CESI仿宋-GB2312" w:hAnsi="CESI仿宋-GB2312" w:eastAsia="CESI仿宋-GB2312" w:cs="CESI仿宋-GB2312"/>
          <w:b w:val="0"/>
          <w:bCs w:val="0"/>
          <w:color w:val="000000"/>
          <w:sz w:val="32"/>
          <w:szCs w:val="32"/>
        </w:rPr>
      </w:pPr>
      <w:r>
        <w:rPr>
          <w:rStyle w:val="7"/>
          <w:rFonts w:hint="eastAsia" w:ascii="方正楷体_GBK" w:hAnsi="方正楷体_GBK" w:eastAsia="方正楷体_GBK" w:cs="方正楷体_GBK"/>
          <w:bCs w:val="0"/>
          <w:color w:val="000000"/>
          <w:sz w:val="32"/>
          <w:szCs w:val="32"/>
          <w:shd w:val="clear" w:color="auto" w:fill="auto"/>
        </w:rPr>
        <w:t>发改领域重点认领：</w:t>
      </w:r>
      <w:r>
        <w:rPr>
          <w:rFonts w:hint="eastAsia" w:ascii="CESI仿宋-GB2312" w:hAnsi="CESI仿宋-GB2312" w:eastAsia="CESI仿宋-GB2312" w:cs="CESI仿宋-GB2312"/>
          <w:b w:val="0"/>
          <w:bCs w:val="0"/>
          <w:color w:val="000000"/>
          <w:sz w:val="32"/>
          <w:szCs w:val="32"/>
        </w:rPr>
        <w:t>固定资产投资项目节能审查意见落实情况检查、企业投资核准 / 备案项目建设情况检查、政府投资重大项目招投标及建设监督检查等事项；</w:t>
      </w:r>
    </w:p>
    <w:p>
      <w:pPr>
        <w:shd w:val="clear" w:color="auto" w:fill="auto"/>
        <w:spacing w:before="100" w:after="100" w:line="600" w:lineRule="exact"/>
        <w:ind w:left="0" w:firstLine="320" w:firstLineChars="100"/>
        <w:jc w:val="both"/>
        <w:rPr>
          <w:rFonts w:hint="eastAsia" w:ascii="CESI仿宋-GB2312" w:hAnsi="CESI仿宋-GB2312" w:eastAsia="CESI仿宋-GB2312" w:cs="CESI仿宋-GB2312"/>
          <w:b w:val="0"/>
          <w:bCs w:val="0"/>
          <w:color w:val="000000"/>
          <w:sz w:val="32"/>
          <w:szCs w:val="32"/>
        </w:rPr>
      </w:pPr>
      <w:r>
        <w:rPr>
          <w:rStyle w:val="7"/>
          <w:rFonts w:hint="eastAsia" w:ascii="方正楷体_GBK" w:hAnsi="方正楷体_GBK" w:eastAsia="方正楷体_GBK" w:cs="方正楷体_GBK"/>
          <w:bCs w:val="0"/>
          <w:color w:val="000000"/>
          <w:sz w:val="32"/>
          <w:szCs w:val="32"/>
          <w:shd w:val="clear" w:color="auto" w:fill="auto"/>
        </w:rPr>
        <w:t>国动领域重点认领：</w:t>
      </w:r>
      <w:r>
        <w:rPr>
          <w:rFonts w:hint="eastAsia" w:ascii="CESI仿宋-GB2312" w:hAnsi="CESI仿宋-GB2312" w:eastAsia="CESI仿宋-GB2312" w:cs="CESI仿宋-GB2312"/>
          <w:b w:val="0"/>
          <w:bCs w:val="0"/>
          <w:color w:val="000000"/>
          <w:sz w:val="32"/>
          <w:szCs w:val="32"/>
        </w:rPr>
        <w:t>人防从业企业资质检查、人防工程质量 / 产品质量检查、人防教育实施情况检查、人防工程招标采购及合同履行情况检查等事项。</w:t>
      </w:r>
    </w:p>
    <w:p>
      <w:pPr>
        <w:shd w:val="clear" w:color="auto" w:fill="auto"/>
        <w:spacing w:before="0" w:after="0" w:line="600" w:lineRule="exact"/>
        <w:ind w:left="0" w:firstLine="320" w:firstLineChars="100"/>
        <w:jc w:val="both"/>
        <w:rPr>
          <w:rFonts w:hint="eastAsia" w:ascii="CESI仿宋-GB2312" w:hAnsi="CESI仿宋-GB2312" w:eastAsia="CESI仿宋-GB2312" w:cs="CESI仿宋-GB2312"/>
          <w:color w:val="000000"/>
          <w:sz w:val="32"/>
          <w:szCs w:val="32"/>
        </w:rPr>
      </w:pPr>
      <w:r>
        <w:rPr>
          <w:rStyle w:val="7"/>
          <w:rFonts w:hint="eastAsia" w:ascii="方正楷体_GBK" w:hAnsi="方正楷体_GBK" w:eastAsia="方正楷体_GBK" w:cs="方正楷体_GBK"/>
          <w:bCs w:val="0"/>
          <w:color w:val="000000"/>
          <w:sz w:val="32"/>
          <w:szCs w:val="32"/>
          <w:shd w:val="clear" w:color="auto" w:fill="auto"/>
        </w:rPr>
        <w:t>动态调整 “两库” 信息：</w:t>
      </w:r>
      <w:r>
        <w:rPr>
          <w:rFonts w:hint="eastAsia" w:ascii="CESI仿宋-GB2312" w:hAnsi="CESI仿宋-GB2312" w:eastAsia="CESI仿宋-GB2312" w:cs="CESI仿宋-GB2312"/>
          <w:b w:val="0"/>
          <w:bCs w:val="0"/>
          <w:color w:val="000000"/>
          <w:sz w:val="32"/>
          <w:szCs w:val="32"/>
        </w:rPr>
        <w:t>严格落实行政检查实施主体 “四个严禁” 要求，在县级监管平台同步建立并完善</w:t>
      </w:r>
      <w:r>
        <w:rPr>
          <w:rFonts w:hint="eastAsia" w:ascii="CESI仿宋-GB2312" w:hAnsi="CESI仿宋-GB2312" w:eastAsia="CESI仿宋-GB2312" w:cs="CESI仿宋-GB2312"/>
          <w:color w:val="000000"/>
          <w:sz w:val="32"/>
          <w:szCs w:val="32"/>
        </w:rPr>
        <w:t>检查对象名录库和执法检查人员名录库，做到 “应纳尽纳、动态更新”。</w:t>
      </w:r>
    </w:p>
    <w:p>
      <w:pPr>
        <w:shd w:val="clear" w:color="auto" w:fill="auto"/>
        <w:spacing w:before="100" w:after="100" w:line="600" w:lineRule="exact"/>
        <w:ind w:left="0" w:firstLine="320" w:firstLineChars="100"/>
        <w:rPr>
          <w:rFonts w:hint="eastAsia" w:ascii="CESI仿宋-GB2312" w:hAnsi="CESI仿宋-GB2312" w:eastAsia="CESI仿宋-GB2312" w:cs="CESI仿宋-GB2312"/>
          <w:b w:val="0"/>
          <w:bCs w:val="0"/>
          <w:color w:val="000000"/>
          <w:sz w:val="32"/>
          <w:szCs w:val="32"/>
        </w:rPr>
      </w:pPr>
      <w:r>
        <w:rPr>
          <w:rStyle w:val="7"/>
          <w:rFonts w:hint="eastAsia" w:ascii="方正楷体_GBK" w:hAnsi="方正楷体_GBK" w:eastAsia="方正楷体_GBK" w:cs="方正楷体_GBK"/>
          <w:bCs w:val="0"/>
          <w:color w:val="000000"/>
          <w:sz w:val="32"/>
          <w:szCs w:val="32"/>
          <w:shd w:val="clear" w:color="auto" w:fill="auto"/>
        </w:rPr>
        <w:t>检查对象名录库：</w:t>
      </w:r>
      <w:r>
        <w:rPr>
          <w:rFonts w:hint="eastAsia" w:ascii="CESI仿宋-GB2312" w:hAnsi="CESI仿宋-GB2312" w:eastAsia="CESI仿宋-GB2312" w:cs="CESI仿宋-GB2312"/>
          <w:b w:val="0"/>
          <w:bCs w:val="0"/>
          <w:color w:val="000000"/>
          <w:sz w:val="32"/>
          <w:szCs w:val="32"/>
        </w:rPr>
        <w:t>分类录入本县范围内涉及固定资产投资、节能审查、政府投资项目建设的企业，以及人防工程设计、生产、安装、监理等人防从业企业，城市规划区内开展人防教育的学校等，标注主体名称、统一社会信用代码、信用风险等级、监管类别等关键信息；</w:t>
      </w:r>
    </w:p>
    <w:p>
      <w:pPr>
        <w:shd w:val="clear" w:color="auto" w:fill="auto"/>
        <w:spacing w:before="100" w:after="100" w:line="600" w:lineRule="exact"/>
        <w:ind w:left="0" w:firstLine="320" w:firstLineChars="100"/>
        <w:rPr>
          <w:rFonts w:hint="eastAsia" w:ascii="CESI仿宋-GB2312" w:hAnsi="CESI仿宋-GB2312" w:eastAsia="CESI仿宋-GB2312" w:cs="CESI仿宋-GB2312"/>
          <w:b w:val="0"/>
          <w:bCs w:val="0"/>
          <w:color w:val="000000"/>
          <w:sz w:val="32"/>
          <w:szCs w:val="32"/>
        </w:rPr>
      </w:pPr>
      <w:r>
        <w:rPr>
          <w:rStyle w:val="7"/>
          <w:rFonts w:hint="eastAsia" w:ascii="方正楷体_GBK" w:hAnsi="方正楷体_GBK" w:eastAsia="方正楷体_GBK" w:cs="方正楷体_GBK"/>
          <w:bCs w:val="0"/>
          <w:color w:val="000000"/>
          <w:sz w:val="32"/>
          <w:szCs w:val="32"/>
          <w:shd w:val="clear" w:color="auto" w:fill="auto"/>
        </w:rPr>
        <w:t>执法检查人员名录库：</w:t>
      </w:r>
      <w:r>
        <w:rPr>
          <w:rFonts w:hint="eastAsia" w:ascii="CESI仿宋-GB2312" w:hAnsi="CESI仿宋-GB2312" w:eastAsia="CESI仿宋-GB2312" w:cs="CESI仿宋-GB2312"/>
          <w:b w:val="0"/>
          <w:bCs w:val="0"/>
          <w:color w:val="000000"/>
          <w:sz w:val="32"/>
          <w:szCs w:val="32"/>
        </w:rPr>
        <w:t>录入发改局、国动办具备执法资格、从事相关监管工作的工作人员，标注姓名、执法证号、专业领域、工作职责等信息，实现执法人员与检查事项精准匹配。</w:t>
      </w:r>
    </w:p>
    <w:p>
      <w:pPr>
        <w:shd w:val="clear" w:color="auto" w:fill="auto"/>
        <w:spacing w:before="100" w:after="100" w:line="600" w:lineRule="exact"/>
        <w:ind w:left="0" w:firstLine="320" w:firstLineChars="100"/>
        <w:rPr>
          <w:rFonts w:hint="eastAsia" w:ascii="CESI仿宋-GB2312" w:hAnsi="CESI仿宋-GB2312" w:eastAsia="CESI仿宋-GB2312" w:cs="CESI仿宋-GB2312"/>
          <w:b w:val="0"/>
          <w:bCs w:val="0"/>
          <w:color w:val="000000"/>
          <w:sz w:val="32"/>
          <w:szCs w:val="32"/>
        </w:rPr>
      </w:pPr>
      <w:r>
        <w:rPr>
          <w:rStyle w:val="7"/>
          <w:rFonts w:hint="eastAsia" w:ascii="方正楷体_GBK" w:hAnsi="方正楷体_GBK" w:eastAsia="方正楷体_GBK" w:cs="方正楷体_GBK"/>
          <w:bCs w:val="0"/>
          <w:color w:val="000000"/>
          <w:sz w:val="32"/>
          <w:szCs w:val="32"/>
          <w:shd w:val="clear" w:color="auto" w:fill="auto"/>
        </w:rPr>
        <w:t>规范分类标注管理：</w:t>
      </w:r>
      <w:r>
        <w:rPr>
          <w:rFonts w:hint="eastAsia" w:ascii="CESI仿宋-GB2312" w:hAnsi="CESI仿宋-GB2312" w:eastAsia="CESI仿宋-GB2312" w:cs="CESI仿宋-GB2312"/>
          <w:b w:val="0"/>
          <w:bCs w:val="0"/>
          <w:color w:val="000000"/>
          <w:sz w:val="32"/>
          <w:szCs w:val="32"/>
        </w:rPr>
        <w:t>按照 “精准抽取、精准匹配” 原则，对检查对象按行业类型、信用风险等级、项目阶段等分类，对执法人员按专业特长、监管领域、执法资质等分类，确保抽查时能根据事项类型快速匹配检查人员。</w:t>
      </w:r>
    </w:p>
    <w:p>
      <w:pPr>
        <w:pStyle w:val="4"/>
        <w:shd w:val="clear" w:color="auto" w:fill="auto"/>
        <w:spacing w:before="0" w:beforeAutospacing="0" w:after="0" w:afterAutospacing="0" w:line="600" w:lineRule="exact"/>
        <w:ind w:left="0"/>
        <w:rPr>
          <w:rFonts w:hint="eastAsia" w:ascii="CESI仿宋-GB2312" w:hAnsi="CESI仿宋-GB2312" w:eastAsia="CESI仿宋-GB2312" w:cs="CESI仿宋-GB2312"/>
          <w:b w:val="0"/>
          <w:bCs w:val="0"/>
          <w:color w:val="000000"/>
          <w:sz w:val="32"/>
          <w:szCs w:val="32"/>
        </w:rPr>
      </w:pPr>
      <w:r>
        <w:rPr>
          <w:rFonts w:hint="eastAsia" w:ascii="CESI仿宋-GB2312" w:hAnsi="CESI仿宋-GB2312" w:eastAsia="CESI仿宋-GB2312" w:cs="CESI仿宋-GB2312"/>
          <w:b w:val="0"/>
          <w:bCs w:val="0"/>
          <w:color w:val="000000"/>
          <w:sz w:val="32"/>
          <w:szCs w:val="32"/>
        </w:rPr>
        <w:t>（二）强化联合监管，压减检查频次（完成时限：2026 年全年）</w:t>
      </w:r>
    </w:p>
    <w:p>
      <w:pPr>
        <w:shd w:val="clear" w:color="auto" w:fill="auto"/>
        <w:spacing w:before="100" w:after="100" w:line="600" w:lineRule="exact"/>
        <w:ind w:left="0" w:firstLine="320" w:firstLineChars="100"/>
        <w:rPr>
          <w:rFonts w:hint="eastAsia" w:ascii="CESI仿宋-GB2312" w:hAnsi="CESI仿宋-GB2312" w:eastAsia="CESI仿宋-GB2312" w:cs="CESI仿宋-GB2312"/>
          <w:b w:val="0"/>
          <w:bCs w:val="0"/>
          <w:color w:val="000000"/>
          <w:sz w:val="32"/>
          <w:szCs w:val="32"/>
        </w:rPr>
      </w:pPr>
      <w:r>
        <w:rPr>
          <w:rStyle w:val="7"/>
          <w:rFonts w:hint="eastAsia" w:ascii="方正楷体_GBK" w:hAnsi="方正楷体_GBK" w:eastAsia="方正楷体_GBK" w:cs="方正楷体_GBK"/>
          <w:bCs w:val="0"/>
          <w:color w:val="000000"/>
          <w:sz w:val="32"/>
          <w:szCs w:val="32"/>
          <w:shd w:val="clear" w:color="auto" w:fill="auto"/>
        </w:rPr>
        <w:t>健全联合监管机制：</w:t>
      </w:r>
      <w:r>
        <w:rPr>
          <w:rFonts w:hint="eastAsia" w:ascii="CESI仿宋-GB2312" w:hAnsi="CESI仿宋-GB2312" w:eastAsia="CESI仿宋-GB2312" w:cs="CESI仿宋-GB2312"/>
          <w:b w:val="0"/>
          <w:bCs w:val="0"/>
          <w:color w:val="000000"/>
          <w:sz w:val="32"/>
          <w:szCs w:val="32"/>
        </w:rPr>
        <w:t>完善发改、国动办</w:t>
      </w:r>
      <w:r>
        <w:rPr>
          <w:rFonts w:hint="eastAsia" w:ascii="CESI仿宋-GB2312" w:hAnsi="CESI仿宋-GB2312" w:eastAsia="CESI仿宋-GB2312" w:cs="CESI仿宋-GB2312"/>
          <w:color w:val="000000"/>
          <w:sz w:val="32"/>
          <w:szCs w:val="32"/>
        </w:rPr>
        <w:t>内部综合抽查 + 跨部门联合抽查机制</w:t>
      </w:r>
      <w:r>
        <w:rPr>
          <w:rFonts w:hint="eastAsia" w:ascii="CESI仿宋-GB2312" w:hAnsi="CESI仿宋-GB2312" w:eastAsia="CESI仿宋-GB2312" w:cs="CESI仿宋-GB2312"/>
          <w:b w:val="0"/>
          <w:bCs w:val="0"/>
          <w:color w:val="000000"/>
          <w:sz w:val="32"/>
          <w:szCs w:val="32"/>
        </w:rPr>
        <w:t>，对本部门内多个监管事项，整合为一次综合抽查；对涉及跨部门的监管事项，主动对接市场监管、住建、自然资源、能源等部门，纳入县级 “一业一查” 联合抽查计划，做到 “能联合不单独、能综合不分散”。</w:t>
      </w:r>
    </w:p>
    <w:p>
      <w:pPr>
        <w:shd w:val="clear" w:color="auto" w:fill="auto"/>
        <w:spacing w:before="100" w:after="100" w:line="600" w:lineRule="exact"/>
        <w:ind w:left="0" w:firstLine="320" w:firstLineChars="100"/>
        <w:jc w:val="both"/>
        <w:rPr>
          <w:rFonts w:hint="eastAsia" w:ascii="CESI仿宋-GB2312" w:hAnsi="CESI仿宋-GB2312" w:eastAsia="CESI仿宋-GB2312" w:cs="CESI仿宋-GB2312"/>
          <w:b w:val="0"/>
          <w:bCs w:val="0"/>
          <w:color w:val="000000"/>
          <w:sz w:val="32"/>
          <w:szCs w:val="32"/>
        </w:rPr>
      </w:pPr>
      <w:r>
        <w:rPr>
          <w:rStyle w:val="7"/>
          <w:rFonts w:hint="eastAsia" w:ascii="方正楷体_GBK" w:hAnsi="方正楷体_GBK" w:eastAsia="方正楷体_GBK" w:cs="方正楷体_GBK"/>
          <w:bCs w:val="0"/>
          <w:color w:val="000000"/>
          <w:sz w:val="32"/>
          <w:szCs w:val="32"/>
          <w:shd w:val="clear" w:color="auto" w:fill="auto"/>
        </w:rPr>
        <w:t>明确联合抽查重点：</w:t>
      </w:r>
      <w:r>
        <w:rPr>
          <w:rFonts w:hint="eastAsia" w:ascii="CESI仿宋-GB2312" w:hAnsi="CESI仿宋-GB2312" w:eastAsia="CESI仿宋-GB2312" w:cs="CESI仿宋-GB2312"/>
          <w:b w:val="0"/>
          <w:bCs w:val="0"/>
          <w:color w:val="000000"/>
          <w:sz w:val="32"/>
          <w:szCs w:val="32"/>
        </w:rPr>
        <w:t>发改领域重点推动与能源、住建部门联合开展固定资产投资项目节能审查、政府投资项目建设情况抽查；国动领域重点推动与住建、市场监管部门联合开展人防从业企业资质、人防工程质量抽查，避免对同一企业多次检查、重复检查。</w:t>
      </w:r>
    </w:p>
    <w:p>
      <w:pPr>
        <w:shd w:val="clear" w:color="auto" w:fill="auto"/>
        <w:spacing w:before="100" w:after="100" w:line="600" w:lineRule="exact"/>
        <w:ind w:left="0" w:firstLine="320" w:firstLineChars="100"/>
        <w:jc w:val="both"/>
        <w:rPr>
          <w:rFonts w:hint="eastAsia" w:ascii="CESI仿宋-GB2312" w:hAnsi="CESI仿宋-GB2312" w:eastAsia="CESI仿宋-GB2312" w:cs="CESI仿宋-GB2312"/>
          <w:b w:val="0"/>
          <w:bCs w:val="0"/>
          <w:color w:val="000000"/>
          <w:sz w:val="32"/>
          <w:szCs w:val="32"/>
        </w:rPr>
      </w:pPr>
      <w:r>
        <w:rPr>
          <w:rStyle w:val="7"/>
          <w:rFonts w:hint="eastAsia" w:ascii="方正楷体_GBK" w:hAnsi="方正楷体_GBK" w:eastAsia="方正楷体_GBK" w:cs="方正楷体_GBK"/>
          <w:bCs w:val="0"/>
          <w:color w:val="000000"/>
          <w:sz w:val="32"/>
          <w:szCs w:val="32"/>
          <w:shd w:val="clear" w:color="auto" w:fill="auto"/>
        </w:rPr>
        <w:t>严格落实县级指标：</w:t>
      </w:r>
      <w:r>
        <w:rPr>
          <w:rFonts w:hint="eastAsia" w:ascii="CESI仿宋-GB2312" w:hAnsi="CESI仿宋-GB2312" w:eastAsia="CESI仿宋-GB2312" w:cs="CESI仿宋-GB2312"/>
          <w:b w:val="0"/>
          <w:bCs w:val="0"/>
          <w:color w:val="000000"/>
          <w:sz w:val="32"/>
          <w:szCs w:val="32"/>
        </w:rPr>
        <w:t>科学制定本领域年度随机抽查计划，合理分配自主抽查和联合抽查比例，确保全年联合抽查次数、户数占比均达到县级要求，持续扩大联合抽查覆盖面，推动联合监管常态化。</w:t>
      </w:r>
    </w:p>
    <w:p>
      <w:pPr>
        <w:pStyle w:val="4"/>
        <w:shd w:val="clear" w:color="auto" w:fill="auto"/>
        <w:spacing w:before="0" w:beforeAutospacing="0" w:after="0" w:afterAutospacing="0" w:line="600" w:lineRule="exact"/>
        <w:ind w:left="0"/>
        <w:rPr>
          <w:rFonts w:hint="eastAsia" w:ascii="CESI仿宋-GB2312" w:hAnsi="CESI仿宋-GB2312" w:eastAsia="CESI仿宋-GB2312" w:cs="CESI仿宋-GB2312"/>
          <w:b w:val="0"/>
          <w:bCs w:val="0"/>
          <w:color w:val="000000"/>
          <w:sz w:val="32"/>
          <w:szCs w:val="32"/>
        </w:rPr>
      </w:pPr>
      <w:r>
        <w:rPr>
          <w:rFonts w:hint="eastAsia" w:ascii="CESI仿宋-GB2312" w:hAnsi="CESI仿宋-GB2312" w:eastAsia="CESI仿宋-GB2312" w:cs="CESI仿宋-GB2312"/>
          <w:b w:val="0"/>
          <w:bCs w:val="0"/>
          <w:color w:val="000000"/>
          <w:sz w:val="32"/>
          <w:szCs w:val="32"/>
        </w:rPr>
        <w:t>（三）深化信用应用，提升监管质效（完成时限：2026 年全年）</w:t>
      </w:r>
    </w:p>
    <w:p>
      <w:pPr>
        <w:shd w:val="clear" w:color="auto" w:fill="auto"/>
        <w:spacing w:before="100" w:after="100" w:line="600" w:lineRule="exact"/>
        <w:ind w:left="0" w:firstLine="320" w:firstLineChars="100"/>
        <w:rPr>
          <w:rFonts w:hint="eastAsia" w:ascii="CESI仿宋-GB2312" w:hAnsi="CESI仿宋-GB2312" w:eastAsia="CESI仿宋-GB2312" w:cs="CESI仿宋-GB2312"/>
          <w:b w:val="0"/>
          <w:bCs w:val="0"/>
          <w:color w:val="000000"/>
          <w:sz w:val="32"/>
          <w:szCs w:val="32"/>
        </w:rPr>
      </w:pPr>
      <w:r>
        <w:rPr>
          <w:rStyle w:val="7"/>
          <w:rFonts w:hint="eastAsia" w:ascii="方正楷体_GBK" w:hAnsi="方正楷体_GBK" w:eastAsia="方正楷体_GBK" w:cs="方正楷体_GBK"/>
          <w:bCs w:val="0"/>
          <w:color w:val="000000"/>
          <w:sz w:val="32"/>
          <w:szCs w:val="32"/>
          <w:shd w:val="clear" w:color="auto" w:fill="auto"/>
        </w:rPr>
        <w:t>精准实施差异化抽查：</w:t>
      </w:r>
      <w:r>
        <w:rPr>
          <w:rFonts w:hint="eastAsia" w:ascii="CESI仿宋-GB2312" w:hAnsi="CESI仿宋-GB2312" w:eastAsia="CESI仿宋-GB2312" w:cs="CESI仿宋-GB2312"/>
          <w:b w:val="0"/>
          <w:bCs w:val="0"/>
          <w:color w:val="000000"/>
          <w:sz w:val="32"/>
          <w:szCs w:val="32"/>
        </w:rPr>
        <w:t>全面对接县级企业信用风险分类管理系统，根据检查对象信用风险等级（高、中、低 / 守信）合理确定抽查比例和频次：对</w:t>
      </w:r>
      <w:r>
        <w:rPr>
          <w:rFonts w:hint="eastAsia" w:ascii="CESI仿宋-GB2312" w:hAnsi="CESI仿宋-GB2312" w:eastAsia="CESI仿宋-GB2312" w:cs="CESI仿宋-GB2312"/>
          <w:color w:val="000000"/>
          <w:sz w:val="32"/>
          <w:szCs w:val="32"/>
        </w:rPr>
        <w:t>高风险主体，提高抽查比例和频次，实行全覆盖或高比例现场检查；对中风险主体，按常规比例开展抽查；对低风险 / 守信主体，</w:t>
      </w:r>
      <w:r>
        <w:rPr>
          <w:rFonts w:hint="eastAsia" w:ascii="CESI仿宋-GB2312" w:hAnsi="CESI仿宋-GB2312" w:eastAsia="CESI仿宋-GB2312" w:cs="CESI仿宋-GB2312"/>
          <w:b w:val="0"/>
          <w:bCs w:val="0"/>
          <w:color w:val="000000"/>
          <w:sz w:val="32"/>
          <w:szCs w:val="32"/>
        </w:rPr>
        <w:t>大幅降低抽查比例，原则上不进行现场检查，避免重复打扰。</w:t>
      </w:r>
    </w:p>
    <w:p>
      <w:pPr>
        <w:shd w:val="clear" w:color="auto" w:fill="auto"/>
        <w:spacing w:before="100" w:after="100" w:line="600" w:lineRule="exact"/>
        <w:ind w:left="0" w:firstLine="320" w:firstLineChars="100"/>
        <w:rPr>
          <w:rFonts w:hint="eastAsia" w:ascii="CESI仿宋-GB2312" w:hAnsi="CESI仿宋-GB2312" w:eastAsia="CESI仿宋-GB2312" w:cs="CESI仿宋-GB2312"/>
          <w:b w:val="0"/>
          <w:bCs w:val="0"/>
          <w:color w:val="000000"/>
          <w:sz w:val="32"/>
          <w:szCs w:val="32"/>
        </w:rPr>
      </w:pPr>
      <w:r>
        <w:rPr>
          <w:rStyle w:val="7"/>
          <w:rFonts w:hint="eastAsia" w:ascii="方正楷体_GBK" w:hAnsi="方正楷体_GBK" w:eastAsia="方正楷体_GBK" w:cs="方正楷体_GBK"/>
          <w:bCs w:val="0"/>
          <w:color w:val="000000"/>
          <w:sz w:val="32"/>
          <w:szCs w:val="32"/>
          <w:shd w:val="clear" w:color="auto" w:fill="auto"/>
        </w:rPr>
        <w:t>探索 “信用标注 + 双随机监管”：</w:t>
      </w:r>
      <w:r>
        <w:rPr>
          <w:rFonts w:hint="eastAsia" w:ascii="CESI仿宋-GB2312" w:hAnsi="CESI仿宋-GB2312" w:eastAsia="CESI仿宋-GB2312" w:cs="CESI仿宋-GB2312"/>
          <w:b w:val="0"/>
          <w:bCs w:val="0"/>
          <w:color w:val="000000"/>
          <w:sz w:val="32"/>
          <w:szCs w:val="32"/>
        </w:rPr>
        <w:t>积极推进县级监管平台信用标注应用，将企业项目备案合规性、资质存续有效性、既往检查整改情况等多维信用信息作为抽查对象筛选的核心因素，进一步提升抽查精准度。</w:t>
      </w:r>
    </w:p>
    <w:p>
      <w:pPr>
        <w:shd w:val="clear" w:color="auto" w:fill="auto"/>
        <w:spacing w:before="100" w:after="100" w:line="600" w:lineRule="exact"/>
        <w:ind w:left="0" w:firstLine="320" w:firstLineChars="100"/>
        <w:jc w:val="both"/>
        <w:rPr>
          <w:rFonts w:hint="eastAsia" w:ascii="CESI仿宋-GB2312" w:hAnsi="CESI仿宋-GB2312" w:eastAsia="CESI仿宋-GB2312" w:cs="CESI仿宋-GB2312"/>
          <w:b w:val="0"/>
          <w:bCs w:val="0"/>
          <w:color w:val="000000"/>
          <w:sz w:val="32"/>
          <w:szCs w:val="32"/>
        </w:rPr>
      </w:pPr>
      <w:r>
        <w:rPr>
          <w:rStyle w:val="7"/>
          <w:rFonts w:hint="eastAsia" w:ascii="方正楷体_GBK" w:hAnsi="方正楷体_GBK" w:eastAsia="方正楷体_GBK" w:cs="方正楷体_GBK"/>
          <w:bCs w:val="0"/>
          <w:color w:val="000000"/>
          <w:sz w:val="32"/>
          <w:szCs w:val="32"/>
          <w:shd w:val="clear" w:color="auto" w:fill="auto"/>
        </w:rPr>
        <w:t>大力推广非现场检查：</w:t>
      </w:r>
      <w:r>
        <w:rPr>
          <w:rFonts w:hint="eastAsia" w:ascii="CESI仿宋-GB2312" w:hAnsi="CESI仿宋-GB2312" w:eastAsia="CESI仿宋-GB2312" w:cs="CESI仿宋-GB2312"/>
          <w:b w:val="0"/>
          <w:bCs w:val="0"/>
          <w:color w:val="000000"/>
          <w:sz w:val="32"/>
          <w:szCs w:val="32"/>
        </w:rPr>
        <w:t>结合发改、国动领域监管特点，对固定资产投资项目备案、节能审查资料核查、人防企业资质档案检查等事项，优先采用</w:t>
      </w:r>
      <w:r>
        <w:rPr>
          <w:rFonts w:hint="eastAsia" w:ascii="CESI仿宋-GB2312" w:hAnsi="CESI仿宋-GB2312" w:eastAsia="CESI仿宋-GB2312" w:cs="CESI仿宋-GB2312"/>
          <w:color w:val="000000"/>
          <w:sz w:val="32"/>
          <w:szCs w:val="32"/>
        </w:rPr>
        <w:t>在线监测、网络检查、书面核查、信息共享等非现场检查方式；对确需现场检查的，严格控制检查人数和时长，做</w:t>
      </w:r>
      <w:r>
        <w:rPr>
          <w:rFonts w:hint="eastAsia" w:ascii="CESI仿宋-GB2312" w:hAnsi="CESI仿宋-GB2312" w:eastAsia="CESI仿宋-GB2312" w:cs="CESI仿宋-GB2312"/>
          <w:b w:val="0"/>
          <w:bCs w:val="0"/>
          <w:color w:val="000000"/>
          <w:sz w:val="32"/>
          <w:szCs w:val="32"/>
        </w:rPr>
        <w:t>到 “进一次门、查多项事”。</w:t>
      </w:r>
    </w:p>
    <w:p>
      <w:pPr>
        <w:shd w:val="clear" w:color="auto" w:fill="auto"/>
        <w:spacing w:before="100" w:after="100" w:line="600" w:lineRule="exact"/>
        <w:ind w:left="0" w:firstLine="320" w:firstLineChars="100"/>
        <w:jc w:val="both"/>
        <w:rPr>
          <w:rFonts w:hint="eastAsia" w:ascii="CESI仿宋-GB2312" w:hAnsi="CESI仿宋-GB2312" w:eastAsia="CESI仿宋-GB2312" w:cs="CESI仿宋-GB2312"/>
          <w:b w:val="0"/>
          <w:bCs w:val="0"/>
          <w:color w:val="000000"/>
          <w:sz w:val="32"/>
          <w:szCs w:val="32"/>
        </w:rPr>
      </w:pPr>
      <w:r>
        <w:rPr>
          <w:rStyle w:val="7"/>
          <w:rFonts w:hint="eastAsia" w:ascii="方正楷体_GBK" w:hAnsi="方正楷体_GBK" w:eastAsia="方正楷体_GBK" w:cs="方正楷体_GBK"/>
          <w:bCs w:val="0"/>
          <w:color w:val="000000"/>
          <w:sz w:val="32"/>
          <w:szCs w:val="32"/>
          <w:shd w:val="clear" w:color="auto" w:fill="auto"/>
        </w:rPr>
        <w:t>强化查前准备和能力建设：</w:t>
      </w:r>
      <w:r>
        <w:rPr>
          <w:rFonts w:hint="eastAsia" w:ascii="CESI仿宋-GB2312" w:hAnsi="CESI仿宋-GB2312" w:eastAsia="CESI仿宋-GB2312" w:cs="CESI仿宋-GB2312"/>
          <w:b w:val="0"/>
          <w:bCs w:val="0"/>
          <w:color w:val="000000"/>
          <w:sz w:val="32"/>
          <w:szCs w:val="32"/>
        </w:rPr>
        <w:t>严格落实查前准备制度，针对每次抽查事项制定检查细则，明确检查重点和标准；定期组织执法检查人员开展发改、国动领域法律法规、业务知识和执法流程培训，提升检查人员专业能力和执法规范性，确保检查结果真实、准确。</w:t>
      </w:r>
    </w:p>
    <w:p>
      <w:pPr>
        <w:pStyle w:val="4"/>
        <w:shd w:val="clear" w:color="auto" w:fill="auto"/>
        <w:spacing w:before="0" w:beforeAutospacing="0" w:after="0" w:afterAutospacing="0" w:line="600" w:lineRule="exact"/>
        <w:ind w:left="0"/>
        <w:rPr>
          <w:rFonts w:hint="eastAsia" w:ascii="CESI仿宋-GB2312" w:hAnsi="CESI仿宋-GB2312" w:eastAsia="CESI仿宋-GB2312" w:cs="CESI仿宋-GB2312"/>
          <w:b w:val="0"/>
          <w:bCs w:val="0"/>
          <w:color w:val="000000"/>
          <w:sz w:val="32"/>
          <w:szCs w:val="32"/>
        </w:rPr>
      </w:pPr>
      <w:r>
        <w:rPr>
          <w:rFonts w:hint="eastAsia" w:ascii="CESI仿宋-GB2312" w:hAnsi="CESI仿宋-GB2312" w:eastAsia="CESI仿宋-GB2312" w:cs="CESI仿宋-GB2312"/>
          <w:b w:val="0"/>
          <w:bCs w:val="0"/>
          <w:color w:val="000000"/>
          <w:sz w:val="32"/>
          <w:szCs w:val="32"/>
        </w:rPr>
        <w:t>（四）规范工作流程，实现闭环管理（完成时限：2026 年全年）</w:t>
      </w:r>
    </w:p>
    <w:p>
      <w:pPr>
        <w:shd w:val="clear" w:color="auto" w:fill="auto"/>
        <w:spacing w:before="100" w:after="100" w:line="600" w:lineRule="exact"/>
        <w:ind w:left="0" w:firstLine="320" w:firstLineChars="100"/>
        <w:jc w:val="both"/>
        <w:rPr>
          <w:rFonts w:hint="eastAsia" w:ascii="CESI仿宋-GB2312" w:hAnsi="CESI仿宋-GB2312" w:eastAsia="CESI仿宋-GB2312" w:cs="CESI仿宋-GB2312"/>
          <w:b w:val="0"/>
          <w:bCs w:val="0"/>
          <w:color w:val="000000"/>
          <w:sz w:val="32"/>
          <w:szCs w:val="32"/>
        </w:rPr>
      </w:pPr>
      <w:r>
        <w:rPr>
          <w:rStyle w:val="7"/>
          <w:rFonts w:hint="eastAsia" w:ascii="方正楷体_GBK" w:hAnsi="方正楷体_GBK" w:eastAsia="方正楷体_GBK" w:cs="方正楷体_GBK"/>
          <w:bCs w:val="0"/>
          <w:color w:val="000000"/>
          <w:sz w:val="32"/>
          <w:szCs w:val="32"/>
          <w:shd w:val="clear" w:color="auto" w:fill="auto"/>
        </w:rPr>
        <w:t>严格制定并公开抽查计划：</w:t>
      </w:r>
      <w:r>
        <w:rPr>
          <w:rFonts w:hint="eastAsia" w:ascii="CESI仿宋-GB2312" w:hAnsi="CESI仿宋-GB2312" w:eastAsia="CESI仿宋-GB2312" w:cs="CESI仿宋-GB2312"/>
          <w:b w:val="0"/>
          <w:bCs w:val="0"/>
          <w:color w:val="000000"/>
          <w:sz w:val="32"/>
          <w:szCs w:val="32"/>
        </w:rPr>
        <w:t>结合本领域监管实际，科学制定 2026 年随机抽查年度工作计划，明确抽查事项、抽查范围、抽查比例、实施时间、联合部门等内容，经局党组研究后，及时向社会公开并报县市场监管局备案；计划确需调整的，严格履行备案程序并及时公示。</w:t>
      </w:r>
    </w:p>
    <w:p>
      <w:pPr>
        <w:shd w:val="clear" w:color="auto" w:fill="auto"/>
        <w:spacing w:before="100" w:after="100" w:line="600" w:lineRule="exact"/>
        <w:ind w:left="0" w:firstLine="320" w:firstLineChars="100"/>
        <w:jc w:val="both"/>
        <w:rPr>
          <w:rFonts w:hint="eastAsia" w:ascii="CESI仿宋-GB2312" w:hAnsi="CESI仿宋-GB2312" w:eastAsia="CESI仿宋-GB2312" w:cs="CESI仿宋-GB2312"/>
          <w:b w:val="0"/>
          <w:bCs w:val="0"/>
          <w:color w:val="000000"/>
          <w:sz w:val="32"/>
          <w:szCs w:val="32"/>
        </w:rPr>
      </w:pPr>
      <w:r>
        <w:rPr>
          <w:rStyle w:val="7"/>
          <w:rFonts w:hint="eastAsia" w:ascii="方正楷体_GBK" w:hAnsi="方正楷体_GBK" w:eastAsia="方正楷体_GBK" w:cs="方正楷体_GBK"/>
          <w:bCs w:val="0"/>
          <w:color w:val="000000"/>
          <w:sz w:val="32"/>
          <w:szCs w:val="32"/>
          <w:shd w:val="clear" w:color="auto" w:fill="auto"/>
        </w:rPr>
        <w:t>规范抽查组织实施：</w:t>
      </w:r>
      <w:r>
        <w:rPr>
          <w:rFonts w:hint="eastAsia" w:ascii="CESI仿宋-GB2312" w:hAnsi="CESI仿宋-GB2312" w:eastAsia="CESI仿宋-GB2312" w:cs="CESI仿宋-GB2312"/>
          <w:b w:val="0"/>
          <w:bCs w:val="0"/>
          <w:color w:val="000000"/>
          <w:sz w:val="32"/>
          <w:szCs w:val="32"/>
        </w:rPr>
        <w:t>严格按照《河北省双随机工作规范》开展抽查，通过县级监管平台随机抽取检查对象和执法人员，确定检查小组；检查人员现场检查时必须持证上岗、亮证执法，严格执行 “扫码入企” 要求，规范填写行政检查文书，如实记录检查情况、发现问题及整改要求。</w:t>
      </w:r>
    </w:p>
    <w:p>
      <w:pPr>
        <w:shd w:val="clear" w:color="auto" w:fill="auto"/>
        <w:spacing w:before="100" w:after="100" w:line="600" w:lineRule="exact"/>
        <w:ind w:left="0" w:firstLine="320" w:firstLineChars="100"/>
        <w:jc w:val="both"/>
        <w:rPr>
          <w:rFonts w:hint="eastAsia" w:ascii="CESI仿宋-GB2312" w:hAnsi="CESI仿宋-GB2312" w:eastAsia="CESI仿宋-GB2312" w:cs="CESI仿宋-GB2312"/>
          <w:b w:val="0"/>
          <w:bCs w:val="0"/>
          <w:color w:val="000000"/>
          <w:sz w:val="32"/>
          <w:szCs w:val="32"/>
        </w:rPr>
      </w:pPr>
      <w:r>
        <w:rPr>
          <w:rStyle w:val="7"/>
          <w:rFonts w:hint="eastAsia" w:ascii="方正楷体_GBK" w:hAnsi="方正楷体_GBK" w:eastAsia="方正楷体_GBK" w:cs="方正楷体_GBK"/>
          <w:bCs w:val="0"/>
          <w:color w:val="000000"/>
          <w:sz w:val="32"/>
          <w:szCs w:val="32"/>
          <w:shd w:val="clear" w:color="auto" w:fill="auto"/>
        </w:rPr>
        <w:t>健全闭环处置机制：</w:t>
      </w:r>
      <w:r>
        <w:rPr>
          <w:rFonts w:hint="eastAsia" w:ascii="CESI仿宋-GB2312" w:hAnsi="CESI仿宋-GB2312" w:eastAsia="CESI仿宋-GB2312" w:cs="CESI仿宋-GB2312"/>
          <w:b w:val="0"/>
          <w:bCs w:val="0"/>
          <w:color w:val="000000"/>
          <w:sz w:val="32"/>
          <w:szCs w:val="32"/>
        </w:rPr>
        <w:t>对抽查中发现的一般性问题，当场下达整改通知书，明确整改时限和要求，跟踪督促整改到位；对发现的违法违规线索，严格按照 “谁监管、谁负责” 原则，依法依规开展调查处理，需移送其他部门的，及时办理移送手续并做好跟踪衔接；对抽查发现的违法失信行为，按规定纳入企业信用记录，实施联合惩戒。</w:t>
      </w:r>
    </w:p>
    <w:p>
      <w:pPr>
        <w:shd w:val="clear" w:color="auto" w:fill="auto"/>
        <w:spacing w:before="100" w:after="100" w:line="600" w:lineRule="exact"/>
        <w:ind w:left="0" w:firstLine="320" w:firstLineChars="100"/>
        <w:jc w:val="both"/>
        <w:rPr>
          <w:rFonts w:hint="eastAsia" w:ascii="CESI仿宋-GB2312" w:hAnsi="CESI仿宋-GB2312" w:eastAsia="CESI仿宋-GB2312" w:cs="CESI仿宋-GB2312"/>
          <w:b w:val="0"/>
          <w:bCs w:val="0"/>
          <w:color w:val="000000"/>
          <w:sz w:val="32"/>
          <w:szCs w:val="32"/>
        </w:rPr>
      </w:pPr>
      <w:r>
        <w:rPr>
          <w:rStyle w:val="7"/>
          <w:rFonts w:hint="eastAsia" w:ascii="方正楷体_GBK" w:hAnsi="方正楷体_GBK" w:eastAsia="方正楷体_GBK" w:cs="方正楷体_GBK"/>
          <w:bCs w:val="0"/>
          <w:color w:val="000000"/>
          <w:sz w:val="32"/>
          <w:szCs w:val="32"/>
          <w:shd w:val="clear" w:color="auto" w:fill="auto"/>
        </w:rPr>
        <w:t>100% 公开抽查结果：</w:t>
      </w:r>
      <w:r>
        <w:rPr>
          <w:rFonts w:hint="eastAsia" w:ascii="CESI仿宋-GB2312" w:hAnsi="CESI仿宋-GB2312" w:eastAsia="CESI仿宋-GB2312" w:cs="CESI仿宋-GB2312"/>
          <w:b w:val="0"/>
          <w:bCs w:val="0"/>
          <w:color w:val="000000"/>
          <w:sz w:val="32"/>
          <w:szCs w:val="32"/>
        </w:rPr>
        <w:t>抽查工作结束后，在规定时限内将抽查结果（包括未发现问题、发现问题已整改、发现问题未整改、移送处理等）录入县级监管平台，并通过政府门户网站、企业信用信息公示系统等渠道向社会公开，接受社会监督。</w:t>
      </w:r>
    </w:p>
    <w:p>
      <w:pPr>
        <w:pStyle w:val="4"/>
        <w:shd w:val="clear" w:color="auto" w:fill="auto"/>
        <w:spacing w:before="0" w:beforeAutospacing="0" w:after="0" w:afterAutospacing="0" w:line="600" w:lineRule="exact"/>
        <w:ind w:left="0"/>
        <w:rPr>
          <w:rFonts w:hint="eastAsia" w:ascii="CESI仿宋-GB2312" w:hAnsi="CESI仿宋-GB2312" w:eastAsia="CESI仿宋-GB2312" w:cs="CESI仿宋-GB2312"/>
          <w:b w:val="0"/>
          <w:bCs w:val="0"/>
          <w:color w:val="000000"/>
          <w:sz w:val="32"/>
          <w:szCs w:val="32"/>
        </w:rPr>
      </w:pPr>
      <w:r>
        <w:rPr>
          <w:rFonts w:hint="eastAsia" w:ascii="CESI仿宋-GB2312" w:hAnsi="CESI仿宋-GB2312" w:eastAsia="CESI仿宋-GB2312" w:cs="CESI仿宋-GB2312"/>
          <w:b w:val="0"/>
          <w:bCs w:val="0"/>
          <w:color w:val="000000"/>
          <w:sz w:val="32"/>
          <w:szCs w:val="32"/>
        </w:rPr>
        <w:t>（五）坚持监服融合，增强服务意识（完成时限：2026 年全年）</w:t>
      </w:r>
    </w:p>
    <w:p>
      <w:pPr>
        <w:shd w:val="clear" w:color="auto" w:fill="auto"/>
        <w:spacing w:before="100" w:after="100" w:line="600" w:lineRule="exact"/>
        <w:ind w:left="0" w:firstLine="320" w:firstLineChars="100"/>
        <w:rPr>
          <w:rFonts w:hint="eastAsia" w:ascii="CESI仿宋-GB2312" w:hAnsi="CESI仿宋-GB2312" w:eastAsia="CESI仿宋-GB2312" w:cs="CESI仿宋-GB2312"/>
          <w:b w:val="0"/>
          <w:bCs w:val="0"/>
          <w:color w:val="000000"/>
          <w:sz w:val="32"/>
          <w:szCs w:val="32"/>
        </w:rPr>
      </w:pPr>
      <w:r>
        <w:rPr>
          <w:rStyle w:val="7"/>
          <w:rFonts w:hint="eastAsia" w:ascii="方正楷体_GBK" w:hAnsi="方正楷体_GBK" w:eastAsia="方正楷体_GBK" w:cs="方正楷体_GBK"/>
          <w:bCs w:val="0"/>
          <w:color w:val="000000"/>
          <w:sz w:val="32"/>
          <w:szCs w:val="32"/>
          <w:shd w:val="clear" w:color="auto" w:fill="auto"/>
        </w:rPr>
        <w:t>开展政策宣教指导：</w:t>
      </w:r>
      <w:r>
        <w:rPr>
          <w:rFonts w:hint="eastAsia" w:ascii="CESI仿宋-GB2312" w:hAnsi="CESI仿宋-GB2312" w:eastAsia="CESI仿宋-GB2312" w:cs="CESI仿宋-GB2312"/>
          <w:b w:val="0"/>
          <w:bCs w:val="0"/>
          <w:color w:val="000000"/>
          <w:sz w:val="32"/>
          <w:szCs w:val="32"/>
        </w:rPr>
        <w:t>在抽查检查过程中，向企业精准解读发改领域固定资产投资、节能审查、项目备案等政策，国动领域人防企业资质管理、人防工程建设标准等法规，帮助企业准确把握政策要求，规范经营行为。</w:t>
      </w:r>
    </w:p>
    <w:p>
      <w:pPr>
        <w:shd w:val="clear" w:color="auto" w:fill="auto"/>
        <w:spacing w:before="100" w:after="100" w:line="600" w:lineRule="exact"/>
        <w:ind w:left="0" w:firstLine="320" w:firstLineChars="100"/>
        <w:rPr>
          <w:rFonts w:hint="eastAsia" w:ascii="CESI仿宋-GB2312" w:hAnsi="CESI仿宋-GB2312" w:eastAsia="CESI仿宋-GB2312" w:cs="CESI仿宋-GB2312"/>
          <w:b w:val="0"/>
          <w:bCs w:val="0"/>
          <w:color w:val="000000"/>
          <w:sz w:val="32"/>
          <w:szCs w:val="32"/>
        </w:rPr>
      </w:pPr>
      <w:r>
        <w:rPr>
          <w:rStyle w:val="7"/>
          <w:rFonts w:hint="eastAsia" w:ascii="方正楷体_GBK" w:hAnsi="方正楷体_GBK" w:eastAsia="方正楷体_GBK" w:cs="方正楷体_GBK"/>
          <w:bCs w:val="0"/>
          <w:color w:val="000000"/>
          <w:sz w:val="32"/>
          <w:szCs w:val="32"/>
          <w:shd w:val="clear" w:color="auto" w:fill="auto"/>
        </w:rPr>
        <w:t>强化行政指导服务：</w:t>
      </w:r>
      <w:r>
        <w:rPr>
          <w:rFonts w:hint="eastAsia" w:ascii="CESI仿宋-GB2312" w:hAnsi="CESI仿宋-GB2312" w:eastAsia="CESI仿宋-GB2312" w:cs="CESI仿宋-GB2312"/>
          <w:b w:val="0"/>
          <w:bCs w:val="0"/>
          <w:color w:val="000000"/>
          <w:sz w:val="32"/>
          <w:szCs w:val="32"/>
        </w:rPr>
        <w:t>对抽查中发现的企业经营管理、项目建设、人防工程施工等环节的薄弱环节和不合规行为，坚持 “教育为主、处罚为辅”，及时给予针对性行政指导，帮助企业制定整改方案，提升规范化运营水平，杜绝 “一查了之、一罚了之”。</w:t>
      </w:r>
    </w:p>
    <w:p>
      <w:pPr>
        <w:shd w:val="clear" w:color="auto" w:fill="auto"/>
        <w:spacing w:before="100" w:after="100" w:line="600" w:lineRule="exact"/>
        <w:ind w:left="0" w:firstLine="320" w:firstLineChars="100"/>
        <w:rPr>
          <w:rFonts w:hint="eastAsia" w:ascii="CESI仿宋-GB2312" w:hAnsi="CESI仿宋-GB2312" w:eastAsia="CESI仿宋-GB2312" w:cs="CESI仿宋-GB2312"/>
          <w:b w:val="0"/>
          <w:bCs w:val="0"/>
          <w:color w:val="000000"/>
          <w:sz w:val="32"/>
          <w:szCs w:val="32"/>
        </w:rPr>
      </w:pPr>
      <w:r>
        <w:rPr>
          <w:rStyle w:val="7"/>
          <w:rFonts w:hint="eastAsia" w:ascii="方正楷体_GBK" w:hAnsi="方正楷体_GBK" w:eastAsia="方正楷体_GBK" w:cs="方正楷体_GBK"/>
          <w:bCs w:val="0"/>
          <w:color w:val="000000"/>
          <w:sz w:val="32"/>
          <w:szCs w:val="32"/>
          <w:shd w:val="clear" w:color="auto" w:fill="auto"/>
        </w:rPr>
        <w:t>畅通诉求回应渠道：</w:t>
      </w:r>
      <w:r>
        <w:rPr>
          <w:rFonts w:hint="eastAsia" w:ascii="CESI仿宋-GB2312" w:hAnsi="CESI仿宋-GB2312" w:eastAsia="CESI仿宋-GB2312" w:cs="CESI仿宋-GB2312"/>
          <w:b w:val="0"/>
          <w:bCs w:val="0"/>
          <w:color w:val="000000"/>
          <w:sz w:val="32"/>
          <w:szCs w:val="32"/>
        </w:rPr>
        <w:t>在检查中主动了解企业在项目审批、资质办理、工程建设等环节遇到的实际困难和技术瓶颈，对企业提出的合理诉求，及时研究解决；对不属于本部门职责的，积极做好政策解释和部门衔接，为企业排忧解难。</w:t>
      </w:r>
    </w:p>
    <w:p>
      <w:pPr>
        <w:pStyle w:val="3"/>
        <w:shd w:val="clear" w:color="auto" w:fill="auto"/>
        <w:spacing w:before="0" w:beforeAutospacing="0" w:after="0" w:afterAutospacing="0" w:line="600" w:lineRule="exact"/>
        <w:ind w:left="0"/>
        <w:rPr>
          <w:rFonts w:hint="eastAsia" w:ascii="方正黑体_GBK" w:hAnsi="方正黑体_GBK" w:eastAsia="方正黑体_GBK" w:cs="方正黑体_GBK"/>
          <w:b w:val="0"/>
          <w:bCs w:val="0"/>
          <w:color w:val="000000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b w:val="0"/>
          <w:bCs w:val="0"/>
          <w:color w:val="000000"/>
          <w:sz w:val="32"/>
          <w:szCs w:val="32"/>
        </w:rPr>
        <w:t>四、工作要求</w:t>
      </w:r>
    </w:p>
    <w:p>
      <w:pPr>
        <w:pStyle w:val="4"/>
        <w:shd w:val="clear" w:color="auto" w:fill="auto"/>
        <w:spacing w:before="0" w:beforeAutospacing="0" w:after="0" w:afterAutospacing="0" w:line="600" w:lineRule="exact"/>
        <w:ind w:left="0"/>
        <w:rPr>
          <w:rStyle w:val="7"/>
          <w:rFonts w:hint="eastAsia" w:ascii="方正楷体_GBK" w:hAnsi="方正楷体_GBK" w:eastAsia="方正楷体_GBK" w:cs="方正楷体_GBK"/>
          <w:b w:val="0"/>
          <w:bCs w:val="0"/>
          <w:color w:val="000000"/>
          <w:kern w:val="2"/>
          <w:sz w:val="32"/>
          <w:szCs w:val="32"/>
        </w:rPr>
      </w:pPr>
      <w:r>
        <w:rPr>
          <w:rStyle w:val="7"/>
          <w:rFonts w:hint="eastAsia" w:ascii="方正楷体_GBK" w:hAnsi="方正楷体_GBK" w:eastAsia="方正楷体_GBK" w:cs="方正楷体_GBK"/>
          <w:b w:val="0"/>
          <w:bCs w:val="0"/>
          <w:color w:val="000000"/>
          <w:kern w:val="2"/>
          <w:sz w:val="32"/>
          <w:szCs w:val="32"/>
        </w:rPr>
        <w:t>（一）加强组织领导，压实工作责任</w:t>
      </w:r>
    </w:p>
    <w:p>
      <w:pPr>
        <w:shd w:val="clear" w:color="auto" w:fill="auto"/>
        <w:spacing w:before="0" w:after="0" w:line="600" w:lineRule="exact"/>
        <w:ind w:left="0" w:firstLine="320" w:firstLineChars="100"/>
        <w:rPr>
          <w:rFonts w:hint="eastAsia" w:ascii="CESI仿宋-GB2312" w:hAnsi="CESI仿宋-GB2312" w:eastAsia="CESI仿宋-GB2312" w:cs="CESI仿宋-GB2312"/>
          <w:b w:val="0"/>
          <w:bCs w:val="0"/>
          <w:color w:val="000000"/>
          <w:sz w:val="32"/>
          <w:szCs w:val="32"/>
        </w:rPr>
      </w:pPr>
      <w:r>
        <w:rPr>
          <w:rFonts w:hint="eastAsia" w:ascii="CESI仿宋-GB2312" w:hAnsi="CESI仿宋-GB2312" w:eastAsia="CESI仿宋-GB2312" w:cs="CESI仿宋-GB2312"/>
          <w:b w:val="0"/>
          <w:bCs w:val="0"/>
          <w:color w:val="000000"/>
          <w:sz w:val="32"/>
          <w:szCs w:val="32"/>
        </w:rPr>
        <w:t>成立发改局、国动办 “双随机、一公开” 监管工作领导小组，由两部门主要负责人任组长，分管负责人任副组长，各相关业务科室负责人为成员，统筹推进本领域双随机监管工作。领导小组下设办公室，明确专人负责日常工作组织、协调、资料报送等事宜，将工作任务分解到具体科室、具体人员，确保各项工作落地落实。</w:t>
      </w:r>
    </w:p>
    <w:p>
      <w:pPr>
        <w:pStyle w:val="4"/>
        <w:shd w:val="clear" w:color="auto" w:fill="auto"/>
        <w:spacing w:before="0" w:beforeAutospacing="0" w:after="0" w:afterAutospacing="0" w:line="600" w:lineRule="exact"/>
        <w:ind w:left="0"/>
        <w:rPr>
          <w:rStyle w:val="7"/>
          <w:rFonts w:hint="eastAsia" w:ascii="方正楷体_GBK" w:hAnsi="方正楷体_GBK" w:eastAsia="方正楷体_GBK" w:cs="方正楷体_GBK"/>
          <w:b w:val="0"/>
          <w:bCs w:val="0"/>
          <w:color w:val="000000"/>
          <w:kern w:val="2"/>
          <w:sz w:val="32"/>
          <w:szCs w:val="32"/>
        </w:rPr>
      </w:pPr>
      <w:r>
        <w:rPr>
          <w:rStyle w:val="7"/>
          <w:rFonts w:hint="eastAsia" w:ascii="方正楷体_GBK" w:hAnsi="方正楷体_GBK" w:eastAsia="方正楷体_GBK" w:cs="方正楷体_GBK"/>
          <w:b w:val="0"/>
          <w:bCs w:val="0"/>
          <w:color w:val="000000"/>
          <w:kern w:val="2"/>
          <w:sz w:val="32"/>
          <w:szCs w:val="32"/>
        </w:rPr>
        <w:t>（二）强化协作配合，凝聚监管合力</w:t>
      </w:r>
    </w:p>
    <w:p>
      <w:pPr>
        <w:shd w:val="clear" w:color="auto" w:fill="auto"/>
        <w:spacing w:before="0" w:after="0" w:line="600" w:lineRule="exact"/>
        <w:ind w:left="0" w:firstLine="320" w:firstLineChars="100"/>
        <w:rPr>
          <w:rFonts w:hint="eastAsia" w:ascii="CESI仿宋-GB2312" w:hAnsi="CESI仿宋-GB2312" w:eastAsia="CESI仿宋-GB2312" w:cs="CESI仿宋-GB2312"/>
          <w:b w:val="0"/>
          <w:bCs w:val="0"/>
          <w:color w:val="000000"/>
          <w:sz w:val="32"/>
          <w:szCs w:val="32"/>
        </w:rPr>
      </w:pPr>
      <w:r>
        <w:rPr>
          <w:rFonts w:hint="eastAsia" w:ascii="CESI仿宋-GB2312" w:hAnsi="CESI仿宋-GB2312" w:eastAsia="CESI仿宋-GB2312" w:cs="CESI仿宋-GB2312"/>
          <w:b w:val="0"/>
          <w:bCs w:val="0"/>
          <w:color w:val="000000"/>
          <w:sz w:val="32"/>
          <w:szCs w:val="32"/>
        </w:rPr>
        <w:t>发改局、国动办内部各业务科室要加强协同配合，统筹推进本领域抽查工作；同时主动对接县市场监管局及其他相关部门，积极参与县级联合抽查行动，严格落实联合抽查要求，形成 “上下联动、部门协同、齐抓共管” 的监管格局。坚决杜绝抽查检查走形式、走过场，随意录入检查结果等问题。</w:t>
      </w:r>
    </w:p>
    <w:p>
      <w:pPr>
        <w:pStyle w:val="4"/>
        <w:shd w:val="clear" w:color="auto" w:fill="auto"/>
        <w:spacing w:before="0" w:beforeAutospacing="0" w:after="0" w:afterAutospacing="0" w:line="600" w:lineRule="exact"/>
        <w:ind w:left="0"/>
        <w:rPr>
          <w:rStyle w:val="7"/>
          <w:rFonts w:hint="eastAsia" w:ascii="方正楷体_GBK" w:hAnsi="方正楷体_GBK" w:eastAsia="方正楷体_GBK" w:cs="方正楷体_GBK"/>
          <w:b w:val="0"/>
          <w:bCs w:val="0"/>
          <w:color w:val="000000"/>
          <w:kern w:val="2"/>
          <w:sz w:val="32"/>
          <w:szCs w:val="32"/>
        </w:rPr>
      </w:pPr>
      <w:r>
        <w:rPr>
          <w:rStyle w:val="7"/>
          <w:rFonts w:hint="eastAsia" w:ascii="方正楷体_GBK" w:hAnsi="方正楷体_GBK" w:eastAsia="方正楷体_GBK" w:cs="方正楷体_GBK"/>
          <w:b w:val="0"/>
          <w:bCs w:val="0"/>
          <w:color w:val="000000"/>
          <w:kern w:val="2"/>
          <w:sz w:val="32"/>
          <w:szCs w:val="32"/>
        </w:rPr>
        <w:t>（三）严格规范执法，强化全程监管</w:t>
      </w:r>
    </w:p>
    <w:p>
      <w:pPr>
        <w:shd w:val="clear" w:color="auto" w:fill="auto"/>
        <w:spacing w:before="0" w:after="0" w:line="600" w:lineRule="exact"/>
        <w:ind w:left="0" w:firstLine="320" w:firstLineChars="100"/>
        <w:jc w:val="both"/>
        <w:rPr>
          <w:rFonts w:hint="eastAsia" w:ascii="CESI仿宋-GB2312" w:hAnsi="CESI仿宋-GB2312" w:eastAsia="CESI仿宋-GB2312" w:cs="CESI仿宋-GB2312"/>
          <w:b w:val="0"/>
          <w:bCs w:val="0"/>
          <w:color w:val="000000"/>
          <w:sz w:val="32"/>
          <w:szCs w:val="32"/>
        </w:rPr>
      </w:pPr>
      <w:r>
        <w:rPr>
          <w:rFonts w:hint="eastAsia" w:ascii="CESI仿宋-GB2312" w:hAnsi="CESI仿宋-GB2312" w:eastAsia="CESI仿宋-GB2312" w:cs="CESI仿宋-GB2312"/>
          <w:b w:val="0"/>
          <w:bCs w:val="0"/>
          <w:color w:val="000000"/>
          <w:sz w:val="32"/>
          <w:szCs w:val="32"/>
        </w:rPr>
        <w:t>严格执行《国务院办公厅关于严格规范涉企行政检查的意见》（国办发〔2024〕54 号）中 “五个严禁”“八个不得” 要求，依法依规开展抽查检查，严禁越权执法、任性执法，坚决防范损害企业合法权益、造成不良社会影响的行为。加强对抽查工作全过程的管理和监督，健全抽查回访机制，对抽查结果真实性、整改落实情况进行随机回访，提升抽查工作质量。</w:t>
      </w:r>
    </w:p>
    <w:p>
      <w:pPr>
        <w:pStyle w:val="4"/>
        <w:shd w:val="clear" w:color="auto" w:fill="auto"/>
        <w:spacing w:before="0" w:beforeAutospacing="0" w:after="0" w:afterAutospacing="0" w:line="600" w:lineRule="exact"/>
        <w:ind w:left="0"/>
        <w:rPr>
          <w:rStyle w:val="7"/>
          <w:rFonts w:hint="eastAsia" w:ascii="方正楷体_GBK" w:hAnsi="方正楷体_GBK" w:eastAsia="方正楷体_GBK" w:cs="方正楷体_GBK"/>
          <w:b w:val="0"/>
          <w:bCs w:val="0"/>
          <w:color w:val="000000"/>
          <w:kern w:val="2"/>
          <w:sz w:val="32"/>
          <w:szCs w:val="32"/>
        </w:rPr>
      </w:pPr>
      <w:r>
        <w:rPr>
          <w:rStyle w:val="7"/>
          <w:rFonts w:hint="eastAsia" w:ascii="方正楷体_GBK" w:hAnsi="方正楷体_GBK" w:eastAsia="方正楷体_GBK" w:cs="方正楷体_GBK"/>
          <w:b w:val="0"/>
          <w:bCs w:val="0"/>
          <w:color w:val="000000"/>
          <w:kern w:val="2"/>
          <w:sz w:val="32"/>
          <w:szCs w:val="32"/>
        </w:rPr>
        <w:t>（四）做好总结报送，强化经验提炼</w:t>
      </w:r>
    </w:p>
    <w:p>
      <w:pPr>
        <w:shd w:val="clear" w:color="auto" w:fill="auto"/>
        <w:spacing w:before="0" w:after="0" w:line="600" w:lineRule="exact"/>
        <w:ind w:left="0" w:firstLine="320" w:firstLineChars="100"/>
        <w:jc w:val="both"/>
        <w:rPr>
          <w:rFonts w:hint="eastAsia" w:ascii="CESI仿宋-GB2312" w:hAnsi="CESI仿宋-GB2312" w:eastAsia="CESI仿宋-GB2312" w:cs="CESI仿宋-GB2312"/>
          <w:b w:val="0"/>
          <w:bCs w:val="0"/>
          <w:color w:val="000000"/>
          <w:sz w:val="32"/>
          <w:szCs w:val="32"/>
        </w:rPr>
      </w:pPr>
      <w:r>
        <w:rPr>
          <w:rFonts w:hint="eastAsia" w:ascii="CESI仿宋-GB2312" w:hAnsi="CESI仿宋-GB2312" w:eastAsia="CESI仿宋-GB2312" w:cs="CESI仿宋-GB2312"/>
          <w:b w:val="0"/>
          <w:bCs w:val="0"/>
          <w:color w:val="000000"/>
          <w:sz w:val="32"/>
          <w:szCs w:val="32"/>
        </w:rPr>
        <w:t>建立工作台账，及时梳理本领域 “双随机、一公开” 监管工作推进情况、存在问题及整改措施，认真提炼好经验、好做法，形成典型案例。</w:t>
      </w:r>
    </w:p>
    <w:p>
      <w:pPr>
        <w:shd w:val="clear" w:color="auto" w:fill="auto"/>
        <w:spacing w:before="0" w:after="0" w:line="600" w:lineRule="exact"/>
        <w:ind w:left="0" w:firstLine="320" w:firstLineChars="100"/>
        <w:jc w:val="both"/>
        <w:rPr>
          <w:rFonts w:hint="eastAsia" w:ascii="CESI仿宋-GB2312" w:hAnsi="CESI仿宋-GB2312" w:eastAsia="CESI仿宋-GB2312" w:cs="CESI仿宋-GB2312"/>
          <w:b w:val="0"/>
          <w:bCs w:val="0"/>
          <w:color w:val="000000"/>
          <w:sz w:val="32"/>
          <w:szCs w:val="32"/>
        </w:rPr>
      </w:pPr>
    </w:p>
    <w:p>
      <w:pPr>
        <w:shd w:val="clear" w:color="auto" w:fill="auto"/>
        <w:spacing w:before="0" w:after="0" w:line="600" w:lineRule="exact"/>
        <w:ind w:left="0" w:firstLine="320" w:firstLineChars="100"/>
        <w:jc w:val="both"/>
        <w:rPr>
          <w:rFonts w:hint="eastAsia" w:ascii="CESI仿宋-GB2312" w:hAnsi="CESI仿宋-GB2312" w:eastAsia="CESI仿宋-GB2312" w:cs="CESI仿宋-GB2312"/>
          <w:b w:val="0"/>
          <w:bCs w:val="0"/>
          <w:color w:val="000000"/>
          <w:sz w:val="32"/>
          <w:szCs w:val="32"/>
        </w:rPr>
      </w:pPr>
    </w:p>
    <w:p>
      <w:pPr>
        <w:shd w:val="clear" w:color="auto" w:fill="auto"/>
        <w:spacing w:before="0" w:after="0" w:line="600" w:lineRule="exact"/>
        <w:ind w:left="0" w:firstLine="320" w:firstLineChars="100"/>
        <w:jc w:val="both"/>
        <w:rPr>
          <w:rFonts w:hint="eastAsia" w:ascii="CESI仿宋-GB2312" w:hAnsi="CESI仿宋-GB2312" w:eastAsia="CESI仿宋-GB2312" w:cs="CESI仿宋-GB2312"/>
          <w:b w:val="0"/>
          <w:bCs w:val="0"/>
          <w:color w:val="000000"/>
          <w:sz w:val="32"/>
          <w:szCs w:val="32"/>
        </w:rPr>
      </w:pPr>
    </w:p>
    <w:p>
      <w:pPr>
        <w:shd w:val="clear" w:color="auto" w:fill="auto"/>
        <w:spacing w:before="0" w:after="0" w:line="600" w:lineRule="exact"/>
        <w:ind w:firstLine="5120" w:firstLineChars="1600"/>
        <w:jc w:val="both"/>
        <w:rPr>
          <w:rFonts w:hint="eastAsia" w:ascii="CESI仿宋-GB2312" w:hAnsi="CESI仿宋-GB2312" w:eastAsia="CESI仿宋-GB2312" w:cs="CESI仿宋-GB2312"/>
          <w:b w:val="0"/>
          <w:bCs w:val="0"/>
          <w:color w:val="000000"/>
          <w:sz w:val="32"/>
          <w:szCs w:val="32"/>
          <w:lang w:eastAsia="zh-CN"/>
        </w:rPr>
      </w:pPr>
      <w:r>
        <w:rPr>
          <w:rFonts w:hint="eastAsia" w:ascii="CESI仿宋-GB2312" w:hAnsi="CESI仿宋-GB2312" w:eastAsia="CESI仿宋-GB2312" w:cs="CESI仿宋-GB2312"/>
          <w:b w:val="0"/>
          <w:bCs w:val="0"/>
          <w:color w:val="000000"/>
          <w:sz w:val="32"/>
          <w:szCs w:val="32"/>
          <w:lang w:eastAsia="zh-CN"/>
        </w:rPr>
        <w:t>隆尧县发展和改革局</w:t>
      </w:r>
    </w:p>
    <w:p>
      <w:pPr>
        <w:shd w:val="clear" w:color="auto" w:fill="auto"/>
        <w:spacing w:before="0" w:after="0" w:line="600" w:lineRule="exact"/>
        <w:ind w:left="0" w:firstLine="5440" w:firstLineChars="1700"/>
        <w:jc w:val="both"/>
        <w:rPr>
          <w:rFonts w:hint="default" w:ascii="CESI仿宋-GB2312" w:hAnsi="CESI仿宋-GB2312" w:eastAsia="CESI仿宋-GB2312" w:cs="CESI仿宋-GB2312"/>
          <w:b w:val="0"/>
          <w:bCs w:val="0"/>
          <w:color w:val="000000"/>
          <w:sz w:val="32"/>
          <w:szCs w:val="32"/>
          <w:lang w:val="en-US" w:eastAsia="zh-CN"/>
        </w:rPr>
      </w:pPr>
      <w:r>
        <w:rPr>
          <w:rFonts w:hint="eastAsia" w:ascii="CESI仿宋-GB2312" w:hAnsi="CESI仿宋-GB2312" w:eastAsia="CESI仿宋-GB2312" w:cs="CESI仿宋-GB2312"/>
          <w:b w:val="0"/>
          <w:bCs w:val="0"/>
          <w:color w:val="000000"/>
          <w:sz w:val="32"/>
          <w:szCs w:val="32"/>
          <w:lang w:val="en-US" w:eastAsia="zh-CN"/>
        </w:rPr>
        <w:t>2026年2月25日</w:t>
      </w:r>
      <w:bookmarkStart w:id="0" w:name="_GoBack"/>
      <w:bookmarkEnd w:id="0"/>
    </w:p>
    <w:p>
      <w:pPr>
        <w:spacing w:beforeAutospacing="0" w:afterAutospacing="0" w:line="600" w:lineRule="exact"/>
      </w:pPr>
    </w:p>
    <w:sectPr>
      <w:pgSz w:w="11907" w:h="16839"/>
      <w:pgMar w:top="1440" w:right="1800" w:bottom="1440" w:left="1800" w:header="851" w:footer="992" w:gutter="0"/>
      <w:cols w:space="720" w:num="1"/>
      <w:docGrid w:linePitch="326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Lucida Sans">
    <w:altName w:val="Lucida Sans Unicode"/>
    <w:panose1 w:val="020B0602030504020204"/>
    <w:charset w:val="00"/>
    <w:family w:val="auto"/>
    <w:pitch w:val="default"/>
    <w:sig w:usb0="00000000" w:usb1="00000000" w:usb2="00000000" w:usb3="00000000" w:csb0="20000001" w:csb1="00000000"/>
  </w:font>
  <w:font w:name="方正小标宋_GBK">
    <w:altName w:val="微软雅黑"/>
    <w:panose1 w:val="02000000000000000000"/>
    <w:charset w:val="86"/>
    <w:family w:val="script"/>
    <w:pitch w:val="default"/>
    <w:sig w:usb0="00000000" w:usb1="00000000" w:usb2="00082016" w:usb3="00000000" w:csb0="00040001" w:csb1="00000000"/>
  </w:font>
  <w:font w:name="CESI仿宋-GB2312">
    <w:altName w:val="仿宋"/>
    <w:panose1 w:val="02000500000000000000"/>
    <w:charset w:val="86"/>
    <w:family w:val="script"/>
    <w:pitch w:val="default"/>
    <w:sig w:usb0="00000000" w:usb1="00000000" w:usb2="00000010" w:usb3="00000000" w:csb0="0004000F" w:csb1="00000000"/>
  </w:font>
  <w:font w:name="方正黑体_GBK">
    <w:altName w:val="微软雅黑"/>
    <w:panose1 w:val="02000000000000000000"/>
    <w:charset w:val="86"/>
    <w:family w:val="script"/>
    <w:pitch w:val="default"/>
    <w:sig w:usb0="00000000" w:usb1="00000000" w:usb2="00082016" w:usb3="00000000" w:csb0="00040001" w:csb1="00000000"/>
  </w:font>
  <w:font w:name="方正楷体_GBK">
    <w:altName w:val="微软雅黑"/>
    <w:panose1 w:val="02000000000000000000"/>
    <w:charset w:val="86"/>
    <w:family w:val="script"/>
    <w:pitch w:val="default"/>
    <w:sig w:usb0="00000000" w:usb1="00000000" w:usb2="00082016" w:usb3="00000000" w:csb0="00040001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doNotDisplayPageBoundaries w:val="1"/>
  <w:displayBackgroundShape w:val="1"/>
  <w:bordersDoNotSurroundHeader w:val="1"/>
  <w:bordersDoNotSurroundFooter w:val="1"/>
  <w:documentProtection w:enforcement="0"/>
  <w:defaultTabStop w:val="420"/>
  <w:drawingGridHorizontalSpacing w:val="120"/>
  <w:drawingGridVerticalSpacing w:val="156"/>
  <w:displayHorizontalDrawingGridEvery w:val="0"/>
  <w:displayVerticalDrawingGridEvery w:val="2"/>
  <w:noPunctuationKerning w:val="1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footnotePr>
    <w:footnote w:id="0"/>
    <w:footnote w:id="1"/>
  </w:footnotePr>
  <w:endnotePr>
    <w:endnote w:id="0"/>
    <w:endnote w:id="1"/>
  </w:endnotePr>
  <w:compat>
    <w:spaceForUL/>
    <w:balanceSingleByteDoubleByteWidth/>
    <w:ulTrailSpace/>
    <w:doNotExpandShiftReturn/>
    <w:adjustLineHeightInTable/>
    <w:useFELayout/>
    <w:compatSetting w:name="compatibilityMode" w:uri="http://schemas.microsoft.com/office/word" w:val="15"/>
  </w:compat>
  <w:rsids>
    <w:rsidRoot w:val="00000000"/>
    <w:rsid w:val="5CCF0289"/>
    <w:rsid w:val="7E5642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Lucida Sans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nhideWhenUsed="0" w:uiPriority="0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semiHidden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spacing w:line="240" w:lineRule="auto"/>
      <w:jc w:val="left"/>
    </w:pPr>
    <w:rPr>
      <w:rFonts w:ascii="宋体" w:hAnsi="Times New Roman" w:eastAsia="宋体" w:cs="Lucida Sans"/>
      <w:kern w:val="2"/>
      <w:sz w:val="24"/>
      <w:szCs w:val="21"/>
      <w:lang w:val="en-US" w:eastAsia="zh-CN" w:bidi="ar-SA"/>
    </w:rPr>
  </w:style>
  <w:style w:type="paragraph" w:styleId="2">
    <w:name w:val="heading 1"/>
    <w:basedOn w:val="1"/>
    <w:next w:val="1"/>
    <w:link w:val="8"/>
    <w:qFormat/>
    <w:uiPriority w:val="0"/>
    <w:pPr>
      <w:keepNext w:val="0"/>
      <w:keepLines w:val="0"/>
      <w:pageBreakBefore w:val="0"/>
      <w:widowControl/>
      <w:suppressLineNumbers w:val="0"/>
      <w:pBdr>
        <w:top w:val="none" w:color="auto" w:sz="0" w:space="0"/>
        <w:left w:val="none" w:color="auto" w:sz="0" w:space="0"/>
        <w:bottom w:val="none" w:color="auto" w:sz="0" w:space="0"/>
        <w:right w:val="none" w:color="auto" w:sz="0" w:space="0"/>
      </w:pBdr>
      <w:shd w:val="clear" w:color="auto" w:fill="auto"/>
      <w:suppressAutoHyphens w:val="0"/>
      <w:kinsoku/>
      <w:wordWrap/>
      <w:overflowPunct/>
      <w:topLinePunct w:val="0"/>
      <w:autoSpaceDE/>
      <w:autoSpaceDN/>
      <w:bidi w:val="0"/>
      <w:adjustRightInd/>
      <w:snapToGrid/>
      <w:spacing w:before="100" w:beforeAutospacing="1" w:after="100" w:afterAutospacing="1" w:line="240" w:lineRule="auto"/>
      <w:ind w:left="0" w:right="0" w:firstLine="0"/>
      <w:contextualSpacing w:val="0"/>
      <w:jc w:val="left"/>
      <w:textAlignment w:val="auto"/>
      <w:outlineLvl w:val="0"/>
    </w:pPr>
    <w:rPr>
      <w:b/>
      <w:snapToGrid/>
      <w:color w:val="auto"/>
      <w:spacing w:val="0"/>
      <w:w w:val="100"/>
      <w:kern w:val="36"/>
      <w:position w:val="0"/>
      <w:sz w:val="48"/>
      <w:u w:val="none" w:color="auto"/>
      <w:shd w:val="clear" w:color="auto" w:fill="auto"/>
      <w:vertAlign w:val="baseline"/>
      <w:lang w:val="en-US" w:eastAsia="zh-CN"/>
    </w:rPr>
  </w:style>
  <w:style w:type="paragraph" w:styleId="3">
    <w:name w:val="heading 2"/>
    <w:basedOn w:val="1"/>
    <w:next w:val="1"/>
    <w:link w:val="9"/>
    <w:qFormat/>
    <w:uiPriority w:val="0"/>
    <w:pPr>
      <w:keepNext w:val="0"/>
      <w:keepLines w:val="0"/>
      <w:pageBreakBefore w:val="0"/>
      <w:widowControl/>
      <w:suppressLineNumbers w:val="0"/>
      <w:pBdr>
        <w:top w:val="none" w:color="auto" w:sz="0" w:space="0"/>
        <w:left w:val="none" w:color="auto" w:sz="0" w:space="0"/>
        <w:bottom w:val="none" w:color="auto" w:sz="0" w:space="0"/>
        <w:right w:val="none" w:color="auto" w:sz="0" w:space="0"/>
      </w:pBdr>
      <w:shd w:val="clear" w:color="auto" w:fill="auto"/>
      <w:suppressAutoHyphens w:val="0"/>
      <w:kinsoku/>
      <w:wordWrap/>
      <w:overflowPunct/>
      <w:topLinePunct w:val="0"/>
      <w:autoSpaceDE/>
      <w:autoSpaceDN/>
      <w:bidi w:val="0"/>
      <w:adjustRightInd/>
      <w:snapToGrid/>
      <w:spacing w:before="100" w:beforeAutospacing="1" w:after="100" w:afterAutospacing="1" w:line="240" w:lineRule="auto"/>
      <w:ind w:left="0" w:right="0" w:firstLine="0"/>
      <w:contextualSpacing w:val="0"/>
      <w:jc w:val="left"/>
      <w:textAlignment w:val="auto"/>
      <w:outlineLvl w:val="1"/>
    </w:pPr>
    <w:rPr>
      <w:b/>
      <w:snapToGrid/>
      <w:color w:val="auto"/>
      <w:spacing w:val="0"/>
      <w:w w:val="100"/>
      <w:kern w:val="0"/>
      <w:position w:val="0"/>
      <w:sz w:val="36"/>
      <w:u w:val="none" w:color="auto"/>
      <w:shd w:val="clear" w:color="auto" w:fill="auto"/>
      <w:vertAlign w:val="baseline"/>
      <w:lang w:val="en-US" w:eastAsia="zh-CN"/>
    </w:rPr>
  </w:style>
  <w:style w:type="paragraph" w:styleId="4">
    <w:name w:val="heading 3"/>
    <w:basedOn w:val="1"/>
    <w:next w:val="1"/>
    <w:link w:val="10"/>
    <w:qFormat/>
    <w:uiPriority w:val="0"/>
    <w:pPr>
      <w:keepNext w:val="0"/>
      <w:keepLines w:val="0"/>
      <w:pageBreakBefore w:val="0"/>
      <w:widowControl/>
      <w:suppressLineNumbers w:val="0"/>
      <w:pBdr>
        <w:top w:val="none" w:color="auto" w:sz="0" w:space="0"/>
        <w:left w:val="none" w:color="auto" w:sz="0" w:space="0"/>
        <w:bottom w:val="none" w:color="auto" w:sz="0" w:space="0"/>
        <w:right w:val="none" w:color="auto" w:sz="0" w:space="0"/>
      </w:pBdr>
      <w:shd w:val="clear" w:color="auto" w:fill="auto"/>
      <w:suppressAutoHyphens w:val="0"/>
      <w:kinsoku/>
      <w:wordWrap/>
      <w:overflowPunct/>
      <w:topLinePunct w:val="0"/>
      <w:autoSpaceDE/>
      <w:autoSpaceDN/>
      <w:bidi w:val="0"/>
      <w:adjustRightInd/>
      <w:snapToGrid/>
      <w:spacing w:before="100" w:beforeAutospacing="1" w:after="100" w:afterAutospacing="1" w:line="240" w:lineRule="auto"/>
      <w:ind w:left="0" w:right="0" w:firstLine="0"/>
      <w:contextualSpacing w:val="0"/>
      <w:jc w:val="left"/>
      <w:textAlignment w:val="auto"/>
      <w:outlineLvl w:val="2"/>
    </w:pPr>
    <w:rPr>
      <w:b/>
      <w:snapToGrid/>
      <w:color w:val="auto"/>
      <w:spacing w:val="0"/>
      <w:w w:val="100"/>
      <w:kern w:val="0"/>
      <w:position w:val="0"/>
      <w:sz w:val="27"/>
      <w:u w:val="none" w:color="auto"/>
      <w:shd w:val="clear" w:color="auto" w:fill="auto"/>
      <w:vertAlign w:val="baseline"/>
      <w:lang w:val="en-US" w:eastAsia="zh-CN"/>
    </w:rPr>
  </w:style>
  <w:style w:type="character" w:default="1" w:styleId="6">
    <w:name w:val="Default Paragraph Font"/>
    <w:qFormat/>
    <w:uiPriority w:val="0"/>
  </w:style>
  <w:style w:type="table" w:default="1" w:styleId="5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styleId="7">
    <w:name w:val="Strong"/>
    <w:basedOn w:val="6"/>
    <w:qFormat/>
    <w:uiPriority w:val="0"/>
    <w:rPr>
      <w:b/>
      <w:bCs/>
    </w:rPr>
  </w:style>
  <w:style w:type="character" w:customStyle="1" w:styleId="8">
    <w:name w:val="heading 1 Char"/>
    <w:basedOn w:val="6"/>
    <w:link w:val="2"/>
    <w:uiPriority w:val="0"/>
    <w:rPr>
      <w:rFonts w:ascii="宋体" w:hAnsi="Times New Roman" w:eastAsia="宋体" w:cs="Lucida Sans"/>
      <w:b/>
      <w:snapToGrid/>
      <w:color w:val="auto"/>
      <w:spacing w:val="0"/>
      <w:w w:val="100"/>
      <w:kern w:val="36"/>
      <w:position w:val="0"/>
      <w:sz w:val="48"/>
      <w:szCs w:val="21"/>
      <w:u w:val="none" w:color="auto"/>
      <w:shd w:val="clear" w:color="auto" w:fill="auto"/>
      <w:vertAlign w:val="baseline"/>
      <w:lang w:val="en-US" w:eastAsia="zh-CN" w:bidi="ar-SA"/>
    </w:rPr>
  </w:style>
  <w:style w:type="character" w:customStyle="1" w:styleId="9">
    <w:name w:val="heading 2 Char"/>
    <w:basedOn w:val="6"/>
    <w:link w:val="3"/>
    <w:uiPriority w:val="0"/>
    <w:rPr>
      <w:rFonts w:ascii="宋体" w:hAnsi="Times New Roman" w:eastAsia="宋体" w:cs="Lucida Sans"/>
      <w:b/>
      <w:snapToGrid/>
      <w:color w:val="auto"/>
      <w:spacing w:val="0"/>
      <w:w w:val="100"/>
      <w:kern w:val="0"/>
      <w:position w:val="0"/>
      <w:sz w:val="36"/>
      <w:szCs w:val="21"/>
      <w:u w:val="none" w:color="auto"/>
      <w:shd w:val="clear" w:color="auto" w:fill="auto"/>
      <w:vertAlign w:val="baseline"/>
      <w:lang w:val="en-US" w:eastAsia="zh-CN" w:bidi="ar-SA"/>
    </w:rPr>
  </w:style>
  <w:style w:type="character" w:customStyle="1" w:styleId="10">
    <w:name w:val="heading 3 Char"/>
    <w:basedOn w:val="6"/>
    <w:link w:val="4"/>
    <w:uiPriority w:val="0"/>
    <w:rPr>
      <w:rFonts w:ascii="宋体" w:hAnsi="Times New Roman" w:eastAsia="宋体" w:cs="Lucida Sans"/>
      <w:b/>
      <w:snapToGrid/>
      <w:color w:val="auto"/>
      <w:spacing w:val="0"/>
      <w:w w:val="100"/>
      <w:kern w:val="0"/>
      <w:position w:val="0"/>
      <w:sz w:val="27"/>
      <w:szCs w:val="21"/>
      <w:u w:val="none" w:color="auto"/>
      <w:shd w:val="clear" w:color="auto" w:fill="auto"/>
      <w:vertAlign w:val="baseline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 主题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 主题">
      <a:majorFont>
        <a:latin typeface=""/>
        <a:ea typeface=""/>
        <a:cs typeface=""/>
      </a:majorFont>
      <a:minorFont>
        <a:latin typeface=""/>
        <a:ea typeface=""/>
        <a:cs typeface=""/>
      </a:minorFont>
    </a:fontScheme>
    <a:fmtScheme name="Office 主题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1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1"/>
        </a:gradFill>
      </a:fillStyleLst>
      <a:lnStyleLst>
        <a:ln w="6350" cap="flat" cmpd="sng">
          <a:solidFill>
            <a:schemeClr val="phClr"/>
          </a:solidFill>
          <a:prstDash val="solid"/>
          <a:miter/>
        </a:ln>
        <a:ln w="12700" cap="flat" cmpd="sng">
          <a:solidFill>
            <a:schemeClr val="phClr"/>
          </a:solidFill>
          <a:prstDash val="solid"/>
          <a:miter/>
        </a:ln>
        <a:ln w="19050" cap="flat" cmpd="sng">
          <a:solidFill>
            <a:schemeClr val="phClr"/>
          </a:solidFill>
          <a:prstDash val="solid"/>
          <a:miter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2745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1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customData xmlns="http://www.yozosoft.com.cn/officeDocument/2016/customData">
  <customProps>
    <docPr revisions="3 0 5 0 0 0 1 0 0 0 26650 1 1 1 1 1"/>
    <sectPr/>
  </customProps>
</customData>
</file>

<file path=customXml/itemProps1.xml><?xml version="1.0" encoding="utf-8"?>
<ds:datastoreItem xmlns:ds="http://schemas.openxmlformats.org/officeDocument/2006/customXml" ds:itemID="{2B7A6F02-1D69-4A50-871C-8183AA9EAEA0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Normal.eit</Template>
  <Company>Yozosoft</Company>
  <Pages>8</Pages>
  <Words>0</Words>
  <Characters>2862</Characters>
  <Lines>0</Lines>
  <Paragraphs>47</Paragraphs>
  <TotalTime>19</TotalTime>
  <ScaleCrop>false</ScaleCrop>
  <LinksUpToDate>false</LinksUpToDate>
  <CharactersWithSpaces>3817</CharactersWithSpaces>
  <Application>WPS Office_11.8.2.12300_F1E327BC-269C-435d-A152-05C5408002CA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2021-05-08T07:28:00Z</dcterms:created>
  <dc:creator>User274</dc:creator>
  <cp:lastModifiedBy>Administrator</cp:lastModifiedBy>
  <dcterms:modified xsi:type="dcterms:W3CDTF">2026-02-25T00:59:08Z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2052-11.8.2.12300</vt:lpwstr>
  </property>
  <property fmtid="{D5CDD505-2E9C-101B-9397-08002B2CF9AE}" pid="3" name="ICV">
    <vt:lpwstr>CF878F0275A14A1390EE3C7169273FB0</vt:lpwstr>
  </property>
</Properties>
</file>