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一、中共隆尧县委党校本级收支预算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一、中共隆尧县委党校本级收支预算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281001中共隆尧县委党校本级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467.33</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r>
              <w:t>416.19</w:t>
            </w: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22.31</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11.03</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17.79</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467.33</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467.33</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467.33</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467.33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281001中共隆尧县委党校本级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467.33</w:t>
            </w:r>
          </w:p>
        </w:tc>
        <w:tc>
          <w:tcPr>
            <w:tcW w:w="1134" w:type="dxa"/>
            <w:tcBorders>
              <w:left w:val="single" w:sz="6" w:space="0" w:color="000000"/>
            </w:tcBorders>
            <w:vAlign w:val="center"/>
          </w:tcPr>
          <w:p>
            <w:pPr>
              <w:pStyle w:val="23"/>
            </w:pPr>
            <w:r>
              <w:t>467.33</w:t>
            </w:r>
          </w:p>
        </w:tc>
        <w:tc>
          <w:tcPr>
            <w:tcW w:w="1134" w:type="dxa"/>
            <w:tcBorders>
              <w:left w:val="single" w:sz="6" w:space="0" w:color="000000"/>
            </w:tcBorders>
            <w:vAlign w:val="center"/>
          </w:tcPr>
          <w:p>
            <w:pPr>
              <w:pStyle w:val="23"/>
            </w:pPr>
            <w:r>
              <w:t>467.33</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205</w:t>
            </w:r>
          </w:p>
        </w:tc>
        <w:tc>
          <w:tcPr>
            <w:tcW w:w="1559" w:type="dxa"/>
            <w:tcBorders>
              <w:left w:val="single" w:sz="6" w:space="0" w:color="000000"/>
            </w:tcBorders>
            <w:vAlign w:val="center"/>
          </w:tcPr>
          <w:p>
            <w:pPr>
              <w:pStyle w:val="20"/>
            </w:pPr>
            <w:r>
              <w:t>教育支出</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20508</w:t>
            </w:r>
          </w:p>
        </w:tc>
        <w:tc>
          <w:tcPr>
            <w:tcW w:w="1559" w:type="dxa"/>
            <w:tcBorders>
              <w:left w:val="single" w:sz="6" w:space="0" w:color="000000"/>
            </w:tcBorders>
            <w:vAlign w:val="center"/>
          </w:tcPr>
          <w:p>
            <w:pPr>
              <w:pStyle w:val="20"/>
            </w:pPr>
            <w:r>
              <w:t>进修及培训</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2050802</w:t>
            </w:r>
          </w:p>
        </w:tc>
        <w:tc>
          <w:tcPr>
            <w:tcW w:w="1559" w:type="dxa"/>
            <w:tcBorders>
              <w:left w:val="single" w:sz="6" w:space="0" w:color="000000"/>
            </w:tcBorders>
            <w:vAlign w:val="center"/>
          </w:tcPr>
          <w:p>
            <w:pPr>
              <w:pStyle w:val="20"/>
            </w:pPr>
            <w:r>
              <w:t>干部教育</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r>
              <w:t>416.19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r>
              <w:t>22.31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2101101</w:t>
            </w:r>
          </w:p>
        </w:tc>
        <w:tc>
          <w:tcPr>
            <w:tcW w:w="1559" w:type="dxa"/>
            <w:tcBorders>
              <w:left w:val="single" w:sz="6" w:space="0" w:color="000000"/>
            </w:tcBorders>
            <w:vAlign w:val="center"/>
          </w:tcPr>
          <w:p>
            <w:pPr>
              <w:pStyle w:val="20"/>
            </w:pPr>
            <w:r>
              <w:t>行政单位医疗</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r>
              <w:t>11.03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r>
              <w:t>17.79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467.33</w:t>
            </w:r>
          </w:p>
        </w:tc>
        <w:tc>
          <w:tcPr>
            <w:tcW w:w="1361" w:type="dxa"/>
            <w:tcBorders>
              <w:left w:val="single" w:sz="6" w:space="0" w:color="000000"/>
            </w:tcBorders>
            <w:vAlign w:val="center"/>
          </w:tcPr>
          <w:p>
            <w:pPr>
              <w:pStyle w:val="23"/>
            </w:pPr>
            <w:r>
              <w:t>251.13</w:t>
            </w:r>
          </w:p>
        </w:tc>
        <w:tc>
          <w:tcPr>
            <w:tcW w:w="1361" w:type="dxa"/>
            <w:tcBorders>
              <w:left w:val="single" w:sz="6" w:space="0" w:color="000000"/>
            </w:tcBorders>
            <w:vAlign w:val="center"/>
          </w:tcPr>
          <w:p>
            <w:pPr>
              <w:pStyle w:val="23"/>
            </w:pPr>
            <w:r>
              <w:t>216.20</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205</w:t>
            </w:r>
          </w:p>
        </w:tc>
        <w:tc>
          <w:tcPr>
            <w:tcW w:w="4535" w:type="dxa"/>
            <w:tcBorders>
              <w:left w:val="single" w:sz="6" w:space="0" w:color="000000"/>
            </w:tcBorders>
            <w:vAlign w:val="center"/>
          </w:tcPr>
          <w:p>
            <w:pPr>
              <w:pStyle w:val="20"/>
            </w:pPr>
            <w:r>
              <w:t>教育支出</w:t>
            </w:r>
          </w:p>
        </w:tc>
        <w:tc>
          <w:tcPr>
            <w:tcW w:w="1361" w:type="dxa"/>
            <w:tcBorders>
              <w:left w:val="single" w:sz="6" w:space="0" w:color="000000"/>
            </w:tcBorders>
            <w:vAlign w:val="center"/>
          </w:tcPr>
          <w:p>
            <w:pPr>
              <w:pStyle w:val="19"/>
            </w:pPr>
            <w:r>
              <w:t>416.19</w:t>
            </w:r>
          </w:p>
        </w:tc>
        <w:tc>
          <w:tcPr>
            <w:tcW w:w="1361" w:type="dxa"/>
            <w:tcBorders>
              <w:left w:val="single" w:sz="6" w:space="0" w:color="000000"/>
            </w:tcBorders>
            <w:vAlign w:val="center"/>
          </w:tcPr>
          <w:p>
            <w:pPr>
              <w:pStyle w:val="19"/>
            </w:pPr>
            <w:r>
              <w:t>199.99</w:t>
            </w:r>
          </w:p>
        </w:tc>
        <w:tc>
          <w:tcPr>
            <w:tcW w:w="1361" w:type="dxa"/>
            <w:tcBorders>
              <w:left w:val="single" w:sz="6" w:space="0" w:color="000000"/>
            </w:tcBorders>
            <w:vAlign w:val="center"/>
          </w:tcPr>
          <w:p>
            <w:pPr>
              <w:pStyle w:val="19"/>
            </w:pPr>
            <w:r>
              <w:t>216.20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20508</w:t>
            </w:r>
          </w:p>
        </w:tc>
        <w:tc>
          <w:tcPr>
            <w:tcW w:w="4535" w:type="dxa"/>
            <w:tcBorders>
              <w:left w:val="single" w:sz="6" w:space="0" w:color="000000"/>
            </w:tcBorders>
            <w:vAlign w:val="center"/>
          </w:tcPr>
          <w:p>
            <w:pPr>
              <w:pStyle w:val="20"/>
            </w:pPr>
            <w:r>
              <w:t>进修及培训</w:t>
            </w:r>
          </w:p>
        </w:tc>
        <w:tc>
          <w:tcPr>
            <w:tcW w:w="1361" w:type="dxa"/>
            <w:tcBorders>
              <w:left w:val="single" w:sz="6" w:space="0" w:color="000000"/>
            </w:tcBorders>
            <w:vAlign w:val="center"/>
          </w:tcPr>
          <w:p>
            <w:pPr>
              <w:pStyle w:val="19"/>
            </w:pPr>
            <w:r>
              <w:t>416.19</w:t>
            </w:r>
          </w:p>
        </w:tc>
        <w:tc>
          <w:tcPr>
            <w:tcW w:w="1361" w:type="dxa"/>
            <w:tcBorders>
              <w:left w:val="single" w:sz="6" w:space="0" w:color="000000"/>
            </w:tcBorders>
            <w:vAlign w:val="center"/>
          </w:tcPr>
          <w:p>
            <w:pPr>
              <w:pStyle w:val="19"/>
            </w:pPr>
            <w:r>
              <w:t>199.99</w:t>
            </w:r>
          </w:p>
        </w:tc>
        <w:tc>
          <w:tcPr>
            <w:tcW w:w="1361" w:type="dxa"/>
            <w:tcBorders>
              <w:left w:val="single" w:sz="6" w:space="0" w:color="000000"/>
            </w:tcBorders>
            <w:vAlign w:val="center"/>
          </w:tcPr>
          <w:p>
            <w:pPr>
              <w:pStyle w:val="19"/>
            </w:pPr>
            <w:r>
              <w:t>216.20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2050802</w:t>
            </w:r>
          </w:p>
        </w:tc>
        <w:tc>
          <w:tcPr>
            <w:tcW w:w="4535" w:type="dxa"/>
            <w:tcBorders>
              <w:left w:val="single" w:sz="6" w:space="0" w:color="000000"/>
            </w:tcBorders>
            <w:vAlign w:val="center"/>
          </w:tcPr>
          <w:p>
            <w:pPr>
              <w:pStyle w:val="20"/>
            </w:pPr>
            <w:r>
              <w:t>干部教育</w:t>
            </w:r>
          </w:p>
        </w:tc>
        <w:tc>
          <w:tcPr>
            <w:tcW w:w="1361" w:type="dxa"/>
            <w:tcBorders>
              <w:left w:val="single" w:sz="6" w:space="0" w:color="000000"/>
            </w:tcBorders>
            <w:vAlign w:val="center"/>
          </w:tcPr>
          <w:p>
            <w:pPr>
              <w:pStyle w:val="19"/>
            </w:pPr>
            <w:r>
              <w:t>416.19</w:t>
            </w:r>
          </w:p>
        </w:tc>
        <w:tc>
          <w:tcPr>
            <w:tcW w:w="1361" w:type="dxa"/>
            <w:tcBorders>
              <w:left w:val="single" w:sz="6" w:space="0" w:color="000000"/>
            </w:tcBorders>
            <w:vAlign w:val="center"/>
          </w:tcPr>
          <w:p>
            <w:pPr>
              <w:pStyle w:val="19"/>
            </w:pPr>
            <w:r>
              <w:t>199.99</w:t>
            </w:r>
          </w:p>
        </w:tc>
        <w:tc>
          <w:tcPr>
            <w:tcW w:w="1361" w:type="dxa"/>
            <w:tcBorders>
              <w:left w:val="single" w:sz="6" w:space="0" w:color="000000"/>
            </w:tcBorders>
            <w:vAlign w:val="center"/>
          </w:tcPr>
          <w:p>
            <w:pPr>
              <w:pStyle w:val="19"/>
            </w:pPr>
            <w:r>
              <w:t>216.20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22.31</w:t>
            </w:r>
          </w:p>
        </w:tc>
        <w:tc>
          <w:tcPr>
            <w:tcW w:w="1361" w:type="dxa"/>
            <w:tcBorders>
              <w:left w:val="single" w:sz="6" w:space="0" w:color="000000"/>
            </w:tcBorders>
            <w:vAlign w:val="center"/>
          </w:tcPr>
          <w:p>
            <w:pPr>
              <w:pStyle w:val="19"/>
            </w:pPr>
            <w:r>
              <w:t>22.31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22.31</w:t>
            </w:r>
          </w:p>
        </w:tc>
        <w:tc>
          <w:tcPr>
            <w:tcW w:w="1361" w:type="dxa"/>
            <w:tcBorders>
              <w:left w:val="single" w:sz="6" w:space="0" w:color="000000"/>
            </w:tcBorders>
            <w:vAlign w:val="center"/>
          </w:tcPr>
          <w:p>
            <w:pPr>
              <w:pStyle w:val="19"/>
            </w:pPr>
            <w:r>
              <w:t>22.31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22.31</w:t>
            </w:r>
          </w:p>
        </w:tc>
        <w:tc>
          <w:tcPr>
            <w:tcW w:w="1361" w:type="dxa"/>
            <w:tcBorders>
              <w:left w:val="single" w:sz="6" w:space="0" w:color="000000"/>
            </w:tcBorders>
            <w:vAlign w:val="center"/>
          </w:tcPr>
          <w:p>
            <w:pPr>
              <w:pStyle w:val="19"/>
            </w:pPr>
            <w:r>
              <w:t>22.31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11.03</w:t>
            </w:r>
          </w:p>
        </w:tc>
        <w:tc>
          <w:tcPr>
            <w:tcW w:w="1361" w:type="dxa"/>
            <w:tcBorders>
              <w:left w:val="single" w:sz="6" w:space="0" w:color="000000"/>
            </w:tcBorders>
            <w:vAlign w:val="center"/>
          </w:tcPr>
          <w:p>
            <w:pPr>
              <w:pStyle w:val="19"/>
            </w:pPr>
            <w:r>
              <w:t>11.03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11.03</w:t>
            </w:r>
          </w:p>
        </w:tc>
        <w:tc>
          <w:tcPr>
            <w:tcW w:w="1361" w:type="dxa"/>
            <w:tcBorders>
              <w:left w:val="single" w:sz="6" w:space="0" w:color="000000"/>
            </w:tcBorders>
            <w:vAlign w:val="center"/>
          </w:tcPr>
          <w:p>
            <w:pPr>
              <w:pStyle w:val="19"/>
            </w:pPr>
            <w:r>
              <w:t>11.03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1361" w:type="dxa"/>
            <w:tcBorders>
              <w:left w:val="single" w:sz="6" w:space="0" w:color="000000"/>
            </w:tcBorders>
            <w:vAlign w:val="center"/>
          </w:tcPr>
          <w:p>
            <w:pPr>
              <w:pStyle w:val="19"/>
            </w:pPr>
            <w:r>
              <w:t>11.03</w:t>
            </w:r>
          </w:p>
        </w:tc>
        <w:tc>
          <w:tcPr>
            <w:tcW w:w="1361" w:type="dxa"/>
            <w:tcBorders>
              <w:left w:val="single" w:sz="6" w:space="0" w:color="000000"/>
            </w:tcBorders>
            <w:vAlign w:val="center"/>
          </w:tcPr>
          <w:p>
            <w:pPr>
              <w:pStyle w:val="19"/>
            </w:pPr>
            <w:r>
              <w:t>11.03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17.79</w:t>
            </w:r>
          </w:p>
        </w:tc>
        <w:tc>
          <w:tcPr>
            <w:tcW w:w="1361" w:type="dxa"/>
            <w:tcBorders>
              <w:left w:val="single" w:sz="6" w:space="0" w:color="000000"/>
            </w:tcBorders>
            <w:vAlign w:val="center"/>
          </w:tcPr>
          <w:p>
            <w:pPr>
              <w:pStyle w:val="19"/>
            </w:pPr>
            <w:r>
              <w:t>17.79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17.79</w:t>
            </w:r>
          </w:p>
        </w:tc>
        <w:tc>
          <w:tcPr>
            <w:tcW w:w="1361" w:type="dxa"/>
            <w:tcBorders>
              <w:left w:val="single" w:sz="6" w:space="0" w:color="000000"/>
            </w:tcBorders>
            <w:vAlign w:val="center"/>
          </w:tcPr>
          <w:p>
            <w:pPr>
              <w:pStyle w:val="19"/>
            </w:pPr>
            <w:r>
              <w:t>17.79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17.79</w:t>
            </w:r>
          </w:p>
        </w:tc>
        <w:tc>
          <w:tcPr>
            <w:tcW w:w="1361" w:type="dxa"/>
            <w:tcBorders>
              <w:left w:val="single" w:sz="6" w:space="0" w:color="000000"/>
            </w:tcBorders>
            <w:vAlign w:val="center"/>
          </w:tcPr>
          <w:p>
            <w:pPr>
              <w:pStyle w:val="19"/>
            </w:pPr>
            <w:r>
              <w:t>17.79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467.33</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r>
              <w:t>416.19</w:t>
            </w:r>
          </w:p>
        </w:tc>
        <w:tc>
          <w:tcPr>
            <w:tcW w:w="1474" w:type="dxa"/>
            <w:tcBorders>
              <w:left w:val="single" w:sz="6" w:space="0" w:color="000000"/>
            </w:tcBorders>
            <w:vAlign w:val="center"/>
          </w:tcPr>
          <w:p>
            <w:pPr>
              <w:pStyle w:val="19"/>
            </w:pPr>
            <w:r>
              <w:t>416.19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22.31</w:t>
            </w:r>
          </w:p>
        </w:tc>
        <w:tc>
          <w:tcPr>
            <w:tcW w:w="1474" w:type="dxa"/>
            <w:tcBorders>
              <w:left w:val="single" w:sz="6" w:space="0" w:color="000000"/>
            </w:tcBorders>
            <w:vAlign w:val="center"/>
          </w:tcPr>
          <w:p>
            <w:pPr>
              <w:pStyle w:val="19"/>
            </w:pPr>
            <w:r>
              <w:t>22.31</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11.03</w:t>
            </w:r>
          </w:p>
        </w:tc>
        <w:tc>
          <w:tcPr>
            <w:tcW w:w="1474" w:type="dxa"/>
            <w:tcBorders>
              <w:left w:val="single" w:sz="6" w:space="0" w:color="000000"/>
            </w:tcBorders>
            <w:vAlign w:val="center"/>
          </w:tcPr>
          <w:p>
            <w:pPr>
              <w:pStyle w:val="19"/>
            </w:pPr>
            <w:r>
              <w:t>11.03</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17.79</w:t>
            </w:r>
          </w:p>
        </w:tc>
        <w:tc>
          <w:tcPr>
            <w:tcW w:w="1474" w:type="dxa"/>
            <w:tcBorders>
              <w:left w:val="single" w:sz="6" w:space="0" w:color="000000"/>
            </w:tcBorders>
            <w:vAlign w:val="center"/>
          </w:tcPr>
          <w:p>
            <w:pPr>
              <w:pStyle w:val="19"/>
            </w:pPr>
            <w:r>
              <w:t>17.79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467.33</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467.33</w:t>
            </w:r>
          </w:p>
        </w:tc>
        <w:tc>
          <w:tcPr>
            <w:tcW w:w="1474" w:type="dxa"/>
            <w:tcBorders>
              <w:left w:val="single" w:sz="6" w:space="0" w:color="000000"/>
            </w:tcBorders>
            <w:vAlign w:val="center"/>
          </w:tcPr>
          <w:p>
            <w:pPr>
              <w:pStyle w:val="23"/>
            </w:pPr>
            <w:r>
              <w:t>467.33</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467.33</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467.33</w:t>
            </w:r>
          </w:p>
        </w:tc>
        <w:tc>
          <w:tcPr>
            <w:tcW w:w="1474" w:type="dxa"/>
            <w:tcBorders>
              <w:left w:val="single" w:sz="6" w:space="0" w:color="000000"/>
            </w:tcBorders>
            <w:vAlign w:val="center"/>
          </w:tcPr>
          <w:p>
            <w:pPr>
              <w:pStyle w:val="23"/>
            </w:pPr>
            <w:r>
              <w:t>467.33</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467.33</w:t>
            </w:r>
          </w:p>
        </w:tc>
        <w:tc>
          <w:tcPr>
            <w:tcW w:w="2551" w:type="dxa"/>
            <w:tcBorders>
              <w:left w:val="single" w:sz="6" w:space="0" w:color="000000"/>
            </w:tcBorders>
            <w:vAlign w:val="center"/>
          </w:tcPr>
          <w:p>
            <w:pPr>
              <w:pStyle w:val="23"/>
            </w:pPr>
            <w:r>
              <w:t>251.13</w:t>
            </w:r>
          </w:p>
        </w:tc>
        <w:tc>
          <w:tcPr>
            <w:tcW w:w="2551" w:type="dxa"/>
            <w:tcBorders>
              <w:left w:val="single" w:sz="6" w:space="0" w:color="000000"/>
            </w:tcBorders>
            <w:vAlign w:val="center"/>
          </w:tcPr>
          <w:p>
            <w:pPr>
              <w:pStyle w:val="23"/>
            </w:pPr>
            <w:r>
              <w:t>216.20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205</w:t>
            </w:r>
          </w:p>
        </w:tc>
        <w:tc>
          <w:tcPr>
            <w:tcW w:w="4535" w:type="dxa"/>
            <w:tcBorders>
              <w:left w:val="single" w:sz="6" w:space="0" w:color="000000"/>
            </w:tcBorders>
            <w:vAlign w:val="center"/>
          </w:tcPr>
          <w:p>
            <w:pPr>
              <w:pStyle w:val="20"/>
            </w:pPr>
            <w:r>
              <w:t>教育支出</w:t>
            </w:r>
          </w:p>
        </w:tc>
        <w:tc>
          <w:tcPr>
            <w:tcW w:w="2551" w:type="dxa"/>
            <w:tcBorders>
              <w:left w:val="single" w:sz="6" w:space="0" w:color="000000"/>
            </w:tcBorders>
            <w:vAlign w:val="center"/>
          </w:tcPr>
          <w:p>
            <w:pPr>
              <w:pStyle w:val="19"/>
            </w:pPr>
            <w:r>
              <w:t>416.19</w:t>
            </w:r>
          </w:p>
        </w:tc>
        <w:tc>
          <w:tcPr>
            <w:tcW w:w="2551" w:type="dxa"/>
            <w:tcBorders>
              <w:left w:val="single" w:sz="6" w:space="0" w:color="000000"/>
            </w:tcBorders>
            <w:vAlign w:val="center"/>
          </w:tcPr>
          <w:p>
            <w:pPr>
              <w:pStyle w:val="19"/>
            </w:pPr>
            <w:r>
              <w:t>199.99</w:t>
            </w:r>
          </w:p>
        </w:tc>
        <w:tc>
          <w:tcPr>
            <w:tcW w:w="2551" w:type="dxa"/>
            <w:tcBorders>
              <w:left w:val="single" w:sz="6" w:space="0" w:color="000000"/>
            </w:tcBorders>
            <w:vAlign w:val="center"/>
          </w:tcPr>
          <w:p>
            <w:pPr>
              <w:pStyle w:val="19"/>
            </w:pPr>
            <w:r>
              <w:t>216.20</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20508</w:t>
            </w:r>
          </w:p>
        </w:tc>
        <w:tc>
          <w:tcPr>
            <w:tcW w:w="4535" w:type="dxa"/>
            <w:tcBorders>
              <w:left w:val="single" w:sz="6" w:space="0" w:color="000000"/>
            </w:tcBorders>
            <w:vAlign w:val="center"/>
          </w:tcPr>
          <w:p>
            <w:pPr>
              <w:pStyle w:val="20"/>
            </w:pPr>
            <w:r>
              <w:t>进修及培训</w:t>
            </w:r>
          </w:p>
        </w:tc>
        <w:tc>
          <w:tcPr>
            <w:tcW w:w="2551" w:type="dxa"/>
            <w:tcBorders>
              <w:left w:val="single" w:sz="6" w:space="0" w:color="000000"/>
            </w:tcBorders>
            <w:vAlign w:val="center"/>
          </w:tcPr>
          <w:p>
            <w:pPr>
              <w:pStyle w:val="19"/>
            </w:pPr>
            <w:r>
              <w:t>416.19</w:t>
            </w:r>
          </w:p>
        </w:tc>
        <w:tc>
          <w:tcPr>
            <w:tcW w:w="2551" w:type="dxa"/>
            <w:tcBorders>
              <w:left w:val="single" w:sz="6" w:space="0" w:color="000000"/>
            </w:tcBorders>
            <w:vAlign w:val="center"/>
          </w:tcPr>
          <w:p>
            <w:pPr>
              <w:pStyle w:val="19"/>
            </w:pPr>
            <w:r>
              <w:t>199.99</w:t>
            </w:r>
          </w:p>
        </w:tc>
        <w:tc>
          <w:tcPr>
            <w:tcW w:w="2551" w:type="dxa"/>
            <w:tcBorders>
              <w:left w:val="single" w:sz="6" w:space="0" w:color="000000"/>
            </w:tcBorders>
            <w:vAlign w:val="center"/>
          </w:tcPr>
          <w:p>
            <w:pPr>
              <w:pStyle w:val="19"/>
            </w:pPr>
            <w:r>
              <w:t>216.20</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2050802</w:t>
            </w:r>
          </w:p>
        </w:tc>
        <w:tc>
          <w:tcPr>
            <w:tcW w:w="4535" w:type="dxa"/>
            <w:tcBorders>
              <w:left w:val="single" w:sz="6" w:space="0" w:color="000000"/>
            </w:tcBorders>
            <w:vAlign w:val="center"/>
          </w:tcPr>
          <w:p>
            <w:pPr>
              <w:pStyle w:val="20"/>
            </w:pPr>
            <w:r>
              <w:t>干部教育</w:t>
            </w:r>
          </w:p>
        </w:tc>
        <w:tc>
          <w:tcPr>
            <w:tcW w:w="2551" w:type="dxa"/>
            <w:tcBorders>
              <w:left w:val="single" w:sz="6" w:space="0" w:color="000000"/>
            </w:tcBorders>
            <w:vAlign w:val="center"/>
          </w:tcPr>
          <w:p>
            <w:pPr>
              <w:pStyle w:val="19"/>
            </w:pPr>
            <w:r>
              <w:t>416.19</w:t>
            </w:r>
          </w:p>
        </w:tc>
        <w:tc>
          <w:tcPr>
            <w:tcW w:w="2551" w:type="dxa"/>
            <w:tcBorders>
              <w:left w:val="single" w:sz="6" w:space="0" w:color="000000"/>
            </w:tcBorders>
            <w:vAlign w:val="center"/>
          </w:tcPr>
          <w:p>
            <w:pPr>
              <w:pStyle w:val="19"/>
            </w:pPr>
            <w:r>
              <w:t>199.99</w:t>
            </w:r>
          </w:p>
        </w:tc>
        <w:tc>
          <w:tcPr>
            <w:tcW w:w="2551" w:type="dxa"/>
            <w:tcBorders>
              <w:left w:val="single" w:sz="6" w:space="0" w:color="000000"/>
            </w:tcBorders>
            <w:vAlign w:val="center"/>
          </w:tcPr>
          <w:p>
            <w:pPr>
              <w:pStyle w:val="19"/>
            </w:pPr>
            <w:r>
              <w:t>216.20</w:t>
            </w: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2101101</w:t>
            </w:r>
          </w:p>
        </w:tc>
        <w:tc>
          <w:tcPr>
            <w:tcW w:w="4535" w:type="dxa"/>
            <w:tcBorders>
              <w:left w:val="single" w:sz="6" w:space="0" w:color="000000"/>
            </w:tcBorders>
            <w:vAlign w:val="center"/>
          </w:tcPr>
          <w:p>
            <w:pPr>
              <w:pStyle w:val="20"/>
            </w:pPr>
            <w:r>
              <w:t>行政单位医疗</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251.13</w:t>
            </w:r>
          </w:p>
        </w:tc>
        <w:tc>
          <w:tcPr>
            <w:tcW w:w="2551" w:type="dxa"/>
            <w:tcBorders>
              <w:left w:val="single" w:sz="6" w:space="0" w:color="000000"/>
            </w:tcBorders>
            <w:vAlign w:val="center"/>
          </w:tcPr>
          <w:p>
            <w:pPr>
              <w:pStyle w:val="23"/>
            </w:pPr>
            <w:r>
              <w:t>234.69</w:t>
            </w:r>
          </w:p>
        </w:tc>
        <w:tc>
          <w:tcPr>
            <w:tcW w:w="2551" w:type="dxa"/>
            <w:tcBorders>
              <w:left w:val="single" w:sz="6" w:space="0" w:color="000000"/>
            </w:tcBorders>
            <w:vAlign w:val="center"/>
          </w:tcPr>
          <w:p>
            <w:pPr>
              <w:pStyle w:val="23"/>
            </w:pPr>
            <w:r>
              <w:t>16.44</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222.70</w:t>
            </w:r>
          </w:p>
        </w:tc>
        <w:tc>
          <w:tcPr>
            <w:tcW w:w="2551" w:type="dxa"/>
            <w:tcBorders>
              <w:left w:val="single" w:sz="6" w:space="0" w:color="000000"/>
            </w:tcBorders>
            <w:vAlign w:val="center"/>
          </w:tcPr>
          <w:p>
            <w:pPr>
              <w:pStyle w:val="19"/>
            </w:pPr>
            <w:r>
              <w:t>222.70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107.21</w:t>
            </w:r>
          </w:p>
        </w:tc>
        <w:tc>
          <w:tcPr>
            <w:tcW w:w="2551" w:type="dxa"/>
            <w:tcBorders>
              <w:left w:val="single" w:sz="6" w:space="0" w:color="000000"/>
            </w:tcBorders>
            <w:vAlign w:val="center"/>
          </w:tcPr>
          <w:p>
            <w:pPr>
              <w:pStyle w:val="19"/>
            </w:pPr>
            <w:r>
              <w:t>107.21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13.39</w:t>
            </w:r>
          </w:p>
        </w:tc>
        <w:tc>
          <w:tcPr>
            <w:tcW w:w="2551" w:type="dxa"/>
            <w:tcBorders>
              <w:left w:val="single" w:sz="6" w:space="0" w:color="000000"/>
            </w:tcBorders>
            <w:vAlign w:val="center"/>
          </w:tcPr>
          <w:p>
            <w:pPr>
              <w:pStyle w:val="19"/>
            </w:pPr>
            <w:r>
              <w:t>13.39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21.38</w:t>
            </w:r>
          </w:p>
        </w:tc>
        <w:tc>
          <w:tcPr>
            <w:tcW w:w="2551" w:type="dxa"/>
            <w:tcBorders>
              <w:left w:val="single" w:sz="6" w:space="0" w:color="000000"/>
            </w:tcBorders>
            <w:vAlign w:val="center"/>
          </w:tcPr>
          <w:p>
            <w:pPr>
              <w:pStyle w:val="19"/>
            </w:pPr>
            <w:r>
              <w:t>21.38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28.92</w:t>
            </w:r>
          </w:p>
        </w:tc>
        <w:tc>
          <w:tcPr>
            <w:tcW w:w="2551" w:type="dxa"/>
            <w:tcBorders>
              <w:left w:val="single" w:sz="6" w:space="0" w:color="000000"/>
            </w:tcBorders>
            <w:vAlign w:val="center"/>
          </w:tcPr>
          <w:p>
            <w:pPr>
              <w:pStyle w:val="19"/>
            </w:pPr>
            <w:r>
              <w:t>28.92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r>
              <w:t>22.31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r>
              <w:t>11.03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0.66</w:t>
            </w:r>
          </w:p>
        </w:tc>
        <w:tc>
          <w:tcPr>
            <w:tcW w:w="2551" w:type="dxa"/>
            <w:tcBorders>
              <w:left w:val="single" w:sz="6" w:space="0" w:color="000000"/>
            </w:tcBorders>
            <w:vAlign w:val="center"/>
          </w:tcPr>
          <w:p>
            <w:pPr>
              <w:pStyle w:val="19"/>
            </w:pPr>
            <w:r>
              <w:t>0.66</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r>
              <w:t>17.79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16.44</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16.44</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3.55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3.55</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30202</w:t>
            </w:r>
          </w:p>
        </w:tc>
        <w:tc>
          <w:tcPr>
            <w:tcW w:w="4535" w:type="dxa"/>
            <w:tcBorders>
              <w:left w:val="single" w:sz="6" w:space="0" w:color="000000"/>
            </w:tcBorders>
            <w:vAlign w:val="center"/>
          </w:tcPr>
          <w:p>
            <w:pPr>
              <w:pStyle w:val="20"/>
            </w:pPr>
            <w:r>
              <w:t>印刷费</w:t>
            </w:r>
          </w:p>
        </w:tc>
        <w:tc>
          <w:tcPr>
            <w:tcW w:w="2551" w:type="dxa"/>
            <w:tcBorders>
              <w:left w:val="single" w:sz="6" w:space="0" w:color="000000"/>
            </w:tcBorders>
            <w:vAlign w:val="center"/>
          </w:tcPr>
          <w:p>
            <w:pPr>
              <w:pStyle w:val="19"/>
            </w:pPr>
            <w:r>
              <w:t>1.00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0.70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0.70</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30228</w:t>
            </w:r>
          </w:p>
        </w:tc>
        <w:tc>
          <w:tcPr>
            <w:tcW w:w="4535" w:type="dxa"/>
            <w:tcBorders>
              <w:left w:val="single" w:sz="6" w:space="0" w:color="000000"/>
            </w:tcBorders>
            <w:vAlign w:val="center"/>
          </w:tcPr>
          <w:p>
            <w:pPr>
              <w:pStyle w:val="20"/>
            </w:pPr>
            <w:r>
              <w:t>工会经费</w:t>
            </w:r>
          </w:p>
        </w:tc>
        <w:tc>
          <w:tcPr>
            <w:tcW w:w="2551" w:type="dxa"/>
            <w:tcBorders>
              <w:left w:val="single" w:sz="6" w:space="0" w:color="000000"/>
            </w:tcBorders>
            <w:vAlign w:val="center"/>
          </w:tcPr>
          <w:p>
            <w:pPr>
              <w:pStyle w:val="19"/>
            </w:pPr>
            <w:r>
              <w:t>0.57</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0.57</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10.32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10.32</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0.30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0.30</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303</w:t>
            </w:r>
          </w:p>
        </w:tc>
        <w:tc>
          <w:tcPr>
            <w:tcW w:w="4535" w:type="dxa"/>
            <w:tcBorders>
              <w:left w:val="single" w:sz="6" w:space="0" w:color="000000"/>
            </w:tcBorders>
            <w:vAlign w:val="center"/>
          </w:tcPr>
          <w:p>
            <w:pPr>
              <w:pStyle w:val="20"/>
            </w:pPr>
            <w:r>
              <w:t>对个人和家庭的补助</w:t>
            </w:r>
          </w:p>
        </w:tc>
        <w:tc>
          <w:tcPr>
            <w:tcW w:w="2551" w:type="dxa"/>
            <w:tcBorders>
              <w:left w:val="single" w:sz="6" w:space="0" w:color="000000"/>
            </w:tcBorders>
            <w:vAlign w:val="center"/>
          </w:tcPr>
          <w:p>
            <w:pPr>
              <w:pStyle w:val="19"/>
            </w:pPr>
            <w:r>
              <w:t>11.99</w:t>
            </w:r>
          </w:p>
        </w:tc>
        <w:tc>
          <w:tcPr>
            <w:tcW w:w="2551" w:type="dxa"/>
            <w:tcBorders>
              <w:left w:val="single" w:sz="6" w:space="0" w:color="000000"/>
            </w:tcBorders>
            <w:vAlign w:val="center"/>
          </w:tcPr>
          <w:p>
            <w:pPr>
              <w:pStyle w:val="19"/>
            </w:pPr>
            <w:r>
              <w:t>11.99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30302</w:t>
            </w:r>
          </w:p>
        </w:tc>
        <w:tc>
          <w:tcPr>
            <w:tcW w:w="4535" w:type="dxa"/>
            <w:tcBorders>
              <w:left w:val="single" w:sz="6" w:space="0" w:color="000000"/>
            </w:tcBorders>
            <w:vAlign w:val="center"/>
          </w:tcPr>
          <w:p>
            <w:pPr>
              <w:pStyle w:val="20"/>
            </w:pPr>
            <w:r>
              <w:t>退休费</w:t>
            </w:r>
          </w:p>
        </w:tc>
        <w:tc>
          <w:tcPr>
            <w:tcW w:w="2551" w:type="dxa"/>
            <w:tcBorders>
              <w:left w:val="single" w:sz="6" w:space="0" w:color="000000"/>
            </w:tcBorders>
            <w:vAlign w:val="center"/>
          </w:tcPr>
          <w:p>
            <w:pPr>
              <w:pStyle w:val="19"/>
            </w:pPr>
            <w:r>
              <w:t>11.27</w:t>
            </w:r>
          </w:p>
        </w:tc>
        <w:tc>
          <w:tcPr>
            <w:tcW w:w="2551" w:type="dxa"/>
            <w:tcBorders>
              <w:left w:val="single" w:sz="6" w:space="0" w:color="000000"/>
            </w:tcBorders>
            <w:vAlign w:val="center"/>
          </w:tcPr>
          <w:p>
            <w:pPr>
              <w:pStyle w:val="19"/>
            </w:pPr>
            <w:r>
              <w:t>11.27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1191" w:type="dxa"/>
            <w:tcBorders>
              <w:left w:val="single" w:sz="6" w:space="0" w:color="000000"/>
            </w:tcBorders>
            <w:vAlign w:val="center"/>
          </w:tcPr>
          <w:p>
            <w:pPr>
              <w:pStyle w:val="20"/>
            </w:pPr>
            <w:r>
              <w:t>30305</w:t>
            </w:r>
          </w:p>
        </w:tc>
        <w:tc>
          <w:tcPr>
            <w:tcW w:w="4535" w:type="dxa"/>
            <w:tcBorders>
              <w:left w:val="single" w:sz="6" w:space="0" w:color="000000"/>
            </w:tcBorders>
            <w:vAlign w:val="center"/>
          </w:tcPr>
          <w:p>
            <w:pPr>
              <w:pStyle w:val="20"/>
            </w:pPr>
            <w:r>
              <w:t>生活补助</w:t>
            </w:r>
          </w:p>
        </w:tc>
        <w:tc>
          <w:tcPr>
            <w:tcW w:w="2551" w:type="dxa"/>
            <w:tcBorders>
              <w:left w:val="single" w:sz="6" w:space="0" w:color="000000"/>
            </w:tcBorders>
            <w:vAlign w:val="center"/>
          </w:tcPr>
          <w:p>
            <w:pPr>
              <w:pStyle w:val="19"/>
            </w:pPr>
            <w:r>
              <w:t>0.72</w:t>
            </w:r>
          </w:p>
        </w:tc>
        <w:tc>
          <w:tcPr>
            <w:tcW w:w="2551" w:type="dxa"/>
            <w:tcBorders>
              <w:left w:val="single" w:sz="6" w:space="0" w:color="000000"/>
            </w:tcBorders>
            <w:vAlign w:val="center"/>
          </w:tcPr>
          <w:p>
            <w:pPr>
              <w:pStyle w:val="19"/>
            </w:pPr>
            <w:r>
              <w:t>0.72</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281001中共隆尧县委党校本级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中共隆尧县委党校本级2026年单位预算信息公开情况说明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按照《中华人民共和国预算法》、《地方预决算公开操作规程》和《关于进一步推进预算公开工作的实施意见》规定，现将中共隆尧县委党校本级2026年单位预算公开如下：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spacing w:beforeAutospacing="0" w:afterAutospacing="0"/>
      </w:pPr>
      <w:r>
        <w:t>(一）负责全县干部基层党组织、党员干部理论培训工作</w:t>
      </w:r>
    </w:p>
    <w:p>
      <w:pPr>
        <w:pStyle w:val="25"/>
        <w:spacing w:beforeAutospacing="0" w:afterAutospacing="0"/>
      </w:pPr>
      <w:r>
        <w:t>(二）负责后备干部和新任副科级领导干部培训工作</w:t>
      </w:r>
    </w:p>
    <w:p>
      <w:pPr>
        <w:pStyle w:val="25"/>
        <w:spacing w:beforeAutospacing="0" w:afterAutospacing="0"/>
      </w:pPr>
      <w:r>
        <w:t>(三）负责党建理论、社会科学各学科研究工作</w:t>
      </w:r>
    </w:p>
    <w:p>
      <w:pPr>
        <w:pStyle w:val="25"/>
        <w:spacing w:beforeAutospacing="0" w:afterAutospacing="0"/>
      </w:pPr>
      <w:r>
        <w:t>(四）负责县情调研工作</w:t>
      </w:r>
    </w:p>
    <w:p>
      <w:pPr>
        <w:pStyle w:val="25"/>
        <w:spacing w:beforeAutospacing="0" w:afterAutospacing="0"/>
      </w:pPr>
      <w:r>
        <w:t>(五）负责县委安排的其它工作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中共隆尧县委党校本级</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按照预算管理有关规定，目前我县单位预算的编制实行综合预算管理，即全部收入和支出都反映在预算中。</w:t>
      </w:r>
    </w:p>
    <w:p>
      <w:pPr>
        <w:pStyle w:val="26"/>
      </w:pPr>
      <w:r>
        <w:t>1、收入说明</w:t>
      </w:r>
    </w:p>
    <w:p>
      <w:pPr>
        <w:pStyle w:val="26"/>
      </w:pPr>
      <w:r>
        <w:t>反映本单位当年全部收入。2026年预算收入467.33万元，其中：一般公共预算收入467.33万元。</w:t>
      </w:r>
    </w:p>
    <w:p>
      <w:pPr>
        <w:pStyle w:val="26"/>
      </w:pPr>
      <w:r>
        <w:t>2、支出说明</w:t>
      </w:r>
    </w:p>
    <w:p>
      <w:pPr>
        <w:pStyle w:val="26"/>
      </w:pPr>
      <w:r>
        <w:t>反映隆尧县委党校年度单位预算中支出预算的总体情况。2026年支出预算467.33万元，其中基本支出251.13万元，包括人员经费234.69万元和日常公用经费16.44万元；项目支出：216.2万元，主要为党校运行管理经费、原隆尧宾馆职工社保费用。</w:t>
      </w:r>
    </w:p>
    <w:p>
      <w:pPr>
        <w:pStyle w:val="26"/>
      </w:pPr>
      <w:r>
        <w:t>3、比上年增减情况</w:t>
      </w:r>
    </w:p>
    <w:p>
      <w:pPr>
        <w:pStyle w:val="26"/>
      </w:pPr>
      <w:r>
        <w:t>2026年预算收支安排467.33万元，较2025年预算增加90.26万元，其中项目支出增加98.7万元，人员经费减少7.7万元。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2026年我单位运行经费共计安排16.44万元，主要用于办公费、维修费、差旅费、其它交通费等日常运行支出。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2026年，我单位财政拨款“三公”经费预算安排0万元。</w:t>
      </w:r>
    </w:p>
    <w:p>
      <w:pPr>
        <w:spacing w:before="10" w:after="10"/>
        <w:ind w:firstLine="640"/>
        <w:jc w:val="left"/>
        <w:outlineLvl w:val="5"/>
        <w:rPr>
          <w:rFonts w:ascii="黑体" w:eastAsia="黑体" w:cs="黑体" w:hAnsi="黑体"/>
          <w:color w:val="000000"/>
          <w:sz w:val="32"/>
        </w:rPr>
      </w:pPr>
      <w:bookmarkStart w:id="1" w:name="_GoBack"/>
      <w:r>
        <w:rPr>
          <w:rFonts w:ascii="黑体" w:eastAsia="黑体" w:cs="黑体" w:hAnsi="黑体"/>
          <w:color w:val="000000"/>
          <w:sz w:val="32"/>
        </w:rPr>
        <w:t>五、委托业务费安排情况</w:t>
      </w:r>
    </w:p>
    <w:p>
      <w:pPr>
        <w:pStyle w:val="28"/>
      </w:pPr>
      <w:bookmarkEnd w:id="1"/>
      <w:r>
        <w:t>2026年，我单位委托业务费预算安排0万元。</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六、单位项目预算安排情况及绩效目标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1、党校运行管理经费绩效目标表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13052526P000002101571</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党校运行管理经费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106.20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106.20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保障党校2026年工作正常开展，县域内各类会议正常举行。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25%</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75%</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1.保障党校2026年工作正常开展，县域内各类会议正常举行。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W w:w="153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1900"/>
        <w:gridCol w:w="1644"/>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1900" w:type="dxa"/>
            <w:vAlign w:val="center"/>
          </w:tcPr>
          <w:p>
            <w:pPr>
              <w:pStyle w:val="18"/>
            </w:pPr>
            <w:r>
              <w:t>指标值</w:t>
            </w:r>
          </w:p>
        </w:tc>
        <w:tc>
          <w:tcPr>
            <w:tcW w:w="1644" w:type="dxa"/>
            <w:vAlign w:val="center"/>
          </w:tcPr>
          <w:p>
            <w:pPr>
              <w:pStyle w:val="18"/>
            </w:pPr>
            <w:r>
              <w:t>指标值确定依据</w:t>
            </w:r>
          </w:p>
        </w:tc>
      </w:tr>
      <w:tr>
        <w:trPr>
          <w:cantSplit/>
          <w:trHeight w:hRule="exact" w:val="680"/>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培训学员数量</w:t>
            </w:r>
          </w:p>
        </w:tc>
        <w:tc>
          <w:tcPr>
            <w:tcW w:w="5386" w:type="dxa"/>
            <w:tcBorders>
              <w:left w:val="single" w:sz="6" w:space="0" w:color="000000"/>
            </w:tcBorders>
            <w:vAlign w:val="center"/>
          </w:tcPr>
          <w:p>
            <w:pPr>
              <w:pStyle w:val="20"/>
            </w:pPr>
            <w:r>
              <w:t>年度培训学员2000人次</w:t>
            </w:r>
          </w:p>
        </w:tc>
        <w:tc>
          <w:tcPr>
            <w:tcW w:w="1900" w:type="dxa"/>
            <w:tcBorders>
              <w:left w:val="single" w:sz="6" w:space="0" w:color="000000"/>
            </w:tcBorders>
            <w:vAlign w:val="center"/>
          </w:tcPr>
          <w:p>
            <w:pPr>
              <w:pStyle w:val="20"/>
            </w:pPr>
            <w:r>
              <w:t>≥2000人次</w:t>
            </w:r>
          </w:p>
        </w:tc>
        <w:tc>
          <w:tcPr>
            <w:tcW w:w="1644" w:type="dxa"/>
            <w:tcBorders>
              <w:left w:val="single" w:sz="6" w:space="0" w:color="000000"/>
            </w:tcBorders>
            <w:vAlign w:val="center"/>
          </w:tcPr>
          <w:p>
            <w:pPr>
              <w:pStyle w:val="20"/>
            </w:pPr>
            <w:r>
              <w:t>隆尧县委党校2026年度工作计划</w:t>
            </w:r>
          </w:p>
        </w:tc>
      </w:tr>
      <w:tr>
        <w:trPr>
          <w:cantSplit/>
          <w:trHeight w:hRule="exact" w:val="680"/>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培训工作完成度</w:t>
            </w:r>
          </w:p>
        </w:tc>
        <w:tc>
          <w:tcPr>
            <w:tcW w:w="5386" w:type="dxa"/>
            <w:tcBorders>
              <w:left w:val="single" w:sz="6" w:space="0" w:color="000000"/>
            </w:tcBorders>
            <w:vAlign w:val="center"/>
          </w:tcPr>
          <w:p>
            <w:pPr>
              <w:pStyle w:val="20"/>
            </w:pPr>
            <w:r>
              <w:t>培训工作完成度</w:t>
            </w:r>
          </w:p>
        </w:tc>
        <w:tc>
          <w:tcPr>
            <w:tcW w:w="1900" w:type="dxa"/>
            <w:tcBorders>
              <w:left w:val="single" w:sz="6" w:space="0" w:color="000000"/>
            </w:tcBorders>
            <w:vAlign w:val="center"/>
          </w:tcPr>
          <w:p>
            <w:pPr>
              <w:pStyle w:val="20"/>
            </w:pPr>
            <w:r>
              <w:t>≥96百分比</w:t>
            </w:r>
          </w:p>
        </w:tc>
        <w:tc>
          <w:tcPr>
            <w:tcW w:w="1644" w:type="dxa"/>
            <w:tcBorders>
              <w:left w:val="single" w:sz="6" w:space="0" w:color="000000"/>
            </w:tcBorders>
            <w:vAlign w:val="center"/>
          </w:tcPr>
          <w:p>
            <w:pPr>
              <w:pStyle w:val="20"/>
            </w:pPr>
            <w:r>
              <w:t>隆尧县委党校2026年度工作计划</w:t>
            </w:r>
          </w:p>
        </w:tc>
      </w:tr>
      <w:tr>
        <w:trPr>
          <w:cantSplit/>
          <w:trHeight w:hRule="exact" w:val="680"/>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培训、会议开展及时率</w:t>
            </w:r>
          </w:p>
        </w:tc>
        <w:tc>
          <w:tcPr>
            <w:tcW w:w="5386" w:type="dxa"/>
            <w:tcBorders>
              <w:left w:val="single" w:sz="6" w:space="0" w:color="000000"/>
            </w:tcBorders>
            <w:vAlign w:val="center"/>
          </w:tcPr>
          <w:p>
            <w:pPr>
              <w:pStyle w:val="20"/>
            </w:pPr>
            <w:r>
              <w:t>培训、会议开展及时率</w:t>
            </w:r>
          </w:p>
        </w:tc>
        <w:tc>
          <w:tcPr>
            <w:tcW w:w="1900" w:type="dxa"/>
            <w:tcBorders>
              <w:left w:val="single" w:sz="6" w:space="0" w:color="000000"/>
            </w:tcBorders>
            <w:vAlign w:val="center"/>
          </w:tcPr>
          <w:p>
            <w:pPr>
              <w:pStyle w:val="20"/>
            </w:pPr>
            <w:r>
              <w:t>≥96百分比</w:t>
            </w:r>
          </w:p>
        </w:tc>
        <w:tc>
          <w:tcPr>
            <w:tcW w:w="1644" w:type="dxa"/>
            <w:tcBorders>
              <w:left w:val="single" w:sz="6" w:space="0" w:color="000000"/>
            </w:tcBorders>
            <w:vAlign w:val="center"/>
          </w:tcPr>
          <w:p>
            <w:pPr>
              <w:pStyle w:val="20"/>
            </w:pPr>
            <w:r>
              <w:t>隆尧县委党校2026年度工作计划</w:t>
            </w:r>
          </w:p>
        </w:tc>
      </w:tr>
      <w:tr>
        <w:trPr>
          <w:cantSplit/>
          <w:trHeight w:hRule="exact" w:val="680"/>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资金成本</w:t>
            </w:r>
          </w:p>
        </w:tc>
        <w:tc>
          <w:tcPr>
            <w:tcW w:w="5386" w:type="dxa"/>
            <w:tcBorders>
              <w:left w:val="single" w:sz="6" w:space="0" w:color="000000"/>
            </w:tcBorders>
            <w:vAlign w:val="center"/>
          </w:tcPr>
          <w:p>
            <w:pPr>
              <w:pStyle w:val="20"/>
            </w:pPr>
            <w:r>
              <w:t>资金成本</w:t>
            </w:r>
          </w:p>
        </w:tc>
        <w:tc>
          <w:tcPr>
            <w:tcW w:w="1900" w:type="dxa"/>
            <w:tcBorders>
              <w:left w:val="single" w:sz="6" w:space="0" w:color="000000"/>
            </w:tcBorders>
            <w:vAlign w:val="center"/>
          </w:tcPr>
          <w:p>
            <w:pPr>
              <w:pStyle w:val="20"/>
            </w:pPr>
            <w:r>
              <w:t>≤106.2万元</w:t>
            </w:r>
          </w:p>
        </w:tc>
        <w:tc>
          <w:tcPr>
            <w:tcW w:w="1644" w:type="dxa"/>
            <w:tcBorders>
              <w:left w:val="single" w:sz="6" w:space="0" w:color="000000"/>
            </w:tcBorders>
            <w:vAlign w:val="center"/>
          </w:tcPr>
          <w:p>
            <w:pPr>
              <w:pStyle w:val="20"/>
            </w:pPr>
            <w:r>
              <w:t>隆尧县委党校2026年度工作计划</w:t>
            </w:r>
          </w:p>
        </w:tc>
      </w:tr>
      <w:tr>
        <w:trPr>
          <w:cantSplit/>
          <w:trHeight w:hRule="exact" w:val="680"/>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培训、会议完成度</w:t>
            </w:r>
          </w:p>
        </w:tc>
        <w:tc>
          <w:tcPr>
            <w:tcW w:w="5386" w:type="dxa"/>
            <w:tcBorders>
              <w:left w:val="single" w:sz="6" w:space="0" w:color="000000"/>
            </w:tcBorders>
            <w:vAlign w:val="center"/>
          </w:tcPr>
          <w:p>
            <w:pPr>
              <w:pStyle w:val="20"/>
            </w:pPr>
            <w:r>
              <w:t>培训、会议完成度</w:t>
            </w:r>
          </w:p>
        </w:tc>
        <w:tc>
          <w:tcPr>
            <w:tcW w:w="1900" w:type="dxa"/>
            <w:tcBorders>
              <w:left w:val="single" w:sz="6" w:space="0" w:color="000000"/>
            </w:tcBorders>
            <w:vAlign w:val="center"/>
          </w:tcPr>
          <w:p>
            <w:pPr>
              <w:pStyle w:val="20"/>
            </w:pPr>
            <w:r>
              <w:t>≥96百分比</w:t>
            </w:r>
          </w:p>
        </w:tc>
        <w:tc>
          <w:tcPr>
            <w:tcW w:w="1644" w:type="dxa"/>
            <w:tcBorders>
              <w:left w:val="single" w:sz="6" w:space="0" w:color="000000"/>
            </w:tcBorders>
            <w:vAlign w:val="center"/>
          </w:tcPr>
          <w:p>
            <w:pPr>
              <w:pStyle w:val="20"/>
            </w:pPr>
            <w:r>
              <w:t>隆尧县委党校2026年度工作计划</w:t>
            </w:r>
          </w:p>
        </w:tc>
      </w:tr>
      <w:tr>
        <w:trPr>
          <w:cantSplit/>
          <w:trHeight w:val="680"/>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培训对象、参会人员满意度</w:t>
            </w:r>
          </w:p>
        </w:tc>
        <w:tc>
          <w:tcPr>
            <w:tcW w:w="5386" w:type="dxa"/>
            <w:tcBorders>
              <w:left w:val="single" w:sz="6" w:space="0" w:color="000000"/>
            </w:tcBorders>
            <w:vAlign w:val="center"/>
          </w:tcPr>
          <w:p>
            <w:pPr>
              <w:pStyle w:val="20"/>
            </w:pPr>
            <w:r>
              <w:t>培训对象、参会人员满意度</w:t>
            </w:r>
          </w:p>
        </w:tc>
        <w:tc>
          <w:tcPr>
            <w:tcW w:w="1900" w:type="dxa"/>
            <w:tcBorders>
              <w:left w:val="single" w:sz="6" w:space="0" w:color="000000"/>
            </w:tcBorders>
            <w:vAlign w:val="center"/>
          </w:tcPr>
          <w:p>
            <w:pPr>
              <w:pStyle w:val="20"/>
            </w:pPr>
            <w:r>
              <w:t>≥96百分比</w:t>
            </w:r>
          </w:p>
        </w:tc>
        <w:tc>
          <w:tcPr>
            <w:tcW w:w="1644" w:type="dxa"/>
            <w:tcBorders>
              <w:left w:val="single" w:sz="6" w:space="0" w:color="000000"/>
            </w:tcBorders>
            <w:vAlign w:val="center"/>
          </w:tcPr>
          <w:p>
            <w:pPr>
              <w:pStyle w:val="20"/>
            </w:pPr>
            <w:r>
              <w:t>隆尧县委党校2026年度工作计划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2、原隆尧宾馆职工社保费用绩效目标表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13052526P00000210155R</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原隆尧宾馆职工社保费用</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110.00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110.00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保障原隆尧宾馆职工社保费用正常缴纳</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25%</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75%</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1.保障原隆尧宾馆职工社保费用正常缴纳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cantSplit/>
          <w:trHeight w:hRule="exact" w:val="878"/>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保障原隆尧宾馆职工正常缴纳社保</w:t>
            </w:r>
          </w:p>
        </w:tc>
        <w:tc>
          <w:tcPr>
            <w:tcW w:w="5386" w:type="dxa"/>
            <w:tcBorders>
              <w:left w:val="single" w:sz="6" w:space="0" w:color="000000"/>
            </w:tcBorders>
            <w:vAlign w:val="center"/>
          </w:tcPr>
          <w:p>
            <w:pPr>
              <w:pStyle w:val="20"/>
            </w:pPr>
            <w:r>
              <w:t>保障原隆尧宾馆职工正常缴纳社保</w:t>
            </w:r>
          </w:p>
        </w:tc>
        <w:tc>
          <w:tcPr>
            <w:tcW w:w="2268" w:type="dxa"/>
            <w:tcBorders>
              <w:left w:val="single" w:sz="6" w:space="0" w:color="000000"/>
            </w:tcBorders>
            <w:vAlign w:val="center"/>
          </w:tcPr>
          <w:p>
            <w:pPr>
              <w:pStyle w:val="20"/>
            </w:pPr>
            <w:r>
              <w:t>≥96百分比</w:t>
            </w:r>
          </w:p>
        </w:tc>
        <w:tc>
          <w:tcPr>
            <w:tcW w:w="1276" w:type="dxa"/>
            <w:tcBorders>
              <w:left w:val="single" w:sz="6" w:space="0" w:color="000000"/>
            </w:tcBorders>
            <w:vAlign w:val="center"/>
          </w:tcPr>
          <w:p>
            <w:pPr>
              <w:pStyle w:val="20"/>
            </w:pPr>
            <w:r>
              <w:t>原隆尧宾馆职工社保系统测算</w:t>
            </w:r>
          </w:p>
        </w:tc>
      </w:tr>
      <w:tr>
        <w:trPr>
          <w:cantSplit/>
          <w:trHeight w:hRule="exact" w:val="878"/>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保障原隆尧宾馆职工足额缴纳社保</w:t>
            </w:r>
          </w:p>
        </w:tc>
        <w:tc>
          <w:tcPr>
            <w:tcW w:w="5386" w:type="dxa"/>
            <w:tcBorders>
              <w:left w:val="single" w:sz="6" w:space="0" w:color="000000"/>
            </w:tcBorders>
            <w:vAlign w:val="center"/>
          </w:tcPr>
          <w:p>
            <w:pPr>
              <w:pStyle w:val="20"/>
            </w:pPr>
            <w:r>
              <w:t>保障原隆尧宾馆职工足额缴纳社保</w:t>
            </w:r>
          </w:p>
        </w:tc>
        <w:tc>
          <w:tcPr>
            <w:tcW w:w="2268" w:type="dxa"/>
            <w:tcBorders>
              <w:left w:val="single" w:sz="6" w:space="0" w:color="000000"/>
            </w:tcBorders>
            <w:vAlign w:val="center"/>
          </w:tcPr>
          <w:p>
            <w:pPr>
              <w:pStyle w:val="20"/>
            </w:pPr>
            <w:r>
              <w:t>≥96百分比</w:t>
            </w:r>
          </w:p>
        </w:tc>
        <w:tc>
          <w:tcPr>
            <w:tcW w:w="1276" w:type="dxa"/>
            <w:tcBorders>
              <w:left w:val="single" w:sz="6" w:space="0" w:color="000000"/>
            </w:tcBorders>
            <w:vAlign w:val="center"/>
          </w:tcPr>
          <w:p>
            <w:pPr>
              <w:pStyle w:val="20"/>
            </w:pPr>
            <w:r>
              <w:t>原隆尧宾馆职工社保系统测算</w:t>
            </w:r>
          </w:p>
        </w:tc>
      </w:tr>
      <w:tr>
        <w:trPr>
          <w:cantSplit/>
          <w:trHeight w:hRule="exact" w:val="878"/>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社保缴纳及时率</w:t>
            </w:r>
          </w:p>
        </w:tc>
        <w:tc>
          <w:tcPr>
            <w:tcW w:w="5386" w:type="dxa"/>
            <w:tcBorders>
              <w:left w:val="single" w:sz="6" w:space="0" w:color="000000"/>
            </w:tcBorders>
            <w:vAlign w:val="center"/>
          </w:tcPr>
          <w:p>
            <w:pPr>
              <w:pStyle w:val="20"/>
            </w:pPr>
            <w:r>
              <w:t>社保缴纳及时率</w:t>
            </w:r>
          </w:p>
        </w:tc>
        <w:tc>
          <w:tcPr>
            <w:tcW w:w="2268" w:type="dxa"/>
            <w:tcBorders>
              <w:left w:val="single" w:sz="6" w:space="0" w:color="000000"/>
            </w:tcBorders>
            <w:vAlign w:val="center"/>
          </w:tcPr>
          <w:p>
            <w:pPr>
              <w:pStyle w:val="20"/>
            </w:pPr>
            <w:r>
              <w:t>≥96百分比</w:t>
            </w:r>
          </w:p>
        </w:tc>
        <w:tc>
          <w:tcPr>
            <w:tcW w:w="1276" w:type="dxa"/>
            <w:tcBorders>
              <w:left w:val="single" w:sz="6" w:space="0" w:color="000000"/>
            </w:tcBorders>
            <w:vAlign w:val="center"/>
          </w:tcPr>
          <w:p>
            <w:pPr>
              <w:pStyle w:val="20"/>
            </w:pPr>
            <w:r>
              <w:t>原隆尧宾馆职工社保系统测算</w:t>
            </w:r>
          </w:p>
        </w:tc>
      </w:tr>
      <w:tr>
        <w:trPr>
          <w:cantSplit/>
          <w:trHeight w:hRule="exact" w:val="878"/>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资金成本</w:t>
            </w:r>
          </w:p>
        </w:tc>
        <w:tc>
          <w:tcPr>
            <w:tcW w:w="5386" w:type="dxa"/>
            <w:tcBorders>
              <w:left w:val="single" w:sz="6" w:space="0" w:color="000000"/>
            </w:tcBorders>
            <w:vAlign w:val="center"/>
          </w:tcPr>
          <w:p>
            <w:pPr>
              <w:pStyle w:val="20"/>
            </w:pPr>
            <w:r>
              <w:t>资金成本</w:t>
            </w:r>
          </w:p>
        </w:tc>
        <w:tc>
          <w:tcPr>
            <w:tcW w:w="2268" w:type="dxa"/>
            <w:tcBorders>
              <w:left w:val="single" w:sz="6" w:space="0" w:color="000000"/>
            </w:tcBorders>
            <w:vAlign w:val="center"/>
          </w:tcPr>
          <w:p>
            <w:pPr>
              <w:pStyle w:val="20"/>
            </w:pPr>
            <w:r>
              <w:t>≤110万元</w:t>
            </w:r>
          </w:p>
        </w:tc>
        <w:tc>
          <w:tcPr>
            <w:tcW w:w="1276" w:type="dxa"/>
            <w:tcBorders>
              <w:left w:val="single" w:sz="6" w:space="0" w:color="000000"/>
            </w:tcBorders>
            <w:vAlign w:val="center"/>
          </w:tcPr>
          <w:p>
            <w:pPr>
              <w:pStyle w:val="20"/>
            </w:pPr>
            <w:r>
              <w:t>原隆尧宾馆职工社保系统测算</w:t>
            </w:r>
          </w:p>
        </w:tc>
      </w:tr>
      <w:tr>
        <w:trPr>
          <w:cantSplit/>
          <w:trHeight w:hRule="exact" w:val="878"/>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原隆尧宾馆职工社保覆盖率</w:t>
            </w:r>
          </w:p>
        </w:tc>
        <w:tc>
          <w:tcPr>
            <w:tcW w:w="5386" w:type="dxa"/>
            <w:tcBorders>
              <w:left w:val="single" w:sz="6" w:space="0" w:color="000000"/>
            </w:tcBorders>
            <w:vAlign w:val="center"/>
          </w:tcPr>
          <w:p>
            <w:pPr>
              <w:pStyle w:val="20"/>
            </w:pPr>
            <w:r>
              <w:t>原隆尧宾馆职工社保覆盖率</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原隆尧宾馆职工社保系统测算</w:t>
            </w:r>
          </w:p>
        </w:tc>
      </w:tr>
      <w:tr>
        <w:trPr>
          <w:cantSplit/>
          <w:trHeight w:hRule="exact" w:val="878"/>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原隆尧宾馆职工满意度</w:t>
            </w:r>
          </w:p>
        </w:tc>
        <w:tc>
          <w:tcPr>
            <w:tcW w:w="5386" w:type="dxa"/>
            <w:tcBorders>
              <w:left w:val="single" w:sz="6" w:space="0" w:color="000000"/>
            </w:tcBorders>
            <w:vAlign w:val="center"/>
          </w:tcPr>
          <w:p>
            <w:pPr>
              <w:pStyle w:val="20"/>
            </w:pPr>
            <w:r>
              <w:t>原隆尧宾馆职工满意度</w:t>
            </w:r>
          </w:p>
        </w:tc>
        <w:tc>
          <w:tcPr>
            <w:tcW w:w="2268" w:type="dxa"/>
            <w:tcBorders>
              <w:left w:val="single" w:sz="6" w:space="0" w:color="000000"/>
            </w:tcBorders>
            <w:vAlign w:val="center"/>
          </w:tcPr>
          <w:p>
            <w:pPr>
              <w:pStyle w:val="20"/>
            </w:pPr>
            <w:r>
              <w:t>≥96百分比</w:t>
            </w:r>
          </w:p>
        </w:tc>
        <w:tc>
          <w:tcPr>
            <w:tcW w:w="1276" w:type="dxa"/>
            <w:tcBorders>
              <w:left w:val="single" w:sz="6" w:space="0" w:color="000000"/>
            </w:tcBorders>
            <w:vAlign w:val="center"/>
          </w:tcPr>
          <w:p>
            <w:pPr>
              <w:pStyle w:val="20"/>
            </w:pPr>
            <w:r>
              <w:t>原隆尧宾馆职工社保系统测算</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七、政府采购预算情况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281001中共隆尧县委党校本级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0.15</w:t>
            </w:r>
          </w:p>
        </w:tc>
        <w:tc>
          <w:tcPr>
            <w:tcW w:w="964" w:type="dxa"/>
            <w:tcBorders>
              <w:left w:val="single" w:sz="6" w:space="0" w:color="000000"/>
            </w:tcBorders>
            <w:vAlign w:val="center"/>
          </w:tcPr>
          <w:p>
            <w:pPr>
              <w:pStyle w:val="23"/>
            </w:pPr>
            <w:r>
              <w:t>0.15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0.15</w:t>
            </w:r>
          </w:p>
        </w:tc>
      </w:tr>
      <w:tr>
        <w:tc>
          <w:tcPr>
            <w:tcW w:w="1701" w:type="dxa"/>
            <w:vAlign w:val="center"/>
          </w:tcPr>
          <w:p>
            <w:pPr>
              <w:pStyle w:val="22"/>
            </w:pPr>
            <w:r>
              <w:t>中共隆尧县委党校本级小计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0.15</w:t>
            </w:r>
          </w:p>
        </w:tc>
        <w:tc>
          <w:tcPr>
            <w:tcW w:w="964" w:type="dxa"/>
            <w:tcBorders>
              <w:left w:val="single" w:sz="6" w:space="0" w:color="000000"/>
            </w:tcBorders>
            <w:vAlign w:val="center"/>
          </w:tcPr>
          <w:p>
            <w:pPr>
              <w:pStyle w:val="23"/>
            </w:pPr>
            <w:r>
              <w:t>0.15</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0.15</w:t>
            </w:r>
          </w:p>
        </w:tc>
      </w:tr>
      <w:tr>
        <w:tc>
          <w:tcPr>
            <w:tcW w:w="1701" w:type="dxa"/>
            <w:vAlign w:val="center"/>
          </w:tcPr>
          <w:p>
            <w:pPr>
              <w:pStyle w:val="20"/>
            </w:pPr>
            <w:r>
              <w:t>公用经费一</w:t>
            </w:r>
          </w:p>
        </w:tc>
        <w:tc>
          <w:tcPr>
            <w:tcW w:w="964" w:type="dxa"/>
            <w:tcBorders>
              <w:left w:val="single" w:sz="6" w:space="0" w:color="000000"/>
            </w:tcBorders>
            <w:vAlign w:val="center"/>
          </w:tcPr>
          <w:p>
            <w:pPr>
              <w:pStyle w:val="19"/>
            </w:pPr>
            <w:r>
              <w:t>5.25</w:t>
            </w:r>
          </w:p>
        </w:tc>
        <w:tc>
          <w:tcPr>
            <w:tcW w:w="1134" w:type="dxa"/>
            <w:tcBorders>
              <w:left w:val="single" w:sz="6" w:space="0" w:color="000000"/>
            </w:tcBorders>
            <w:vAlign w:val="center"/>
          </w:tcPr>
          <w:p>
            <w:pPr>
              <w:pStyle w:val="20"/>
            </w:pPr>
            <w:r>
              <w:t>复印纸</w:t>
            </w:r>
          </w:p>
        </w:tc>
        <w:tc>
          <w:tcPr>
            <w:tcW w:w="1134" w:type="dxa"/>
            <w:tcBorders>
              <w:left w:val="single" w:sz="6" w:space="0" w:color="000000"/>
            </w:tcBorders>
            <w:vAlign w:val="center"/>
          </w:tcPr>
          <w:p>
            <w:pPr>
              <w:pStyle w:val="20"/>
            </w:pPr>
            <w:r>
              <w:t>A05040101</w:t>
            </w:r>
          </w:p>
        </w:tc>
        <w:tc>
          <w:tcPr>
            <w:tcW w:w="709" w:type="dxa"/>
            <w:tcBorders>
              <w:left w:val="single" w:sz="6" w:space="0" w:color="000000"/>
            </w:tcBorders>
            <w:vAlign w:val="center"/>
          </w:tcPr>
          <w:p>
            <w:pPr>
              <w:pStyle w:val="21"/>
            </w:pPr>
            <w:r>
              <w:t>批</w:t>
            </w:r>
          </w:p>
        </w:tc>
        <w:tc>
          <w:tcPr>
            <w:tcW w:w="850" w:type="dxa"/>
            <w:tcBorders>
              <w:left w:val="single" w:sz="6" w:space="0" w:color="000000"/>
            </w:tcBorders>
            <w:vAlign w:val="center"/>
          </w:tcPr>
          <w:p>
            <w:pPr>
              <w:pStyle w:val="19"/>
            </w:pPr>
            <w:r>
              <w:t>10</w:t>
            </w:r>
          </w:p>
        </w:tc>
        <w:tc>
          <w:tcPr>
            <w:tcW w:w="850" w:type="dxa"/>
            <w:tcBorders>
              <w:left w:val="single" w:sz="6" w:space="0" w:color="000000"/>
            </w:tcBorders>
            <w:vAlign w:val="center"/>
          </w:tcPr>
          <w:p>
            <w:pPr>
              <w:pStyle w:val="19"/>
            </w:pPr>
            <w:r>
              <w:t>0.01</w:t>
            </w:r>
          </w:p>
        </w:tc>
        <w:tc>
          <w:tcPr>
            <w:tcW w:w="964" w:type="dxa"/>
            <w:tcBorders>
              <w:left w:val="single" w:sz="6" w:space="0" w:color="000000"/>
            </w:tcBorders>
            <w:vAlign w:val="center"/>
          </w:tcPr>
          <w:p>
            <w:pPr>
              <w:pStyle w:val="19"/>
            </w:pPr>
            <w:r>
              <w:t>0.15</w:t>
            </w:r>
          </w:p>
        </w:tc>
        <w:tc>
          <w:tcPr>
            <w:tcW w:w="964" w:type="dxa"/>
            <w:tcBorders>
              <w:left w:val="single" w:sz="6" w:space="0" w:color="000000"/>
            </w:tcBorders>
            <w:vAlign w:val="center"/>
          </w:tcPr>
          <w:p>
            <w:pPr>
              <w:pStyle w:val="19"/>
            </w:pPr>
            <w:r>
              <w:t>0.15</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0.15</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pPr>
      <w:r>
        <w:rPr>
          <w:rFonts w:ascii="黑体" w:eastAsia="黑体" w:cs="黑体" w:hAnsi="黑体"/>
          <w:color w:val="000000"/>
          <w:sz w:val="32"/>
        </w:rPr>
        <w:t>八、国有资产信息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中共隆尧县委党校本级上年末固定资产金额为234.77万元（详见下表）。本年度拟购置固定资产总额为0.00万元，已按要求列入政府采购预算，详见政府采购预算表。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4A0" w:firstRow="1" w:lastRow="0" w:firstColumn="1" w:lastColumn="0" w:noHBand="0" w:noVBand="1"/>
      </w:tblPr>
      <w:tblGrid>
        <w:gridCol w:w="7370"/>
        <w:gridCol w:w="2835"/>
        <w:gridCol w:w="2835"/>
      </w:tblGrid>
      <w:tr>
        <w:trPr>
          <w:tblHeader/>
        </w:trPr>
        <w:tc>
          <w:tcPr>
            <w:tcW w:w="7370" w:type="dxa"/>
            <w:tcBorders>
              <w:top w:val="single" w:sz="6" w:space="0" w:color="FFFFFF"/>
              <w:left w:val="single" w:sz="6" w:space="0" w:color="FFFFFF"/>
              <w:bottom w:val="single" w:sz="6" w:space="0" w:color="000000"/>
              <w:right w:val="single" w:sz="6" w:space="0" w:color="FFFFFF"/>
            </w:tcBorders>
            <w:vAlign w:val="center"/>
          </w:tcPr>
          <w:p>
            <w:pPr>
              <w:pStyle w:val="17"/>
            </w:pPr>
            <w:r>
              <w:t>281001中共隆尧县委党校本级</w:t>
            </w:r>
          </w:p>
        </w:tc>
        <w:tc>
          <w:tcPr>
            <w:tcW w:w="5670" w:type="dxa"/>
            <w:gridSpan w:val="2"/>
            <w:tcBorders>
              <w:top w:val="single" w:sz="6" w:space="0" w:color="FFFFFF"/>
              <w:left w:val="single" w:sz="6" w:space="0" w:color="FFFFFF"/>
              <w:bottom w:val="single" w:sz="6" w:space="0" w:color="000000"/>
              <w:right w:val="single" w:sz="6" w:space="0" w:color="FFFFFF"/>
            </w:tcBorders>
            <w:vAlign w:val="center"/>
          </w:tcPr>
          <w:p>
            <w:pPr>
              <w:pStyle w:val="15"/>
            </w:pPr>
            <w:r>
              <w:t>截止时间：2025-12-31</w:t>
            </w:r>
          </w:p>
        </w:tc>
      </w:tr>
      <w:tr>
        <w:trPr>
          <w:tblHeader/>
        </w:trPr>
        <w:tc>
          <w:tcPr>
            <w:tcW w:w="7370"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价值（金额单位：万元）</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234.77</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2600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234.77</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九、名词解释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十、其他需要说明的事项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6"/>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C3DB4FB7-BB16-4D2B-A294-5B2AB77099C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228</TotalTime>
  <Application>Yozo_Office27021597764231189</Application>
  <Pages>22</Pages>
  <Words>0</Words>
  <Characters>6321</Characters>
  <Lines>0</Lines>
  <Paragraphs>101</Paragraphs>
  <CharactersWithSpaces>8428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2026-02-04T14:58:32Z</dcterms:created>
  <dcterms:modified xsi:type="dcterms:W3CDTF">2026-02-24T08:25:44Z</dcterms:modified>
</cp:coreProperties>
</file>