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C38EE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p>
    <w:p w14:paraId="0F78F35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p>
    <w:p w14:paraId="0B84B88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p>
    <w:p w14:paraId="4F3A7275">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楷体" w:eastAsia="仿宋_GB2312"/>
          <w:sz w:val="32"/>
          <w:szCs w:val="32"/>
          <w:lang w:val="en-US" w:eastAsia="zh-CN"/>
        </w:rPr>
      </w:pPr>
    </w:p>
    <w:p w14:paraId="12315ACC">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楷体" w:eastAsia="仿宋_GB2312"/>
          <w:sz w:val="32"/>
          <w:szCs w:val="32"/>
          <w:lang w:val="en-US" w:eastAsia="zh-CN"/>
        </w:rPr>
      </w:pPr>
    </w:p>
    <w:p w14:paraId="21084E31">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hAnsi="楷体" w:eastAsia="仿宋_GB2312"/>
          <w:sz w:val="32"/>
          <w:szCs w:val="32"/>
          <w:lang w:val="en-US" w:eastAsia="zh-CN"/>
        </w:rPr>
      </w:pPr>
    </w:p>
    <w:p w14:paraId="0077CD3F">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rPr>
      </w:pPr>
      <w:r>
        <w:rPr>
          <w:rFonts w:hint="eastAsia" w:ascii="仿宋_GB2312" w:hAnsi="楷体" w:eastAsia="仿宋_GB2312"/>
          <w:sz w:val="32"/>
          <w:szCs w:val="32"/>
          <w:lang w:val="en-US" w:eastAsia="zh-CN"/>
        </w:rPr>
        <w:t>隆统法字</w:t>
      </w:r>
      <w:r>
        <w:rPr>
          <w:rFonts w:hint="eastAsia" w:ascii="仿宋_GB2312" w:eastAsia="仿宋_GB2312"/>
          <w:sz w:val="32"/>
          <w:szCs w:val="32"/>
        </w:rPr>
        <w:t>〔202</w:t>
      </w:r>
      <w:r>
        <w:rPr>
          <w:rFonts w:hint="eastAsia" w:ascii="仿宋_GB2312" w:eastAsia="仿宋_GB2312"/>
          <w:sz w:val="32"/>
          <w:szCs w:val="32"/>
          <w:lang w:val="en-US" w:eastAsia="zh-CN"/>
        </w:rPr>
        <w:t>6</w:t>
      </w:r>
      <w:r>
        <w:rPr>
          <w:rFonts w:hint="eastAsia" w:ascii="仿宋_GB2312" w:eastAsia="仿宋_GB2312"/>
          <w:sz w:val="32"/>
          <w:szCs w:val="32"/>
        </w:rPr>
        <w:t>〕</w:t>
      </w:r>
      <w:r>
        <w:rPr>
          <w:rFonts w:hint="eastAsia" w:ascii="仿宋_GB2312" w:eastAsia="仿宋_GB2312"/>
          <w:sz w:val="32"/>
          <w:szCs w:val="32"/>
          <w:lang w:val="en-US" w:eastAsia="zh-CN"/>
        </w:rPr>
        <w:t>1</w:t>
      </w:r>
      <w:r>
        <w:rPr>
          <w:rFonts w:hint="eastAsia" w:ascii="仿宋_GB2312" w:eastAsia="仿宋_GB2312"/>
          <w:sz w:val="32"/>
          <w:szCs w:val="32"/>
        </w:rPr>
        <w:t>号</w:t>
      </w:r>
    </w:p>
    <w:p w14:paraId="1E65871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p>
    <w:p w14:paraId="08C6E3F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关于印发《</w:t>
      </w:r>
      <w:r>
        <w:rPr>
          <w:rFonts w:hint="eastAsia" w:ascii="方正小标宋简体" w:hAnsi="方正小标宋简体" w:eastAsia="方正小标宋简体" w:cs="方正小标宋简体"/>
          <w:sz w:val="44"/>
          <w:szCs w:val="44"/>
        </w:rPr>
        <w:t>隆尧县</w:t>
      </w:r>
      <w:r>
        <w:rPr>
          <w:rFonts w:hint="eastAsia" w:ascii="方正小标宋简体" w:hAnsi="方正小标宋简体" w:eastAsia="方正小标宋简体" w:cs="方正小标宋简体"/>
          <w:sz w:val="44"/>
          <w:szCs w:val="44"/>
          <w:lang w:val="en-US" w:eastAsia="zh-CN"/>
        </w:rPr>
        <w:t>统计局2026年</w:t>
      </w:r>
      <w:r>
        <w:rPr>
          <w:rFonts w:hint="eastAsia" w:ascii="方正小标宋简体" w:hAnsi="方正小标宋简体" w:eastAsia="方正小标宋简体" w:cs="方正小标宋简体"/>
          <w:sz w:val="44"/>
          <w:szCs w:val="44"/>
        </w:rPr>
        <w:t>规上企业跨部门“双随机</w:t>
      </w:r>
      <w:r>
        <w:rPr>
          <w:rFonts w:hint="eastAsia" w:ascii="方正小标宋简体" w:hAnsi="方正小标宋简体" w:eastAsia="方正小标宋简体" w:cs="方正小标宋简体"/>
          <w:sz w:val="44"/>
          <w:szCs w:val="44"/>
          <w:lang w:eastAsia="zh-CN"/>
        </w:rPr>
        <w:t>、</w:t>
      </w:r>
      <w:r>
        <w:rPr>
          <w:rFonts w:hint="eastAsia" w:ascii="方正小标宋简体" w:hAnsi="方正小标宋简体" w:eastAsia="方正小标宋简体" w:cs="方正小标宋简体"/>
          <w:sz w:val="44"/>
          <w:szCs w:val="44"/>
        </w:rPr>
        <w:t>一公开”联合抽查工作实施方案</w:t>
      </w:r>
      <w:r>
        <w:rPr>
          <w:rFonts w:hint="eastAsia" w:ascii="方正小标宋简体" w:hAnsi="方正小标宋简体" w:eastAsia="方正小标宋简体" w:cs="方正小标宋简体"/>
          <w:sz w:val="44"/>
          <w:szCs w:val="44"/>
          <w:lang w:val="en-US" w:eastAsia="zh-CN"/>
        </w:rPr>
        <w:t>》</w:t>
      </w:r>
    </w:p>
    <w:p w14:paraId="5318131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eastAsia="zh-CN"/>
        </w:rPr>
        <w:t>的</w:t>
      </w:r>
      <w:r>
        <w:rPr>
          <w:rFonts w:hint="eastAsia" w:ascii="方正小标宋简体" w:hAnsi="方正小标宋简体" w:eastAsia="方正小标宋简体" w:cs="方正小标宋简体"/>
          <w:sz w:val="44"/>
          <w:szCs w:val="44"/>
          <w:lang w:val="en-US" w:eastAsia="zh-CN"/>
        </w:rPr>
        <w:t>通知</w:t>
      </w:r>
    </w:p>
    <w:p w14:paraId="3C44D8C2">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p>
    <w:p w14:paraId="09C40AEA">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局机关各相关股室：</w:t>
      </w:r>
    </w:p>
    <w:p w14:paraId="78DEBE4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根据县双随机办相关要求，现将《隆尧县统计局2026年规上企业跨部门“双随机、一公开”联合抽查工作实施方案》印发给你们，请结合工作实际，认真组织实施。</w:t>
      </w:r>
    </w:p>
    <w:p w14:paraId="7A5A473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p>
    <w:p w14:paraId="78F65D3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p>
    <w:p w14:paraId="0F0E033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隆尧县统计局</w:t>
      </w:r>
    </w:p>
    <w:p w14:paraId="251EFDD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2026年2月24日</w:t>
      </w:r>
    </w:p>
    <w:p w14:paraId="7C4BB25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sectPr>
          <w:pgSz w:w="11906" w:h="16838"/>
          <w:pgMar w:top="2098" w:right="1474" w:bottom="1984" w:left="1587" w:header="851" w:footer="992" w:gutter="0"/>
          <w:pgNumType w:fmt="numberInDash"/>
          <w:cols w:space="425" w:num="1"/>
          <w:docGrid w:type="lines" w:linePitch="312" w:charSpace="0"/>
        </w:sectPr>
      </w:pPr>
    </w:p>
    <w:p w14:paraId="5914BBC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隆尧县</w:t>
      </w:r>
      <w:r>
        <w:rPr>
          <w:rFonts w:hint="eastAsia" w:ascii="方正小标宋简体" w:hAnsi="方正小标宋简体" w:eastAsia="方正小标宋简体" w:cs="方正小标宋简体"/>
          <w:sz w:val="44"/>
          <w:szCs w:val="44"/>
          <w:lang w:val="en-US" w:eastAsia="zh-CN"/>
        </w:rPr>
        <w:t>统计局2026年</w:t>
      </w:r>
      <w:r>
        <w:rPr>
          <w:rFonts w:hint="eastAsia" w:ascii="方正小标宋简体" w:hAnsi="方正小标宋简体" w:eastAsia="方正小标宋简体" w:cs="方正小标宋简体"/>
          <w:sz w:val="44"/>
          <w:szCs w:val="44"/>
        </w:rPr>
        <w:t>规上企业跨部门</w:t>
      </w:r>
    </w:p>
    <w:p w14:paraId="4E1B9CA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“双随机</w:t>
      </w:r>
      <w:r>
        <w:rPr>
          <w:rFonts w:hint="eastAsia" w:ascii="方正小标宋简体" w:hAnsi="方正小标宋简体" w:eastAsia="方正小标宋简体" w:cs="方正小标宋简体"/>
          <w:sz w:val="44"/>
          <w:szCs w:val="44"/>
          <w:lang w:eastAsia="zh-CN"/>
        </w:rPr>
        <w:t>、</w:t>
      </w:r>
      <w:r>
        <w:rPr>
          <w:rFonts w:hint="eastAsia" w:ascii="方正小标宋简体" w:hAnsi="方正小标宋简体" w:eastAsia="方正小标宋简体" w:cs="方正小标宋简体"/>
          <w:sz w:val="44"/>
          <w:szCs w:val="44"/>
        </w:rPr>
        <w:t>一公开”联合抽查工作实施方案</w:t>
      </w:r>
    </w:p>
    <w:p w14:paraId="4C6DEA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60EA98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认真贯彻落实国务院、省委省政府、市委市政府和省市县市场监管局关于“双随机、一公开”监管工作的部署要求，持续深化“放管服”改革、优化营商环境，进一步推进部门内部联合抽查和企业信用风险差异化抽查，提升市场监管效能，制定本方案。</w:t>
      </w:r>
    </w:p>
    <w:p w14:paraId="77E6D61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一、抽查时间范围</w:t>
      </w:r>
    </w:p>
    <w:p w14:paraId="4565151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年3月1日—12月30日</w:t>
      </w:r>
    </w:p>
    <w:p w14:paraId="58D2B2F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二、抽查对象及抽取比例</w:t>
      </w:r>
    </w:p>
    <w:p w14:paraId="356BEF4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抽取工业、贸易专业规上企业统计调查单位，其中工业企业抽取比例20%、贸易企业抽取比例30%。总体抽取比例不低于抽取县专业调查单位个数5%。</w:t>
      </w:r>
    </w:p>
    <w:p w14:paraId="04D0B07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三、抽查实施部门</w:t>
      </w:r>
      <w:bookmarkStart w:id="0" w:name="_GoBack"/>
      <w:bookmarkEnd w:id="0"/>
    </w:p>
    <w:p w14:paraId="4FE03E8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统计局、商务局、市场监督管理局。</w:t>
      </w:r>
    </w:p>
    <w:p w14:paraId="1119F13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四、抽查内容</w:t>
      </w:r>
    </w:p>
    <w:p w14:paraId="13838DC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 w:hAnsi="楷体" w:eastAsia="楷体" w:cs="楷体"/>
          <w:sz w:val="32"/>
          <w:szCs w:val="32"/>
          <w:lang w:val="en-US" w:eastAsia="zh-CN"/>
        </w:rPr>
        <w:t>（一）</w:t>
      </w:r>
      <w:r>
        <w:rPr>
          <w:rFonts w:hint="eastAsia" w:ascii="楷体" w:hAnsi="楷体" w:eastAsia="楷体" w:cs="楷体"/>
          <w:sz w:val="32"/>
          <w:szCs w:val="32"/>
        </w:rPr>
        <w:t>统计局部门：</w:t>
      </w:r>
      <w:r>
        <w:rPr>
          <w:rFonts w:ascii="仿宋_GB2312" w:hAnsi="仿宋_GB2312" w:eastAsia="仿宋_GB2312" w:cs="仿宋_GB2312"/>
          <w:color w:val="000000"/>
          <w:kern w:val="0"/>
          <w:sz w:val="31"/>
          <w:szCs w:val="31"/>
          <w:lang w:val="en-US" w:eastAsia="zh-CN" w:bidi="ar"/>
        </w:rPr>
        <w:t>①</w:t>
      </w:r>
      <w:r>
        <w:rPr>
          <w:rFonts w:hint="eastAsia" w:ascii="仿宋_GB2312" w:hAnsi="仿宋_GB2312" w:eastAsia="仿宋_GB2312" w:cs="仿宋_GB2312"/>
          <w:color w:val="000000"/>
          <w:kern w:val="0"/>
          <w:sz w:val="31"/>
          <w:szCs w:val="31"/>
          <w:lang w:val="en-US" w:eastAsia="zh-CN" w:bidi="ar"/>
        </w:rPr>
        <w:t>对统计调查对象依法提供统计资料情况检查；</w:t>
      </w:r>
      <w:r>
        <w:rPr>
          <w:rFonts w:ascii="仿宋_GB2312" w:hAnsi="仿宋_GB2312" w:eastAsia="仿宋_GB2312" w:cs="仿宋_GB2312"/>
          <w:color w:val="000000"/>
          <w:kern w:val="0"/>
          <w:sz w:val="31"/>
          <w:szCs w:val="31"/>
          <w:lang w:val="en-US" w:eastAsia="zh-CN" w:bidi="ar"/>
        </w:rPr>
        <w:t>②对统计调查对象依法建立原始记录、统计台账和统计资料管理制度情况检查。</w:t>
      </w:r>
    </w:p>
    <w:p w14:paraId="5F17A73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val="en-US" w:eastAsia="zh-CN"/>
        </w:rPr>
        <w:t>二</w:t>
      </w:r>
      <w:r>
        <w:rPr>
          <w:rFonts w:hint="eastAsia" w:ascii="楷体" w:hAnsi="楷体" w:eastAsia="楷体" w:cs="楷体"/>
          <w:sz w:val="32"/>
          <w:szCs w:val="32"/>
        </w:rPr>
        <w:t>）商务局部门：</w:t>
      </w:r>
      <w:r>
        <w:rPr>
          <w:rFonts w:ascii="仿宋_GB2312" w:hAnsi="仿宋_GB2312" w:eastAsia="仿宋_GB2312" w:cs="仿宋_GB2312"/>
          <w:color w:val="000000"/>
          <w:kern w:val="0"/>
          <w:sz w:val="31"/>
          <w:szCs w:val="31"/>
          <w:lang w:val="en-US" w:eastAsia="zh-CN" w:bidi="ar"/>
        </w:rPr>
        <w:t>①</w:t>
      </w:r>
      <w:r>
        <w:rPr>
          <w:rFonts w:hint="eastAsia" w:ascii="仿宋_GB2312" w:hAnsi="仿宋_GB2312" w:eastAsia="仿宋_GB2312" w:cs="仿宋_GB2312"/>
          <w:sz w:val="32"/>
          <w:szCs w:val="32"/>
        </w:rPr>
        <w:t>单用途商业预付管理</w:t>
      </w:r>
      <w:r>
        <w:rPr>
          <w:rFonts w:hint="eastAsia" w:ascii="仿宋_GB2312" w:hAnsi="仿宋_GB2312" w:eastAsia="仿宋_GB2312" w:cs="仿宋_GB2312"/>
          <w:sz w:val="32"/>
          <w:szCs w:val="32"/>
          <w:lang w:eastAsia="zh-CN"/>
        </w:rPr>
        <w:t>。</w:t>
      </w:r>
      <w:r>
        <w:rPr>
          <w:rFonts w:ascii="仿宋_GB2312" w:hAnsi="仿宋_GB2312" w:eastAsia="仿宋_GB2312" w:cs="仿宋_GB2312"/>
          <w:color w:val="000000"/>
          <w:kern w:val="0"/>
          <w:sz w:val="31"/>
          <w:szCs w:val="31"/>
          <w:lang w:val="en-US" w:eastAsia="zh-CN" w:bidi="ar"/>
        </w:rPr>
        <w:t>②</w:t>
      </w:r>
      <w:r>
        <w:rPr>
          <w:rFonts w:hint="eastAsia" w:ascii="仿宋_GB2312" w:hAnsi="仿宋_GB2312" w:eastAsia="仿宋_GB2312" w:cs="仿宋_GB2312"/>
          <w:sz w:val="32"/>
          <w:szCs w:val="32"/>
        </w:rPr>
        <w:t>零供公平交易管理</w:t>
      </w:r>
      <w:r>
        <w:rPr>
          <w:rFonts w:hint="eastAsia" w:ascii="仿宋_GB2312" w:hAnsi="仿宋_GB2312" w:eastAsia="仿宋_GB2312" w:cs="仿宋_GB2312"/>
          <w:color w:val="000000"/>
          <w:kern w:val="0"/>
          <w:sz w:val="31"/>
          <w:szCs w:val="31"/>
          <w:lang w:val="en-US" w:eastAsia="zh-CN" w:bidi="ar"/>
        </w:rPr>
        <w:t>。③商业</w:t>
      </w:r>
      <w:r>
        <w:rPr>
          <w:rFonts w:hint="eastAsia" w:ascii="仿宋_GB2312" w:hAnsi="仿宋_GB2312" w:eastAsia="仿宋_GB2312" w:cs="仿宋_GB2312"/>
          <w:sz w:val="32"/>
          <w:szCs w:val="32"/>
        </w:rPr>
        <w:t>特许经营活动管理</w:t>
      </w:r>
      <w:r>
        <w:rPr>
          <w:rFonts w:hint="eastAsia" w:ascii="仿宋_GB2312" w:hAnsi="仿宋_GB2312" w:eastAsia="仿宋_GB2312" w:cs="仿宋_GB2312"/>
          <w:sz w:val="32"/>
          <w:szCs w:val="32"/>
          <w:lang w:eastAsia="zh-CN"/>
        </w:rPr>
        <w:t>。</w:t>
      </w:r>
    </w:p>
    <w:p w14:paraId="3489AE04">
      <w:pPr>
        <w:keepNext w:val="0"/>
        <w:keepLines w:val="0"/>
        <w:pageBreakBefore w:val="0"/>
        <w:widowControl w:val="0"/>
        <w:kinsoku/>
        <w:wordWrap/>
        <w:overflowPunct/>
        <w:topLinePunct w:val="0"/>
        <w:autoSpaceDE/>
        <w:autoSpaceDN/>
        <w:bidi w:val="0"/>
        <w:adjustRightInd/>
        <w:snapToGrid/>
        <w:spacing w:line="560" w:lineRule="exact"/>
        <w:ind w:left="638" w:leftChars="304" w:firstLine="0" w:firstLineChars="0"/>
        <w:textAlignment w:val="auto"/>
        <w:rPr>
          <w:rFonts w:ascii="微软雅黑" w:hAnsi="微软雅黑" w:eastAsia="微软雅黑" w:cs="Arial"/>
          <w:kern w:val="0"/>
          <w:sz w:val="24"/>
          <w:szCs w:val="24"/>
          <w:lang w:val="en"/>
        </w:rPr>
      </w:pPr>
      <w:r>
        <w:rPr>
          <w:rFonts w:hint="eastAsia" w:ascii="楷体" w:hAnsi="楷体" w:eastAsia="楷体" w:cs="楷体"/>
          <w:sz w:val="32"/>
          <w:szCs w:val="32"/>
        </w:rPr>
        <w:t>（</w:t>
      </w:r>
      <w:r>
        <w:rPr>
          <w:rFonts w:hint="eastAsia" w:ascii="楷体" w:hAnsi="楷体" w:eastAsia="楷体" w:cs="楷体"/>
          <w:sz w:val="32"/>
          <w:szCs w:val="32"/>
          <w:lang w:val="en-US" w:eastAsia="zh-CN"/>
        </w:rPr>
        <w:t>三</w:t>
      </w:r>
      <w:r>
        <w:rPr>
          <w:rFonts w:hint="eastAsia" w:ascii="楷体" w:hAnsi="楷体" w:eastAsia="楷体" w:cs="楷体"/>
          <w:sz w:val="32"/>
          <w:szCs w:val="32"/>
        </w:rPr>
        <w:t>）市场监管部门：</w:t>
      </w:r>
      <w:r>
        <w:rPr>
          <w:rFonts w:ascii="仿宋_GB2312" w:hAnsi="仿宋_GB2312" w:eastAsia="仿宋_GB2312" w:cs="仿宋_GB2312"/>
          <w:color w:val="000000"/>
          <w:kern w:val="0"/>
          <w:sz w:val="31"/>
          <w:szCs w:val="31"/>
          <w:lang w:val="en-US" w:eastAsia="zh-CN" w:bidi="ar"/>
        </w:rPr>
        <w:t>①登记事项检查。②公示信息检查。</w:t>
      </w:r>
      <w:r>
        <w:rPr>
          <w:rFonts w:hint="eastAsia" w:ascii="黑体" w:hAnsi="黑体" w:eastAsia="黑体" w:cs="Arial"/>
          <w:kern w:val="0"/>
          <w:sz w:val="32"/>
          <w:szCs w:val="32"/>
          <w:lang w:val="en"/>
        </w:rPr>
        <w:t>五、组织实施</w:t>
      </w:r>
    </w:p>
    <w:p w14:paraId="5154453E">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微软雅黑" w:hAnsi="微软雅黑" w:eastAsia="微软雅黑" w:cs="Arial"/>
          <w:kern w:val="0"/>
          <w:sz w:val="24"/>
          <w:szCs w:val="24"/>
          <w:lang w:val="en"/>
        </w:rPr>
      </w:pPr>
      <w:r>
        <w:rPr>
          <w:rFonts w:hint="eastAsia" w:ascii="楷体_GB2312" w:hAnsi="微软雅黑" w:eastAsia="楷体_GB2312" w:cs="Arial"/>
          <w:kern w:val="0"/>
          <w:sz w:val="32"/>
          <w:szCs w:val="32"/>
          <w:lang w:val="en"/>
        </w:rPr>
        <w:t>（一）任务分工</w:t>
      </w:r>
      <w:r>
        <w:rPr>
          <w:rFonts w:hint="eastAsia" w:ascii="微软雅黑" w:hAnsi="微软雅黑" w:eastAsia="微软雅黑" w:cs="Arial"/>
          <w:kern w:val="0"/>
          <w:sz w:val="24"/>
          <w:szCs w:val="24"/>
          <w:lang w:val="en"/>
        </w:rPr>
        <w:t xml:space="preserve"> </w:t>
      </w:r>
    </w:p>
    <w:p w14:paraId="6687EE75">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仿宋_GB2312" w:hAnsi="微软雅黑" w:eastAsia="仿宋_GB2312" w:cs="Arial"/>
          <w:kern w:val="0"/>
          <w:sz w:val="32"/>
          <w:szCs w:val="32"/>
          <w:lang w:val="en"/>
        </w:rPr>
      </w:pPr>
      <w:r>
        <w:rPr>
          <w:rFonts w:hint="eastAsia" w:ascii="仿宋_GB2312" w:hAnsi="微软雅黑" w:eastAsia="仿宋_GB2312" w:cs="Arial"/>
          <w:kern w:val="0"/>
          <w:sz w:val="32"/>
          <w:szCs w:val="32"/>
          <w:lang w:val="en"/>
        </w:rPr>
        <w:t>1、</w:t>
      </w:r>
      <w:r>
        <w:rPr>
          <w:rFonts w:hint="eastAsia" w:ascii="仿宋_GB2312" w:hAnsi="微软雅黑" w:eastAsia="仿宋_GB2312" w:cs="Arial"/>
          <w:kern w:val="0"/>
          <w:sz w:val="32"/>
          <w:szCs w:val="32"/>
          <w:lang w:val="en-US" w:eastAsia="zh-CN"/>
        </w:rPr>
        <w:t>隆尧</w:t>
      </w:r>
      <w:r>
        <w:rPr>
          <w:rFonts w:hint="eastAsia" w:ascii="仿宋_GB2312" w:hAnsi="仿宋" w:eastAsia="仿宋_GB2312"/>
          <w:color w:val="auto"/>
          <w:sz w:val="32"/>
          <w:szCs w:val="36"/>
          <w:lang w:eastAsia="zh-CN"/>
        </w:rPr>
        <w:t>县统计局</w:t>
      </w:r>
      <w:r>
        <w:rPr>
          <w:rFonts w:hint="eastAsia" w:ascii="仿宋_GB2312" w:hAnsi="微软雅黑" w:eastAsia="仿宋_GB2312" w:cs="Arial"/>
          <w:kern w:val="0"/>
          <w:sz w:val="32"/>
          <w:szCs w:val="32"/>
          <w:lang w:val="en"/>
        </w:rPr>
        <w:t>为牵头部门，</w:t>
      </w:r>
      <w:r>
        <w:rPr>
          <w:rFonts w:hint="eastAsia" w:ascii="仿宋_GB2312" w:hAnsi="微软雅黑" w:eastAsia="仿宋_GB2312" w:cs="Arial"/>
          <w:kern w:val="0"/>
          <w:sz w:val="32"/>
          <w:szCs w:val="32"/>
          <w:lang w:val="en-US" w:eastAsia="zh-CN"/>
        </w:rPr>
        <w:t>隆尧县</w:t>
      </w:r>
      <w:r>
        <w:rPr>
          <w:rFonts w:hint="eastAsia" w:ascii="仿宋_GB2312" w:hAnsi="微软雅黑" w:eastAsia="仿宋_GB2312" w:cs="Arial"/>
          <w:kern w:val="0"/>
          <w:sz w:val="32"/>
          <w:szCs w:val="32"/>
          <w:lang w:val="en" w:eastAsia="zh-CN"/>
        </w:rPr>
        <w:t>市场监管、</w:t>
      </w:r>
      <w:r>
        <w:rPr>
          <w:rFonts w:hint="eastAsia" w:ascii="仿宋_GB2312" w:hAnsi="微软雅黑" w:eastAsia="仿宋_GB2312" w:cs="Arial"/>
          <w:kern w:val="0"/>
          <w:sz w:val="32"/>
          <w:szCs w:val="32"/>
          <w:lang w:val="en-US" w:eastAsia="zh-CN"/>
        </w:rPr>
        <w:t>隆尧县商务局</w:t>
      </w:r>
      <w:r>
        <w:rPr>
          <w:rFonts w:hint="eastAsia" w:ascii="仿宋_GB2312" w:hAnsi="微软雅黑" w:eastAsia="仿宋_GB2312" w:cs="Arial"/>
          <w:kern w:val="0"/>
          <w:sz w:val="32"/>
          <w:szCs w:val="32"/>
          <w:lang w:val="en"/>
        </w:rPr>
        <w:t>为协同部门。</w:t>
      </w:r>
    </w:p>
    <w:p w14:paraId="1BB01606">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仿宋_GB2312" w:hAnsi="微软雅黑" w:eastAsia="仿宋_GB2312" w:cs="Arial"/>
          <w:kern w:val="0"/>
          <w:sz w:val="32"/>
          <w:szCs w:val="32"/>
          <w:lang w:val="en"/>
        </w:rPr>
      </w:pPr>
      <w:r>
        <w:rPr>
          <w:rFonts w:hint="eastAsia" w:ascii="仿宋_GB2312" w:hAnsi="微软雅黑" w:eastAsia="仿宋_GB2312" w:cs="Arial"/>
          <w:kern w:val="0"/>
          <w:sz w:val="32"/>
          <w:szCs w:val="32"/>
          <w:lang w:val="en"/>
        </w:rPr>
        <w:t>2、涉及本次检查的部门在接收到抽查名单后，3个工作日内完成对被检查对象的认领，并根据部门实际从本部门或本系统中检查人员名录库中随机选派检查人员。</w:t>
      </w:r>
    </w:p>
    <w:p w14:paraId="5F7B3C97">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仿宋_GB2312" w:hAnsi="微软雅黑" w:eastAsia="仿宋_GB2312" w:cs="Arial"/>
          <w:kern w:val="0"/>
          <w:sz w:val="32"/>
          <w:szCs w:val="32"/>
          <w:lang w:val="en"/>
        </w:rPr>
      </w:pPr>
      <w:r>
        <w:rPr>
          <w:rFonts w:hint="eastAsia" w:ascii="仿宋_GB2312" w:hAnsi="微软雅黑" w:eastAsia="仿宋_GB2312" w:cs="Arial"/>
          <w:kern w:val="0"/>
          <w:sz w:val="32"/>
          <w:szCs w:val="32"/>
          <w:lang w:val="en"/>
        </w:rPr>
        <w:t>3、牵头部门视情召开抽查部署培训会，并负责联系协同部门的检查人员，组成联合检查组，在约定时间按照规定的检查事项内容现场对检查对象一次性完成检查。各检查部门分别填写本部门的《双随机抽查检查记录表》后，由参加检查人员和检查对象的法定代表人(或负责人)进行签字(盖章)确认。</w:t>
      </w:r>
    </w:p>
    <w:p w14:paraId="0F54454F">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仿宋_GB2312" w:hAnsi="微软雅黑" w:eastAsia="仿宋_GB2312" w:cs="Arial"/>
          <w:kern w:val="0"/>
          <w:sz w:val="32"/>
          <w:szCs w:val="32"/>
          <w:lang w:val="en"/>
        </w:rPr>
      </w:pPr>
      <w:r>
        <w:rPr>
          <w:rFonts w:hint="eastAsia" w:ascii="仿宋_GB2312" w:hAnsi="微软雅黑" w:eastAsia="仿宋_GB2312" w:cs="Arial"/>
          <w:kern w:val="0"/>
          <w:sz w:val="32"/>
          <w:szCs w:val="32"/>
          <w:lang w:val="en"/>
        </w:rPr>
        <w:t>4、参加此次抽查的部门要密切配合、加强协作，在要求时限内完成对涉及本部门随机抽查事项的检查、录入、公示。</w:t>
      </w:r>
    </w:p>
    <w:p w14:paraId="48BF0CFE">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微软雅黑" w:hAnsi="微软雅黑" w:eastAsia="微软雅黑" w:cs="Arial"/>
          <w:kern w:val="0"/>
          <w:sz w:val="24"/>
          <w:szCs w:val="24"/>
          <w:lang w:val="en"/>
        </w:rPr>
      </w:pPr>
      <w:r>
        <w:rPr>
          <w:rFonts w:hint="eastAsia" w:ascii="楷体_GB2312" w:hAnsi="微软雅黑" w:eastAsia="楷体_GB2312" w:cs="Arial"/>
          <w:kern w:val="0"/>
          <w:sz w:val="32"/>
          <w:szCs w:val="32"/>
          <w:lang w:val="en"/>
        </w:rPr>
        <w:t>（二）检查方式</w:t>
      </w:r>
      <w:r>
        <w:rPr>
          <w:rFonts w:hint="eastAsia" w:ascii="微软雅黑" w:hAnsi="微软雅黑" w:eastAsia="微软雅黑" w:cs="Arial"/>
          <w:kern w:val="0"/>
          <w:sz w:val="24"/>
          <w:szCs w:val="24"/>
          <w:lang w:val="en"/>
        </w:rPr>
        <w:t xml:space="preserve"> </w:t>
      </w:r>
    </w:p>
    <w:p w14:paraId="06389F79">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仿宋_GB2312" w:hAnsi="微软雅黑" w:eastAsia="仿宋_GB2312" w:cs="Arial"/>
          <w:kern w:val="0"/>
          <w:sz w:val="32"/>
          <w:szCs w:val="32"/>
          <w:lang w:val="en"/>
        </w:rPr>
      </w:pPr>
      <w:r>
        <w:rPr>
          <w:rFonts w:hint="eastAsia" w:ascii="仿宋_GB2312" w:hAnsi="微软雅黑" w:eastAsia="仿宋_GB2312" w:cs="Arial"/>
          <w:kern w:val="0"/>
          <w:sz w:val="32"/>
          <w:szCs w:val="32"/>
          <w:lang w:val="en"/>
        </w:rPr>
        <w:t>1、可以采取书面检查、实地核查、网络检查等方式，也可以依法利用其他政府部门作出的检查、核查结果或者其他专业机构作出的专业结论。</w:t>
      </w:r>
    </w:p>
    <w:p w14:paraId="456D601B">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微软雅黑" w:hAnsi="微软雅黑" w:eastAsia="微软雅黑" w:cs="Arial"/>
          <w:kern w:val="0"/>
          <w:sz w:val="24"/>
          <w:szCs w:val="24"/>
          <w:lang w:val="en"/>
        </w:rPr>
      </w:pPr>
      <w:r>
        <w:rPr>
          <w:rFonts w:hint="eastAsia" w:ascii="仿宋_GB2312" w:hAnsi="微软雅黑" w:eastAsia="仿宋_GB2312" w:cs="Arial"/>
          <w:kern w:val="0"/>
          <w:sz w:val="32"/>
          <w:szCs w:val="32"/>
          <w:lang w:val="en"/>
        </w:rPr>
        <w:t>2、对企业进行实地核查时，每个部门检查人员应当不少于2人，检查人员应当填写检查表，并由被检查企业法定代表人签字确认；被检查对象拒绝签字的应当在检查表上如实记录。</w:t>
      </w:r>
    </w:p>
    <w:p w14:paraId="64E120E2">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微软雅黑" w:hAnsi="微软雅黑" w:eastAsia="微软雅黑" w:cs="Arial"/>
          <w:kern w:val="0"/>
          <w:sz w:val="24"/>
          <w:szCs w:val="24"/>
          <w:lang w:val="en"/>
        </w:rPr>
      </w:pPr>
      <w:r>
        <w:rPr>
          <w:rFonts w:hint="eastAsia" w:ascii="楷体_GB2312" w:hAnsi="微软雅黑" w:eastAsia="楷体_GB2312" w:cs="Arial"/>
          <w:kern w:val="0"/>
          <w:sz w:val="32"/>
          <w:szCs w:val="32"/>
          <w:lang w:val="en"/>
        </w:rPr>
        <w:t>（三）抽查结果公示</w:t>
      </w:r>
      <w:r>
        <w:rPr>
          <w:rFonts w:hint="eastAsia" w:ascii="微软雅黑" w:hAnsi="微软雅黑" w:eastAsia="微软雅黑" w:cs="Arial"/>
          <w:kern w:val="0"/>
          <w:sz w:val="24"/>
          <w:szCs w:val="24"/>
          <w:lang w:val="en"/>
        </w:rPr>
        <w:t xml:space="preserve"> </w:t>
      </w:r>
    </w:p>
    <w:p w14:paraId="4887F48A">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微软雅黑" w:hAnsi="微软雅黑" w:eastAsia="微软雅黑" w:cs="Arial"/>
          <w:kern w:val="0"/>
          <w:sz w:val="24"/>
          <w:szCs w:val="24"/>
          <w:lang w:val="en"/>
        </w:rPr>
      </w:pPr>
      <w:r>
        <w:rPr>
          <w:rFonts w:hint="eastAsia" w:ascii="仿宋_GB2312" w:hAnsi="微软雅黑" w:eastAsia="仿宋_GB2312" w:cs="Arial"/>
          <w:kern w:val="0"/>
          <w:sz w:val="32"/>
          <w:szCs w:val="32"/>
          <w:lang w:val="en"/>
        </w:rPr>
        <w:t>检查部门应按照“谁检查、谁录入”的原则，在检查完成之日起</w:t>
      </w:r>
      <w:r>
        <w:rPr>
          <w:rFonts w:hint="eastAsia" w:ascii="仿宋_GB2312" w:hAnsi="微软雅黑" w:eastAsia="仿宋_GB2312" w:cs="Arial"/>
          <w:kern w:val="0"/>
          <w:sz w:val="32"/>
          <w:szCs w:val="32"/>
          <w:lang w:val="en-US" w:eastAsia="zh-CN"/>
        </w:rPr>
        <w:t>20</w:t>
      </w:r>
      <w:r>
        <w:rPr>
          <w:rFonts w:hint="eastAsia" w:ascii="仿宋_GB2312" w:hAnsi="微软雅黑" w:eastAsia="仿宋_GB2312" w:cs="Arial"/>
          <w:kern w:val="0"/>
          <w:sz w:val="32"/>
          <w:szCs w:val="32"/>
          <w:lang w:val="en"/>
        </w:rPr>
        <w:t>个工作日内将检查结果录入河北省双随机</w:t>
      </w:r>
      <w:r>
        <w:rPr>
          <w:rFonts w:hint="eastAsia" w:ascii="仿宋_GB2312" w:hAnsi="微软雅黑" w:eastAsia="仿宋_GB2312" w:cs="Arial"/>
          <w:kern w:val="0"/>
          <w:sz w:val="32"/>
          <w:szCs w:val="32"/>
          <w:lang w:val="en" w:eastAsia="zh-CN"/>
        </w:rPr>
        <w:t>执法</w:t>
      </w:r>
      <w:r>
        <w:rPr>
          <w:rFonts w:hint="eastAsia" w:ascii="仿宋_GB2312" w:hAnsi="微软雅黑" w:eastAsia="仿宋_GB2312" w:cs="Arial"/>
          <w:kern w:val="0"/>
          <w:sz w:val="32"/>
          <w:szCs w:val="32"/>
          <w:lang w:val="en"/>
        </w:rPr>
        <w:t>监管平台，并通过国家企业信用信息公示系统（河北）向社会公示。已实施检查但未依法进行公示的，视为未完成抽查任务。</w:t>
      </w:r>
      <w:r>
        <w:rPr>
          <w:rFonts w:hint="eastAsia" w:ascii="微软雅黑" w:hAnsi="微软雅黑" w:eastAsia="微软雅黑" w:cs="Arial"/>
          <w:kern w:val="0"/>
          <w:sz w:val="24"/>
          <w:szCs w:val="24"/>
          <w:lang w:val="en"/>
        </w:rPr>
        <w:t xml:space="preserve"> </w:t>
      </w:r>
    </w:p>
    <w:p w14:paraId="3B9D4E98">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微软雅黑" w:hAnsi="微软雅黑" w:eastAsia="微软雅黑" w:cs="Arial"/>
          <w:kern w:val="0"/>
          <w:sz w:val="24"/>
          <w:szCs w:val="24"/>
          <w:lang w:val="en"/>
        </w:rPr>
      </w:pPr>
      <w:r>
        <w:rPr>
          <w:rFonts w:hint="eastAsia" w:ascii="楷体_GB2312" w:hAnsi="微软雅黑" w:eastAsia="楷体_GB2312" w:cs="Arial"/>
          <w:kern w:val="0"/>
          <w:sz w:val="32"/>
          <w:szCs w:val="32"/>
          <w:lang w:val="en"/>
        </w:rPr>
        <w:t>（四）现场检查发现问题的处理方式</w:t>
      </w:r>
      <w:r>
        <w:rPr>
          <w:rFonts w:hint="eastAsia" w:ascii="微软雅黑" w:hAnsi="微软雅黑" w:eastAsia="微软雅黑" w:cs="Arial"/>
          <w:kern w:val="0"/>
          <w:sz w:val="24"/>
          <w:szCs w:val="24"/>
          <w:lang w:val="en"/>
        </w:rPr>
        <w:t xml:space="preserve"> </w:t>
      </w:r>
    </w:p>
    <w:p w14:paraId="7583825B">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微软雅黑" w:hAnsi="微软雅黑" w:eastAsia="微软雅黑" w:cs="Arial"/>
          <w:kern w:val="0"/>
          <w:sz w:val="24"/>
          <w:szCs w:val="24"/>
          <w:lang w:val="en"/>
        </w:rPr>
      </w:pPr>
      <w:r>
        <w:rPr>
          <w:rFonts w:hint="eastAsia" w:ascii="仿宋_GB2312" w:hAnsi="微软雅黑" w:eastAsia="仿宋_GB2312" w:cs="Arial"/>
          <w:kern w:val="0"/>
          <w:sz w:val="32"/>
          <w:szCs w:val="32"/>
          <w:lang w:val="en-US" w:eastAsia="zh-CN"/>
        </w:rPr>
        <w:t>1、</w:t>
      </w:r>
      <w:r>
        <w:rPr>
          <w:rFonts w:hint="eastAsia" w:ascii="仿宋_GB2312" w:hAnsi="微软雅黑" w:eastAsia="仿宋_GB2312" w:cs="Arial"/>
          <w:kern w:val="0"/>
          <w:sz w:val="32"/>
          <w:szCs w:val="32"/>
          <w:lang w:val="en"/>
        </w:rPr>
        <w:t>对现场检查发现的违法问题，违法行为轻微的，采取教育、建议、提醒等行政指导措施，引导其合法守信经营。</w:t>
      </w:r>
      <w:r>
        <w:rPr>
          <w:rFonts w:hint="eastAsia" w:ascii="微软雅黑" w:hAnsi="微软雅黑" w:eastAsia="微软雅黑" w:cs="Arial"/>
          <w:kern w:val="0"/>
          <w:sz w:val="24"/>
          <w:szCs w:val="24"/>
          <w:lang w:val="en"/>
        </w:rPr>
        <w:t xml:space="preserve"> </w:t>
      </w:r>
    </w:p>
    <w:p w14:paraId="28CFD59E">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微软雅黑" w:hAnsi="微软雅黑" w:eastAsia="微软雅黑" w:cs="Arial"/>
          <w:kern w:val="0"/>
          <w:sz w:val="24"/>
          <w:szCs w:val="24"/>
          <w:lang w:val="en"/>
        </w:rPr>
      </w:pPr>
      <w:r>
        <w:rPr>
          <w:rFonts w:hint="eastAsia" w:ascii="仿宋_GB2312" w:hAnsi="微软雅黑" w:eastAsia="仿宋_GB2312" w:cs="Arial"/>
          <w:kern w:val="0"/>
          <w:sz w:val="32"/>
          <w:szCs w:val="32"/>
          <w:lang w:val="en-US" w:eastAsia="zh-CN"/>
        </w:rPr>
        <w:t>2、</w:t>
      </w:r>
      <w:r>
        <w:rPr>
          <w:rFonts w:hint="eastAsia" w:ascii="仿宋_GB2312" w:hAnsi="微软雅黑" w:eastAsia="仿宋_GB2312" w:cs="Arial"/>
          <w:kern w:val="0"/>
          <w:sz w:val="32"/>
          <w:szCs w:val="32"/>
          <w:lang w:val="en"/>
        </w:rPr>
        <w:t>违法行为严重，需要立案处理的，检查人员应将问题线索移交给本部门案件查办机构。</w:t>
      </w:r>
      <w:r>
        <w:rPr>
          <w:rFonts w:hint="eastAsia" w:ascii="微软雅黑" w:hAnsi="微软雅黑" w:eastAsia="微软雅黑" w:cs="Arial"/>
          <w:kern w:val="0"/>
          <w:sz w:val="24"/>
          <w:szCs w:val="24"/>
          <w:lang w:val="en"/>
        </w:rPr>
        <w:t xml:space="preserve"> </w:t>
      </w:r>
    </w:p>
    <w:p w14:paraId="436DE694">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仿宋_GB2312" w:hAnsi="微软雅黑" w:eastAsia="仿宋_GB2312" w:cs="Arial"/>
          <w:kern w:val="0"/>
          <w:sz w:val="32"/>
          <w:szCs w:val="32"/>
          <w:lang w:val="en"/>
        </w:rPr>
      </w:pPr>
      <w:r>
        <w:rPr>
          <w:rFonts w:hint="eastAsia" w:ascii="仿宋_GB2312" w:hAnsi="微软雅黑" w:eastAsia="仿宋_GB2312" w:cs="Arial"/>
          <w:kern w:val="0"/>
          <w:sz w:val="32"/>
          <w:szCs w:val="32"/>
          <w:lang w:val="en-US" w:eastAsia="zh-CN"/>
        </w:rPr>
        <w:t>3、</w:t>
      </w:r>
      <w:r>
        <w:rPr>
          <w:rFonts w:hint="eastAsia" w:ascii="仿宋_GB2312" w:hAnsi="微软雅黑" w:eastAsia="仿宋_GB2312" w:cs="Arial"/>
          <w:kern w:val="0"/>
          <w:sz w:val="32"/>
          <w:szCs w:val="32"/>
          <w:lang w:val="en"/>
        </w:rPr>
        <w:t>发现违法问题不属于本部门职责范围的，应当及时移送相应监管部门处理。涉嫌犯罪的，移送公安司法机关处理。</w:t>
      </w:r>
    </w:p>
    <w:p w14:paraId="208110E1">
      <w:pPr>
        <w:pStyle w:val="6"/>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微软雅黑" w:eastAsia="仿宋_GB2312" w:cs="Arial"/>
          <w:kern w:val="0"/>
          <w:sz w:val="32"/>
          <w:szCs w:val="32"/>
          <w:lang w:val="en" w:eastAsia="zh-CN"/>
        </w:rPr>
      </w:pPr>
      <w:r>
        <w:rPr>
          <w:rFonts w:hint="eastAsia" w:ascii="仿宋_GB2312" w:hAnsi="微软雅黑" w:eastAsia="仿宋_GB2312" w:cs="Arial"/>
          <w:kern w:val="0"/>
          <w:sz w:val="32"/>
          <w:szCs w:val="32"/>
          <w:lang w:val="en-US" w:eastAsia="zh-CN"/>
        </w:rPr>
        <w:t>4、后续处置结果及时录入“</w:t>
      </w:r>
      <w:r>
        <w:rPr>
          <w:rFonts w:hint="eastAsia" w:ascii="仿宋_GB2312" w:hAnsi="微软雅黑" w:eastAsia="仿宋_GB2312" w:cs="Arial"/>
          <w:kern w:val="0"/>
          <w:sz w:val="32"/>
          <w:szCs w:val="32"/>
          <w:lang w:val="en"/>
        </w:rPr>
        <w:t>河北省双随机</w:t>
      </w:r>
      <w:r>
        <w:rPr>
          <w:rFonts w:hint="eastAsia" w:ascii="仿宋_GB2312" w:hAnsi="微软雅黑" w:eastAsia="仿宋_GB2312" w:cs="Arial"/>
          <w:kern w:val="0"/>
          <w:sz w:val="32"/>
          <w:szCs w:val="32"/>
          <w:lang w:val="en" w:eastAsia="zh-CN"/>
        </w:rPr>
        <w:t>执法</w:t>
      </w:r>
      <w:r>
        <w:rPr>
          <w:rFonts w:hint="eastAsia" w:ascii="仿宋_GB2312" w:hAnsi="微软雅黑" w:eastAsia="仿宋_GB2312" w:cs="Arial"/>
          <w:kern w:val="0"/>
          <w:sz w:val="32"/>
          <w:szCs w:val="32"/>
          <w:lang w:val="en"/>
        </w:rPr>
        <w:t>监管平台</w:t>
      </w:r>
      <w:r>
        <w:rPr>
          <w:rFonts w:hint="eastAsia" w:ascii="仿宋_GB2312" w:hAnsi="微软雅黑" w:eastAsia="仿宋_GB2312" w:cs="Arial"/>
          <w:kern w:val="0"/>
          <w:sz w:val="32"/>
          <w:szCs w:val="32"/>
          <w:lang w:val="en" w:eastAsia="zh-CN"/>
        </w:rPr>
        <w:t>”中“后续处置”模块，确保后续监管到位，形成监管闭环。</w:t>
      </w:r>
    </w:p>
    <w:p w14:paraId="011F6289">
      <w:pPr>
        <w:pStyle w:val="6"/>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ascii="微软雅黑" w:hAnsi="微软雅黑" w:eastAsia="微软雅黑" w:cs="Arial"/>
          <w:kern w:val="0"/>
          <w:sz w:val="24"/>
          <w:szCs w:val="24"/>
          <w:lang w:val="en"/>
        </w:rPr>
      </w:pPr>
      <w:r>
        <w:rPr>
          <w:rFonts w:hint="eastAsia" w:ascii="黑体" w:hAnsi="黑体" w:eastAsia="黑体" w:cs="Arial"/>
          <w:kern w:val="0"/>
          <w:sz w:val="32"/>
          <w:szCs w:val="32"/>
          <w:lang w:val="en"/>
        </w:rPr>
        <w:t>六、工作要求</w:t>
      </w:r>
      <w:r>
        <w:rPr>
          <w:rFonts w:hint="eastAsia" w:ascii="微软雅黑" w:hAnsi="微软雅黑" w:eastAsia="微软雅黑" w:cs="Arial"/>
          <w:kern w:val="0"/>
          <w:sz w:val="24"/>
          <w:szCs w:val="24"/>
          <w:lang w:val="en"/>
        </w:rPr>
        <w:t xml:space="preserve"> </w:t>
      </w:r>
    </w:p>
    <w:p w14:paraId="1F98A476">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pPr>
      <w:r>
        <w:rPr>
          <w:rFonts w:hint="eastAsia" w:ascii="楷体_GB2312" w:hAnsi="微软雅黑" w:eastAsia="楷体_GB2312" w:cs="Arial"/>
          <w:kern w:val="0"/>
          <w:sz w:val="32"/>
          <w:szCs w:val="32"/>
          <w:lang w:val="en"/>
        </w:rPr>
        <w:t>（一）周密安排部署，认真抓好落实。</w:t>
      </w:r>
      <w:r>
        <w:rPr>
          <w:rFonts w:hint="eastAsia" w:ascii="仿宋_GB2312" w:hAnsi="微软雅黑" w:eastAsia="仿宋_GB2312" w:cs="Arial"/>
          <w:kern w:val="0"/>
          <w:sz w:val="32"/>
          <w:szCs w:val="32"/>
          <w:lang w:val="en"/>
        </w:rPr>
        <w:t>参加联合抽查的部门要高度重视“双随机、一公开”联合抽查工作，</w:t>
      </w:r>
      <w:r>
        <w:rPr>
          <w:rFonts w:ascii="仿宋_GB2312" w:hAnsi="仿宋_GB2312" w:eastAsia="仿宋_GB2312" w:cs="仿宋_GB2312"/>
          <w:color w:val="000000"/>
          <w:kern w:val="0"/>
          <w:sz w:val="31"/>
          <w:szCs w:val="31"/>
          <w:lang w:val="en-US" w:eastAsia="zh-CN" w:bidi="ar"/>
        </w:rPr>
        <w:t>牵头部门要精心组织、主动沟通协调现场联合检查事宜，各参与部门要积极配合</w:t>
      </w:r>
      <w:r>
        <w:rPr>
          <w:rFonts w:hint="eastAsia" w:ascii="仿宋_GB2312" w:hAnsi="仿宋_GB2312" w:eastAsia="仿宋_GB2312" w:cs="仿宋_GB2312"/>
          <w:color w:val="000000"/>
          <w:kern w:val="0"/>
          <w:sz w:val="31"/>
          <w:szCs w:val="31"/>
          <w:lang w:val="en-US" w:eastAsia="zh-CN" w:bidi="ar"/>
        </w:rPr>
        <w:t>、主动参与检查，严格按要求完成检查工作。</w:t>
      </w:r>
    </w:p>
    <w:p w14:paraId="4C2895A9">
      <w:pPr>
        <w:keepNext w:val="0"/>
        <w:keepLines w:val="0"/>
        <w:pageBreakBefore w:val="0"/>
        <w:widowControl/>
        <w:kinsoku/>
        <w:wordWrap/>
        <w:overflowPunct/>
        <w:topLinePunct w:val="0"/>
        <w:autoSpaceDE/>
        <w:autoSpaceDN/>
        <w:bidi w:val="0"/>
        <w:adjustRightInd/>
        <w:snapToGrid/>
        <w:spacing w:line="560" w:lineRule="exact"/>
        <w:ind w:firstLine="480" w:firstLineChars="200"/>
        <w:textAlignment w:val="auto"/>
        <w:rPr>
          <w:rFonts w:ascii="微软雅黑" w:hAnsi="微软雅黑" w:eastAsia="微软雅黑" w:cs="Arial"/>
          <w:kern w:val="0"/>
          <w:sz w:val="24"/>
          <w:szCs w:val="24"/>
          <w:lang w:val="en"/>
        </w:rPr>
      </w:pPr>
      <w:r>
        <w:rPr>
          <w:rFonts w:hint="eastAsia" w:ascii="微软雅黑" w:hAnsi="微软雅黑" w:eastAsia="微软雅黑" w:cs="Arial"/>
          <w:kern w:val="0"/>
          <w:sz w:val="24"/>
          <w:szCs w:val="24"/>
          <w:lang w:val="en"/>
        </w:rPr>
        <w:t xml:space="preserve"> </w:t>
      </w:r>
      <w:r>
        <w:rPr>
          <w:rFonts w:hint="eastAsia" w:ascii="楷体_GB2312" w:hAnsi="微软雅黑" w:eastAsia="楷体_GB2312" w:cs="Arial"/>
          <w:kern w:val="0"/>
          <w:sz w:val="32"/>
          <w:szCs w:val="32"/>
          <w:lang w:val="en"/>
        </w:rPr>
        <w:t>（二）加强沟通联系，密切协调配合。</w:t>
      </w:r>
      <w:r>
        <w:rPr>
          <w:rFonts w:hint="eastAsia" w:ascii="仿宋_GB2312" w:hAnsi="微软雅黑" w:eastAsia="仿宋_GB2312" w:cs="Arial"/>
          <w:kern w:val="0"/>
          <w:sz w:val="32"/>
          <w:szCs w:val="32"/>
          <w:lang w:val="en"/>
        </w:rPr>
        <w:t>参加联合抽查的部门要按照联合抽查的工作安排，密切协作，在人员、车辆、经费等方面给予充分保障，确保联合抽查有序开展。</w:t>
      </w:r>
      <w:r>
        <w:rPr>
          <w:rFonts w:hint="eastAsia" w:ascii="微软雅黑" w:hAnsi="微软雅黑" w:eastAsia="微软雅黑" w:cs="Arial"/>
          <w:kern w:val="0"/>
          <w:sz w:val="24"/>
          <w:szCs w:val="24"/>
          <w:lang w:val="en"/>
        </w:rPr>
        <w:t xml:space="preserve"> </w:t>
      </w:r>
    </w:p>
    <w:p w14:paraId="51510C5D">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微软雅黑" w:hAnsi="微软雅黑" w:eastAsia="微软雅黑" w:cs="Arial"/>
          <w:kern w:val="0"/>
          <w:sz w:val="24"/>
          <w:szCs w:val="24"/>
          <w:lang w:val="en"/>
        </w:rPr>
      </w:pPr>
      <w:r>
        <w:rPr>
          <w:rFonts w:hint="eastAsia" w:ascii="楷体_GB2312" w:hAnsi="微软雅黑" w:eastAsia="楷体_GB2312" w:cs="Arial"/>
          <w:kern w:val="0"/>
          <w:sz w:val="32"/>
          <w:szCs w:val="32"/>
          <w:lang w:val="en"/>
        </w:rPr>
        <w:t>（三）抓好教育培训，保障抽查效果。</w:t>
      </w:r>
      <w:r>
        <w:rPr>
          <w:rFonts w:hint="eastAsia" w:ascii="仿宋_GB2312" w:hAnsi="微软雅黑" w:eastAsia="仿宋_GB2312" w:cs="Arial"/>
          <w:kern w:val="0"/>
          <w:sz w:val="32"/>
          <w:szCs w:val="32"/>
          <w:lang w:val="en"/>
        </w:rPr>
        <w:t>各部门要对参加执法检查的人员进行抽查前的精准培训，包括抽查</w:t>
      </w:r>
      <w:r>
        <w:rPr>
          <w:rFonts w:hint="eastAsia" w:ascii="仿宋_GB2312" w:hAnsi="微软雅黑" w:eastAsia="仿宋_GB2312" w:cs="Arial"/>
          <w:kern w:val="0"/>
          <w:sz w:val="32"/>
          <w:szCs w:val="32"/>
          <w:lang w:val="en" w:eastAsia="zh-CN"/>
        </w:rPr>
        <w:t>平台（</w:t>
      </w:r>
      <w:r>
        <w:rPr>
          <w:rFonts w:hint="eastAsia" w:ascii="仿宋_GB2312" w:hAnsi="微软雅黑" w:eastAsia="仿宋_GB2312" w:cs="Arial"/>
          <w:kern w:val="0"/>
          <w:sz w:val="32"/>
          <w:szCs w:val="32"/>
          <w:lang w:val="en-US" w:eastAsia="zh-CN"/>
        </w:rPr>
        <w:t>APP)</w:t>
      </w:r>
      <w:r>
        <w:rPr>
          <w:rFonts w:hint="eastAsia" w:ascii="仿宋_GB2312" w:hAnsi="微软雅黑" w:eastAsia="仿宋_GB2312" w:cs="Arial"/>
          <w:kern w:val="0"/>
          <w:sz w:val="32"/>
          <w:szCs w:val="32"/>
          <w:lang w:val="en"/>
        </w:rPr>
        <w:t>的使用、检查内容、工作程序等，从能力建设方面保障抽查工作顺利进行。</w:t>
      </w:r>
      <w:r>
        <w:rPr>
          <w:rFonts w:hint="eastAsia" w:ascii="微软雅黑" w:hAnsi="微软雅黑" w:eastAsia="微软雅黑" w:cs="Arial"/>
          <w:kern w:val="0"/>
          <w:sz w:val="24"/>
          <w:szCs w:val="24"/>
          <w:lang w:val="en"/>
        </w:rPr>
        <w:t xml:space="preserve"> </w:t>
      </w:r>
    </w:p>
    <w:p w14:paraId="203ABA1C">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微软雅黑" w:hAnsi="微软雅黑" w:eastAsia="微软雅黑" w:cs="Arial"/>
          <w:kern w:val="0"/>
          <w:sz w:val="24"/>
          <w:szCs w:val="24"/>
          <w:lang w:val="en"/>
        </w:rPr>
      </w:pPr>
      <w:r>
        <w:rPr>
          <w:rFonts w:hint="eastAsia" w:ascii="楷体_GB2312" w:hAnsi="微软雅黑" w:eastAsia="楷体_GB2312" w:cs="Arial"/>
          <w:kern w:val="0"/>
          <w:sz w:val="32"/>
          <w:szCs w:val="32"/>
          <w:lang w:val="en"/>
        </w:rPr>
        <w:t>（四）统一监管服务，减轻企业负担。</w:t>
      </w:r>
      <w:r>
        <w:rPr>
          <w:rFonts w:hint="eastAsia" w:ascii="仿宋_GB2312" w:hAnsi="微软雅黑" w:eastAsia="仿宋_GB2312" w:cs="Arial"/>
          <w:kern w:val="0"/>
          <w:sz w:val="32"/>
          <w:szCs w:val="32"/>
          <w:lang w:val="en"/>
        </w:rPr>
        <w:t>检查人员在监督检查工作中要廉政执法，依法行政，切实增强检查活动的集约性、简便性与有效性，避免增加企业负担。同时要增强服务意识，把上门检查与上门服务有机结合起来，主动接受企业咨询，为企业解疑答惑。</w:t>
      </w:r>
      <w:r>
        <w:rPr>
          <w:rFonts w:hint="eastAsia" w:ascii="微软雅黑" w:hAnsi="微软雅黑" w:eastAsia="微软雅黑" w:cs="Arial"/>
          <w:kern w:val="0"/>
          <w:sz w:val="24"/>
          <w:szCs w:val="24"/>
          <w:lang w:val="en"/>
        </w:rPr>
        <w:t xml:space="preserve"> </w:t>
      </w:r>
    </w:p>
    <w:p w14:paraId="58064E15">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微软雅黑" w:hAnsi="微软雅黑" w:eastAsia="微软雅黑" w:cs="Arial"/>
          <w:kern w:val="0"/>
          <w:sz w:val="24"/>
          <w:szCs w:val="24"/>
          <w:lang w:val="en"/>
        </w:rPr>
      </w:pPr>
      <w:r>
        <w:rPr>
          <w:rFonts w:hint="eastAsia" w:ascii="楷体_GB2312" w:hAnsi="微软雅黑" w:eastAsia="楷体_GB2312" w:cs="Arial"/>
          <w:kern w:val="0"/>
          <w:sz w:val="32"/>
          <w:szCs w:val="32"/>
          <w:lang w:val="en"/>
        </w:rPr>
        <w:t>（五）加强宣传报道，提升社会影响力。</w:t>
      </w:r>
      <w:r>
        <w:rPr>
          <w:rFonts w:hint="eastAsia" w:ascii="楷体_GB2312" w:hAnsi="微软雅黑" w:eastAsia="楷体_GB2312" w:cs="Arial"/>
          <w:kern w:val="0"/>
          <w:sz w:val="32"/>
          <w:szCs w:val="32"/>
          <w:lang w:val="en" w:eastAsia="zh-CN"/>
        </w:rPr>
        <w:t>部门</w:t>
      </w:r>
      <w:r>
        <w:rPr>
          <w:rFonts w:hint="eastAsia" w:ascii="仿宋_GB2312" w:hAnsi="微软雅黑" w:eastAsia="仿宋_GB2312" w:cs="Arial"/>
          <w:kern w:val="0"/>
          <w:sz w:val="32"/>
          <w:szCs w:val="32"/>
          <w:lang w:val="en"/>
        </w:rPr>
        <w:t>联合抽查涉及广大企业，参加联合抽查的部门要加强宣传报道，公开抽查</w:t>
      </w:r>
      <w:r>
        <w:rPr>
          <w:rFonts w:hint="eastAsia" w:ascii="仿宋_GB2312" w:hAnsi="微软雅黑" w:eastAsia="仿宋_GB2312" w:cs="Arial"/>
          <w:kern w:val="0"/>
          <w:sz w:val="32"/>
          <w:szCs w:val="32"/>
          <w:lang w:val="en" w:eastAsia="zh-CN"/>
        </w:rPr>
        <w:t>方案</w:t>
      </w:r>
      <w:r>
        <w:rPr>
          <w:rFonts w:hint="eastAsia" w:ascii="仿宋_GB2312" w:hAnsi="微软雅黑" w:eastAsia="仿宋_GB2312" w:cs="Arial"/>
          <w:kern w:val="0"/>
          <w:sz w:val="32"/>
          <w:szCs w:val="32"/>
          <w:lang w:val="en"/>
        </w:rPr>
        <w:t>、抽查结果</w:t>
      </w:r>
      <w:r>
        <w:rPr>
          <w:rFonts w:hint="eastAsia" w:ascii="仿宋_GB2312" w:hAnsi="微软雅黑" w:eastAsia="仿宋_GB2312" w:cs="Arial"/>
          <w:kern w:val="0"/>
          <w:sz w:val="32"/>
          <w:szCs w:val="32"/>
          <w:lang w:val="en" w:eastAsia="zh-CN"/>
        </w:rPr>
        <w:t>等</w:t>
      </w:r>
      <w:r>
        <w:rPr>
          <w:rFonts w:hint="eastAsia" w:ascii="仿宋_GB2312" w:hAnsi="微软雅黑" w:eastAsia="仿宋_GB2312" w:cs="Arial"/>
          <w:kern w:val="0"/>
          <w:sz w:val="32"/>
          <w:szCs w:val="32"/>
          <w:lang w:val="en"/>
        </w:rPr>
        <w:t>，扩大抽查工作的社会影响力，使广大企业知晓配合抽查的义务和相关权利，使社会公众了解并主动参与抽查活动，积极举报企业违法经营行为。</w:t>
      </w:r>
      <w:r>
        <w:rPr>
          <w:rFonts w:hint="eastAsia" w:ascii="微软雅黑" w:hAnsi="微软雅黑" w:eastAsia="微软雅黑" w:cs="Arial"/>
          <w:kern w:val="0"/>
          <w:sz w:val="24"/>
          <w:szCs w:val="24"/>
          <w:lang w:val="en"/>
        </w:rPr>
        <w:t xml:space="preserve"> </w:t>
      </w:r>
    </w:p>
    <w:p w14:paraId="2D607E7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微软雅黑" w:eastAsia="仿宋_GB2312" w:cs="Arial"/>
          <w:kern w:val="0"/>
          <w:sz w:val="32"/>
          <w:szCs w:val="32"/>
          <w:lang w:val="en"/>
        </w:rPr>
      </w:pPr>
      <w:r>
        <w:rPr>
          <w:rFonts w:hint="eastAsia" w:ascii="楷体_GB2312" w:hAnsi="微软雅黑" w:eastAsia="楷体_GB2312" w:cs="Arial"/>
          <w:kern w:val="0"/>
          <w:sz w:val="32"/>
          <w:szCs w:val="32"/>
          <w:lang w:val="en"/>
        </w:rPr>
        <w:t>（六）认真总结经验，及时反馈情况。</w:t>
      </w:r>
      <w:r>
        <w:rPr>
          <w:rFonts w:hint="eastAsia" w:ascii="仿宋_GB2312" w:hAnsi="微软雅黑" w:eastAsia="仿宋_GB2312" w:cs="Arial"/>
          <w:kern w:val="0"/>
          <w:sz w:val="32"/>
          <w:szCs w:val="32"/>
          <w:lang w:val="en"/>
        </w:rPr>
        <w:t>参加联合抽查的部门要认真发现联合抽查工作中的亮点，总结经验做法及存在的问题。</w:t>
      </w:r>
    </w:p>
    <w:p w14:paraId="3ADFF20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微软雅黑" w:eastAsia="仿宋_GB2312" w:cs="Arial"/>
          <w:kern w:val="0"/>
          <w:sz w:val="32"/>
          <w:szCs w:val="32"/>
          <w:lang w:val="en-US" w:eastAsia="zh-CN"/>
        </w:rPr>
      </w:pPr>
    </w:p>
    <w:p w14:paraId="1D49298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微软雅黑" w:eastAsia="仿宋_GB2312" w:cs="Arial"/>
          <w:kern w:val="0"/>
          <w:sz w:val="32"/>
          <w:szCs w:val="32"/>
          <w:lang w:val="en-US" w:eastAsia="zh-CN"/>
        </w:rPr>
      </w:pPr>
    </w:p>
    <w:p w14:paraId="6137F46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微软雅黑" w:eastAsia="仿宋_GB2312" w:cs="Arial"/>
          <w:kern w:val="0"/>
          <w:sz w:val="32"/>
          <w:szCs w:val="32"/>
          <w:lang w:val="en-US" w:eastAsia="zh-CN"/>
        </w:rPr>
      </w:pPr>
    </w:p>
    <w:p w14:paraId="731D230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微软雅黑" w:eastAsia="仿宋_GB2312" w:cs="Arial"/>
          <w:kern w:val="0"/>
          <w:sz w:val="32"/>
          <w:szCs w:val="32"/>
          <w:lang w:val="en-US" w:eastAsia="zh-CN"/>
        </w:rPr>
      </w:pPr>
      <w:r>
        <w:rPr>
          <w:rFonts w:hint="eastAsia" w:ascii="仿宋_GB2312" w:hAnsi="微软雅黑" w:eastAsia="仿宋_GB2312" w:cs="Arial"/>
          <w:kern w:val="0"/>
          <w:sz w:val="32"/>
          <w:szCs w:val="32"/>
          <w:lang w:val="en-US" w:eastAsia="zh-CN"/>
        </w:rPr>
        <w:t>附件：隆尧县统计局2026年双随机部门联合抽查工作计划</w:t>
      </w:r>
    </w:p>
    <w:p w14:paraId="440A573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2309E7">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583D0C">
                          <w:pPr>
                            <w:pStyle w:val="3"/>
                          </w:pPr>
                          <w:r>
                            <w:rPr>
                              <w:rFonts w:hint="eastAsia" w:asciiTheme="minorEastAsia" w:hAnsiTheme="minorEastAsia" w:eastAsiaTheme="minorEastAsia" w:cstheme="minorEastAsia"/>
                              <w:sz w:val="32"/>
                              <w:szCs w:val="32"/>
                            </w:rPr>
                            <w:fldChar w:fldCharType="begin"/>
                          </w:r>
                          <w:r>
                            <w:rPr>
                              <w:rFonts w:hint="eastAsia" w:asciiTheme="minorEastAsia" w:hAnsiTheme="minorEastAsia" w:eastAsiaTheme="minorEastAsia" w:cstheme="minorEastAsia"/>
                              <w:sz w:val="32"/>
                              <w:szCs w:val="32"/>
                            </w:rPr>
                            <w:instrText xml:space="preserve"> PAGE  \* MERGEFORMAT </w:instrText>
                          </w:r>
                          <w:r>
                            <w:rPr>
                              <w:rFonts w:hint="eastAsia" w:asciiTheme="minorEastAsia" w:hAnsiTheme="minorEastAsia" w:eastAsiaTheme="minorEastAsia" w:cstheme="minorEastAsia"/>
                              <w:sz w:val="32"/>
                              <w:szCs w:val="32"/>
                            </w:rPr>
                            <w:fldChar w:fldCharType="separate"/>
                          </w:r>
                          <w:r>
                            <w:rPr>
                              <w:rFonts w:hint="eastAsia" w:asciiTheme="minorEastAsia" w:hAnsiTheme="minorEastAsia" w:eastAsiaTheme="minorEastAsia" w:cstheme="minorEastAsia"/>
                              <w:sz w:val="32"/>
                              <w:szCs w:val="32"/>
                            </w:rPr>
                            <w:t>1</w:t>
                          </w:r>
                          <w:r>
                            <w:rPr>
                              <w:rFonts w:hint="eastAsia" w:asciiTheme="minorEastAsia" w:hAnsiTheme="minorEastAsia" w:eastAsiaTheme="minorEastAsia" w:cstheme="minorEastAsia"/>
                              <w:sz w:val="32"/>
                              <w:szCs w:val="32"/>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18583D0C">
                    <w:pPr>
                      <w:pStyle w:val="3"/>
                    </w:pPr>
                    <w:r>
                      <w:rPr>
                        <w:rFonts w:hint="eastAsia" w:asciiTheme="minorEastAsia" w:hAnsiTheme="minorEastAsia" w:eastAsiaTheme="minorEastAsia" w:cstheme="minorEastAsia"/>
                        <w:sz w:val="32"/>
                        <w:szCs w:val="32"/>
                      </w:rPr>
                      <w:fldChar w:fldCharType="begin"/>
                    </w:r>
                    <w:r>
                      <w:rPr>
                        <w:rFonts w:hint="eastAsia" w:asciiTheme="minorEastAsia" w:hAnsiTheme="minorEastAsia" w:eastAsiaTheme="minorEastAsia" w:cstheme="minorEastAsia"/>
                        <w:sz w:val="32"/>
                        <w:szCs w:val="32"/>
                      </w:rPr>
                      <w:instrText xml:space="preserve"> PAGE  \* MERGEFORMAT </w:instrText>
                    </w:r>
                    <w:r>
                      <w:rPr>
                        <w:rFonts w:hint="eastAsia" w:asciiTheme="minorEastAsia" w:hAnsiTheme="minorEastAsia" w:eastAsiaTheme="minorEastAsia" w:cstheme="minorEastAsia"/>
                        <w:sz w:val="32"/>
                        <w:szCs w:val="32"/>
                      </w:rPr>
                      <w:fldChar w:fldCharType="separate"/>
                    </w:r>
                    <w:r>
                      <w:rPr>
                        <w:rFonts w:hint="eastAsia" w:asciiTheme="minorEastAsia" w:hAnsiTheme="minorEastAsia" w:eastAsiaTheme="minorEastAsia" w:cstheme="minorEastAsia"/>
                        <w:sz w:val="32"/>
                        <w:szCs w:val="32"/>
                      </w:rPr>
                      <w:t>1</w:t>
                    </w:r>
                    <w:r>
                      <w:rPr>
                        <w:rFonts w:hint="eastAsia" w:asciiTheme="minorEastAsia" w:hAnsiTheme="minorEastAsia" w:eastAsiaTheme="minorEastAsia" w:cstheme="minorEastAsia"/>
                        <w:sz w:val="32"/>
                        <w:szCs w:val="32"/>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IxYmY1MWQ3Nzk3ODBmZTVjZjBkM2NhZmFkMmFjYjcifQ=="/>
  </w:docVars>
  <w:rsids>
    <w:rsidRoot w:val="0E917130"/>
    <w:rsid w:val="000F1926"/>
    <w:rsid w:val="0E917130"/>
    <w:rsid w:val="20542715"/>
    <w:rsid w:val="2CE0417A"/>
    <w:rsid w:val="32A85E57"/>
    <w:rsid w:val="379E3EC0"/>
    <w:rsid w:val="51D14D3A"/>
    <w:rsid w:val="5A034026"/>
    <w:rsid w:val="638A5C97"/>
    <w:rsid w:val="671B18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2">
    <w:name w:val="Body Text Indent"/>
    <w:basedOn w:val="1"/>
    <w:next w:val="1"/>
    <w:unhideWhenUsed/>
    <w:qFormat/>
    <w:uiPriority w:val="99"/>
    <w:pPr>
      <w:spacing w:after="120"/>
      <w:ind w:left="420" w:leftChars="200"/>
    </w:p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autoRedefine/>
    <w:qFormat/>
    <w:uiPriority w:val="0"/>
    <w:pPr>
      <w:spacing w:before="100" w:beforeAutospacing="1" w:after="100" w:afterAutospacing="1"/>
      <w:ind w:left="0" w:right="0"/>
      <w:jc w:val="left"/>
    </w:pPr>
    <w:rPr>
      <w:kern w:val="0"/>
      <w:sz w:val="24"/>
      <w:lang w:val="en-US" w:eastAsia="zh-CN" w:bidi="ar"/>
    </w:rPr>
  </w:style>
  <w:style w:type="paragraph" w:styleId="6">
    <w:name w:val="Body Text First Indent 2"/>
    <w:basedOn w:val="2"/>
    <w:next w:val="1"/>
    <w:semiHidden/>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1878</Words>
  <Characters>1908</Characters>
  <Lines>0</Lines>
  <Paragraphs>0</Paragraphs>
  <TotalTime>7</TotalTime>
  <ScaleCrop>false</ScaleCrop>
  <LinksUpToDate>false</LinksUpToDate>
  <CharactersWithSpaces>1956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2024-04-01T08:13:00Z</dcterms:created>
  <dc:creator>小p</dc:creator>
  <cp:lastModifiedBy>小p</cp:lastModifiedBy>
  <cp:lastPrinted>2024-04-02T05:46:00Z</cp:lastPrinted>
  <dcterms:modified xsi:type="dcterms:W3CDTF">2026-02-24T02:01:03Z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85098881D3C747CB9EE80D6469A3C024_11</vt:lpwstr>
  </property>
  <property fmtid="{D5CDD505-2E9C-101B-9397-08002B2CF9AE}" pid="4" name="KSOTemplateDocerSaveRecord">
    <vt:lpwstr>eyJoZGlkIjoiYmIxYmY1MWQ3Nzk3ODBmZTVjZjBkM2NhZmFkMmFjYjciLCJ1c2VySWQiOiI1NTI1NTY5NTIifQ==</vt:lpwstr>
  </property>
</Properties>
</file>