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177.18</w:t>
            </w:r>
          </w:p>
        </w:tc>
        <w:tc>
          <w:tcPr>
            <w:tcW w:w="4535" w:type="dxa"/>
            <w:vAlign w:val="center"/>
          </w:tcPr>
          <w:p>
            <w:pPr>
              <w:pStyle w:val="13"/>
            </w:pPr>
            <w:r>
              <w:t>一、一般公共服务支出</w:t>
            </w:r>
          </w:p>
        </w:tc>
        <w:tc>
          <w:tcPr>
            <w:tcW w:w="2126" w:type="dxa"/>
            <w:vAlign w:val="center"/>
          </w:tcPr>
          <w:p>
            <w:pPr>
              <w:pStyle w:val="12"/>
            </w:pPr>
            <w:r>
              <w:t>141.09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177.18</w:t>
            </w:r>
          </w:p>
        </w:tc>
        <w:tc>
          <w:tcPr>
            <w:tcW w:w="4535" w:type="dxa"/>
            <w:vAlign w:val="center"/>
          </w:tcPr>
          <w:p>
            <w:pPr>
              <w:pStyle w:val="15"/>
            </w:pPr>
            <w:r>
              <w:t>本年支出合计</w:t>
            </w:r>
          </w:p>
        </w:tc>
        <w:tc>
          <w:tcPr>
            <w:tcW w:w="2126" w:type="dxa"/>
            <w:vAlign w:val="center"/>
          </w:tcPr>
          <w:p>
            <w:pPr>
              <w:pStyle w:val="16"/>
            </w:pPr>
            <w:r>
              <w:t>177.18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177.18</w:t>
            </w:r>
          </w:p>
        </w:tc>
        <w:tc>
          <w:tcPr>
            <w:tcW w:w="4535" w:type="dxa"/>
            <w:vAlign w:val="center"/>
          </w:tcPr>
          <w:p>
            <w:pPr>
              <w:pStyle w:val="15"/>
            </w:pPr>
            <w:r>
              <w:t>支出总计</w:t>
            </w:r>
          </w:p>
        </w:tc>
        <w:tc>
          <w:tcPr>
            <w:tcW w:w="2126" w:type="dxa"/>
            <w:vAlign w:val="center"/>
          </w:tcPr>
          <w:p>
            <w:pPr>
              <w:pStyle w:val="16"/>
            </w:pPr>
            <w:r>
              <w:t>177.18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177.18</w:t>
            </w:r>
          </w:p>
        </w:tc>
        <w:tc>
          <w:tcPr>
            <w:tcW w:w="1134" w:type="dxa"/>
            <w:vAlign w:val="center"/>
          </w:tcPr>
          <w:p>
            <w:pPr>
              <w:pStyle w:val="16"/>
            </w:pPr>
            <w:r>
              <w:t>177.18</w:t>
            </w:r>
          </w:p>
        </w:tc>
        <w:tc>
          <w:tcPr>
            <w:tcW w:w="1134" w:type="dxa"/>
            <w:vAlign w:val="center"/>
          </w:tcPr>
          <w:p>
            <w:pPr>
              <w:pStyle w:val="16"/>
            </w:pPr>
            <w:r>
              <w:t>177.18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141.09</w:t>
            </w:r>
          </w:p>
        </w:tc>
        <w:tc>
          <w:tcPr>
            <w:tcW w:w="1134" w:type="dxa"/>
            <w:vAlign w:val="center"/>
          </w:tcPr>
          <w:p>
            <w:pPr>
              <w:pStyle w:val="12"/>
            </w:pPr>
            <w:r>
              <w:t>141.09</w:t>
            </w:r>
          </w:p>
        </w:tc>
        <w:tc>
          <w:tcPr>
            <w:tcW w:w="1134" w:type="dxa"/>
            <w:vAlign w:val="center"/>
          </w:tcPr>
          <w:p>
            <w:pPr>
              <w:pStyle w:val="12"/>
            </w:pPr>
            <w:r>
              <w:t>141.09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141.09</w:t>
            </w:r>
          </w:p>
        </w:tc>
        <w:tc>
          <w:tcPr>
            <w:tcW w:w="1134" w:type="dxa"/>
            <w:vAlign w:val="center"/>
          </w:tcPr>
          <w:p>
            <w:pPr>
              <w:pStyle w:val="12"/>
            </w:pPr>
            <w:r>
              <w:t>141.09</w:t>
            </w:r>
          </w:p>
        </w:tc>
        <w:tc>
          <w:tcPr>
            <w:tcW w:w="1134" w:type="dxa"/>
            <w:vAlign w:val="center"/>
          </w:tcPr>
          <w:p>
            <w:pPr>
              <w:pStyle w:val="12"/>
            </w:pPr>
            <w:r>
              <w:t>141.09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131.09</w:t>
            </w:r>
          </w:p>
        </w:tc>
        <w:tc>
          <w:tcPr>
            <w:tcW w:w="1134" w:type="dxa"/>
            <w:vAlign w:val="center"/>
          </w:tcPr>
          <w:p>
            <w:pPr>
              <w:pStyle w:val="12"/>
            </w:pPr>
            <w:r>
              <w:t>131.09</w:t>
            </w:r>
          </w:p>
        </w:tc>
        <w:tc>
          <w:tcPr>
            <w:tcW w:w="1134" w:type="dxa"/>
            <w:vAlign w:val="center"/>
          </w:tcPr>
          <w:p>
            <w:pPr>
              <w:pStyle w:val="12"/>
            </w:pPr>
            <w:r>
              <w:t>131.09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2013202</w:t>
            </w:r>
          </w:p>
        </w:tc>
        <w:tc>
          <w:tcPr>
            <w:tcW w:w="1559" w:type="dxa"/>
            <w:vAlign w:val="center"/>
          </w:tcPr>
          <w:p>
            <w:pPr>
              <w:pStyle w:val="13"/>
            </w:pPr>
            <w:r>
              <w:t>一般行政管理事务</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r>
              <w:t>16.05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r>
              <w:t>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177.18</w:t>
            </w:r>
          </w:p>
        </w:tc>
        <w:tc>
          <w:tcPr>
            <w:tcW w:w="1361" w:type="dxa"/>
            <w:vAlign w:val="center"/>
          </w:tcPr>
          <w:p>
            <w:pPr>
              <w:pStyle w:val="16"/>
            </w:pPr>
            <w:r>
              <w:t>167.18</w:t>
            </w:r>
          </w:p>
        </w:tc>
        <w:tc>
          <w:tcPr>
            <w:tcW w:w="1361" w:type="dxa"/>
            <w:vAlign w:val="center"/>
          </w:tcPr>
          <w:p>
            <w:pPr>
              <w:pStyle w:val="16"/>
            </w:pPr>
            <w:r>
              <w:t>10.00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141.09</w:t>
            </w:r>
          </w:p>
        </w:tc>
        <w:tc>
          <w:tcPr>
            <w:tcW w:w="1361" w:type="dxa"/>
            <w:vAlign w:val="center"/>
          </w:tcPr>
          <w:p>
            <w:pPr>
              <w:pStyle w:val="12"/>
            </w:pPr>
            <w:r>
              <w:t>131.09</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141.09</w:t>
            </w:r>
          </w:p>
        </w:tc>
        <w:tc>
          <w:tcPr>
            <w:tcW w:w="1361" w:type="dxa"/>
            <w:vAlign w:val="center"/>
          </w:tcPr>
          <w:p>
            <w:pPr>
              <w:pStyle w:val="12"/>
            </w:pPr>
            <w:r>
              <w:t>131.09</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131.09</w:t>
            </w:r>
          </w:p>
        </w:tc>
        <w:tc>
          <w:tcPr>
            <w:tcW w:w="1361" w:type="dxa"/>
            <w:vAlign w:val="center"/>
          </w:tcPr>
          <w:p>
            <w:pPr>
              <w:pStyle w:val="12"/>
            </w:pPr>
            <w:r>
              <w:t>131.09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2013202</w:t>
            </w:r>
          </w:p>
        </w:tc>
        <w:tc>
          <w:tcPr>
            <w:tcW w:w="4535" w:type="dxa"/>
            <w:vAlign w:val="center"/>
          </w:tcPr>
          <w:p>
            <w:pPr>
              <w:pStyle w:val="13"/>
            </w:pPr>
            <w:r>
              <w:t>一般行政管理事务</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16.05</w:t>
            </w:r>
          </w:p>
        </w:tc>
        <w:tc>
          <w:tcPr>
            <w:tcW w:w="1361" w:type="dxa"/>
            <w:vAlign w:val="center"/>
          </w:tcPr>
          <w:p>
            <w:pPr>
              <w:pStyle w:val="12"/>
            </w:pPr>
            <w:r>
              <w:t>16.05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12.35</w:t>
            </w:r>
          </w:p>
        </w:tc>
        <w:tc>
          <w:tcPr>
            <w:tcW w:w="1361" w:type="dxa"/>
            <w:vAlign w:val="center"/>
          </w:tcPr>
          <w:p>
            <w:pPr>
              <w:pStyle w:val="12"/>
            </w:pPr>
            <w:r>
              <w:t>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177.18</w:t>
            </w:r>
          </w:p>
        </w:tc>
        <w:tc>
          <w:tcPr>
            <w:tcW w:w="3402" w:type="dxa"/>
            <w:vAlign w:val="center"/>
          </w:tcPr>
          <w:p>
            <w:pPr>
              <w:pStyle w:val="13"/>
            </w:pPr>
            <w:r>
              <w:t>一、一般公共服务支出</w:t>
            </w:r>
          </w:p>
        </w:tc>
        <w:tc>
          <w:tcPr>
            <w:tcW w:w="1474" w:type="dxa"/>
            <w:vAlign w:val="center"/>
          </w:tcPr>
          <w:p>
            <w:pPr>
              <w:pStyle w:val="12"/>
            </w:pPr>
            <w:r>
              <w:t>141.09</w:t>
            </w:r>
          </w:p>
        </w:tc>
        <w:tc>
          <w:tcPr>
            <w:tcW w:w="1474" w:type="dxa"/>
            <w:vAlign w:val="center"/>
          </w:tcPr>
          <w:p>
            <w:pPr>
              <w:pStyle w:val="12"/>
            </w:pPr>
            <w:r>
              <w:t>141.09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16.05</w:t>
            </w:r>
          </w:p>
        </w:tc>
        <w:tc>
          <w:tcPr>
            <w:tcW w:w="1474" w:type="dxa"/>
            <w:vAlign w:val="center"/>
          </w:tcPr>
          <w:p>
            <w:pPr>
              <w:pStyle w:val="12"/>
            </w:pPr>
            <w:r>
              <w:t>16.05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7.70</w:t>
            </w:r>
          </w:p>
        </w:tc>
        <w:tc>
          <w:tcPr>
            <w:tcW w:w="1474" w:type="dxa"/>
            <w:vAlign w:val="center"/>
          </w:tcPr>
          <w:p>
            <w:pPr>
              <w:pStyle w:val="12"/>
            </w:pPr>
            <w:r>
              <w:t>7.70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12.35</w:t>
            </w:r>
          </w:p>
        </w:tc>
        <w:tc>
          <w:tcPr>
            <w:tcW w:w="1474" w:type="dxa"/>
            <w:vAlign w:val="center"/>
          </w:tcPr>
          <w:p>
            <w:pPr>
              <w:pStyle w:val="12"/>
            </w:pPr>
            <w:r>
              <w:t>12.35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177.18</w:t>
            </w:r>
          </w:p>
        </w:tc>
        <w:tc>
          <w:tcPr>
            <w:tcW w:w="3402" w:type="dxa"/>
            <w:vAlign w:val="center"/>
          </w:tcPr>
          <w:p>
            <w:pPr>
              <w:pStyle w:val="15"/>
            </w:pPr>
            <w:r>
              <w:t>本年支出合计</w:t>
            </w:r>
          </w:p>
        </w:tc>
        <w:tc>
          <w:tcPr>
            <w:tcW w:w="1474" w:type="dxa"/>
            <w:vAlign w:val="center"/>
          </w:tcPr>
          <w:p>
            <w:pPr>
              <w:pStyle w:val="16"/>
            </w:pPr>
            <w:r>
              <w:t>177.18</w:t>
            </w:r>
          </w:p>
        </w:tc>
        <w:tc>
          <w:tcPr>
            <w:tcW w:w="1474" w:type="dxa"/>
            <w:vAlign w:val="center"/>
          </w:tcPr>
          <w:p>
            <w:pPr>
              <w:pStyle w:val="16"/>
            </w:pPr>
            <w:r>
              <w:t>177.18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177.18</w:t>
            </w:r>
          </w:p>
        </w:tc>
        <w:tc>
          <w:tcPr>
            <w:tcW w:w="3402" w:type="dxa"/>
            <w:vAlign w:val="center"/>
          </w:tcPr>
          <w:p>
            <w:pPr>
              <w:pStyle w:val="15"/>
            </w:pPr>
            <w:r>
              <w:t>支出总计</w:t>
            </w:r>
          </w:p>
        </w:tc>
        <w:tc>
          <w:tcPr>
            <w:tcW w:w="1474" w:type="dxa"/>
            <w:vAlign w:val="center"/>
          </w:tcPr>
          <w:p>
            <w:pPr>
              <w:pStyle w:val="16"/>
            </w:pPr>
            <w:r>
              <w:t>177.18</w:t>
            </w:r>
          </w:p>
        </w:tc>
        <w:tc>
          <w:tcPr>
            <w:tcW w:w="1474" w:type="dxa"/>
            <w:vAlign w:val="center"/>
          </w:tcPr>
          <w:p>
            <w:pPr>
              <w:pStyle w:val="16"/>
            </w:pPr>
            <w:r>
              <w:t>177.18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177.18</w:t>
            </w:r>
          </w:p>
        </w:tc>
        <w:tc>
          <w:tcPr>
            <w:tcW w:w="2551" w:type="dxa"/>
            <w:vAlign w:val="center"/>
          </w:tcPr>
          <w:p>
            <w:pPr>
              <w:pStyle w:val="16"/>
            </w:pPr>
            <w:r>
              <w:t>167.18</w:t>
            </w:r>
          </w:p>
        </w:tc>
        <w:tc>
          <w:tcPr>
            <w:tcW w:w="2551"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141.09</w:t>
            </w:r>
          </w:p>
        </w:tc>
        <w:tc>
          <w:tcPr>
            <w:tcW w:w="2551" w:type="dxa"/>
            <w:vAlign w:val="center"/>
          </w:tcPr>
          <w:p>
            <w:pPr>
              <w:pStyle w:val="12"/>
            </w:pPr>
            <w:r>
              <w:t>131.09</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141.09</w:t>
            </w:r>
          </w:p>
        </w:tc>
        <w:tc>
          <w:tcPr>
            <w:tcW w:w="2551" w:type="dxa"/>
            <w:vAlign w:val="center"/>
          </w:tcPr>
          <w:p>
            <w:pPr>
              <w:pStyle w:val="12"/>
            </w:pPr>
            <w:r>
              <w:t>131.09</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131.09</w:t>
            </w:r>
          </w:p>
        </w:tc>
        <w:tc>
          <w:tcPr>
            <w:tcW w:w="2551" w:type="dxa"/>
            <w:vAlign w:val="center"/>
          </w:tcPr>
          <w:p>
            <w:pPr>
              <w:pStyle w:val="12"/>
            </w:pPr>
            <w:r>
              <w:t>131.09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2013202</w:t>
            </w:r>
          </w:p>
        </w:tc>
        <w:tc>
          <w:tcPr>
            <w:tcW w:w="4535" w:type="dxa"/>
            <w:vAlign w:val="center"/>
          </w:tcPr>
          <w:p>
            <w:pPr>
              <w:pStyle w:val="13"/>
            </w:pPr>
            <w:r>
              <w:t>一般行政管理事务</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167.18</w:t>
            </w:r>
          </w:p>
        </w:tc>
        <w:tc>
          <w:tcPr>
            <w:tcW w:w="2551" w:type="dxa"/>
            <w:vAlign w:val="center"/>
          </w:tcPr>
          <w:p>
            <w:pPr>
              <w:pStyle w:val="16"/>
            </w:pPr>
            <w:r>
              <w:t>153.35</w:t>
            </w:r>
          </w:p>
        </w:tc>
        <w:tc>
          <w:tcPr>
            <w:tcW w:w="2551" w:type="dxa"/>
            <w:vAlign w:val="center"/>
          </w:tcPr>
          <w:p>
            <w:pPr>
              <w:pStyle w:val="16"/>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151.21</w:t>
            </w:r>
          </w:p>
        </w:tc>
        <w:tc>
          <w:tcPr>
            <w:tcW w:w="2551" w:type="dxa"/>
            <w:vAlign w:val="center"/>
          </w:tcPr>
          <w:p>
            <w:pPr>
              <w:pStyle w:val="12"/>
            </w:pPr>
            <w:r>
              <w:t>151.21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67.03</w:t>
            </w:r>
          </w:p>
        </w:tc>
        <w:tc>
          <w:tcPr>
            <w:tcW w:w="2551" w:type="dxa"/>
            <w:vAlign w:val="center"/>
          </w:tcPr>
          <w:p>
            <w:pPr>
              <w:pStyle w:val="12"/>
            </w:pPr>
            <w:r>
              <w:t>67.03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20.03</w:t>
            </w:r>
          </w:p>
        </w:tc>
        <w:tc>
          <w:tcPr>
            <w:tcW w:w="2551" w:type="dxa"/>
            <w:vAlign w:val="center"/>
          </w:tcPr>
          <w:p>
            <w:pPr>
              <w:pStyle w:val="12"/>
            </w:pPr>
            <w:r>
              <w:t>20.03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19.98</w:t>
            </w:r>
          </w:p>
        </w:tc>
        <w:tc>
          <w:tcPr>
            <w:tcW w:w="2551" w:type="dxa"/>
            <w:vAlign w:val="center"/>
          </w:tcPr>
          <w:p>
            <w:pPr>
              <w:pStyle w:val="12"/>
            </w:pPr>
            <w:r>
              <w:t>19.98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7.62</w:t>
            </w:r>
          </w:p>
        </w:tc>
        <w:tc>
          <w:tcPr>
            <w:tcW w:w="2551" w:type="dxa"/>
            <w:vAlign w:val="center"/>
          </w:tcPr>
          <w:p>
            <w:pPr>
              <w:pStyle w:val="12"/>
            </w:pPr>
            <w:r>
              <w:t>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16.05</w:t>
            </w:r>
          </w:p>
        </w:tc>
        <w:tc>
          <w:tcPr>
            <w:tcW w:w="2551" w:type="dxa"/>
            <w:vAlign w:val="center"/>
          </w:tcPr>
          <w:p>
            <w:pPr>
              <w:pStyle w:val="12"/>
            </w:pPr>
            <w:r>
              <w:t>16.05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12.35</w:t>
            </w:r>
          </w:p>
        </w:tc>
        <w:tc>
          <w:tcPr>
            <w:tcW w:w="2551" w:type="dxa"/>
            <w:vAlign w:val="center"/>
          </w:tcPr>
          <w:p>
            <w:pPr>
              <w:pStyle w:val="12"/>
            </w:pPr>
            <w:r>
              <w:t>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13.83</w:t>
            </w:r>
          </w:p>
        </w:tc>
        <w:tc>
          <w:tcPr>
            <w:tcW w:w="2551" w:type="dxa"/>
            <w:vAlign w:val="center"/>
          </w:tcPr>
          <w:p>
            <w:pPr>
              <w:pStyle w:val="12"/>
            </w:pPr>
          </w:p>
        </w:tc>
        <w:tc>
          <w:tcPr>
            <w:tcW w:w="2551" w:type="dxa"/>
            <w:vAlign w:val="center"/>
          </w:tcPr>
          <w:p>
            <w:pPr>
              <w:pStyle w:val="12"/>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0.14</w:t>
            </w:r>
          </w:p>
        </w:tc>
        <w:tc>
          <w:tcPr>
            <w:tcW w:w="2551" w:type="dxa"/>
            <w:vAlign w:val="center"/>
          </w:tcPr>
          <w:p>
            <w:pPr>
              <w:pStyle w:val="12"/>
            </w:pPr>
          </w:p>
        </w:tc>
        <w:tc>
          <w:tcPr>
            <w:tcW w:w="2551"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8.43</w:t>
            </w:r>
          </w:p>
        </w:tc>
        <w:tc>
          <w:tcPr>
            <w:tcW w:w="2551" w:type="dxa"/>
            <w:vAlign w:val="center"/>
          </w:tcPr>
          <w:p>
            <w:pPr>
              <w:pStyle w:val="12"/>
            </w:pPr>
          </w:p>
        </w:tc>
        <w:tc>
          <w:tcPr>
            <w:tcW w:w="2551" w:type="dxa"/>
            <w:vAlign w:val="center"/>
          </w:tcPr>
          <w:p>
            <w:pPr>
              <w:pStyle w:val="12"/>
            </w:pPr>
            <w:r>
              <w:t>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中共隆尧县委机构编制委员会办公室2026年部门预算信息公开情况说明</w:t>
      </w:r>
    </w:p>
    <w:p>
      <w:pPr>
        <w:jc w:val="center"/>
      </w:pPr>
      <w:r>
        <w:rPr>
          <w:rFonts w:ascii="方正小标宋_GBK" w:hAnsi="方正小标宋_GBK" w:eastAsia="方正小标宋_GBK" w:cs="方正小标宋_GBK"/>
          <w:color w:val="000000"/>
          <w:sz w:val="44"/>
        </w:rPr>
        <w:t>中共隆尧县委机构编制委员会办公室2026年部门预算信息公开情况说明</w:t>
      </w:r>
    </w:p>
    <w:p>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按照《中华人民共和国预算法》、《地方预决算公开操作规程》和《关于进一步推进预算公开工作的实施意见》规定，现将中共隆尧县委机构编制委员会办公室2026年部门预算公开如下：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（二）组织拟订全县行政管理体制改革和县委、县政府机构改革方案并组织实施。指导、协调乡镇行政管理体制和机构改革以及机构编制管理工作；负责行政执法体制改革工作。</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（三）协调县委、县政府各部门的职能配置及其调整。协调县委、县政府各部门之间以及县直部门与各乡镇之间的职责分工。</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（六）负责全县开发区（园区）行政管理体制改革工作，组织拟订开发区（园区）机构编制管理办法并组织实施，审核开发区（园区）职能配置、机构设置、人员编制和领导职数。</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（七）负责对全县机构编制的总量控制和动态管理。会同有关部门负责机构编制实名制工作；负责全县机关事业单位编制使用核准；建立健全机构编制部门与有关部门间的协调配合约束机制。</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（十）组织开展行政体制改革及机构编制管理创新基础性和前瞻性研究。</w:t>
      </w:r>
    </w:p>
    <w:p>
      <w:pPr>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（十一）完成县委和县委机构编制委员会交办的其他任务。</w:t>
      </w: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中共隆尧县委机构编制委员会办公室本级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按照预算管理有关规定，目前我县部门预算的编制实行综合预算管理，即全部收入和支出都反映在预算中。中共隆尧县委机构编制委员会办公室机关及所属事业单位的收支包含在部门预算中。</w:t>
      </w:r>
    </w:p>
    <w:p>
      <w:pPr>
        <w:pStyle w:val="19"/>
      </w:pPr>
      <w:r>
        <w:t>1、收入说明</w:t>
      </w:r>
    </w:p>
    <w:p>
      <w:pPr>
        <w:pStyle w:val="19"/>
      </w:pPr>
      <w:r>
        <w:t>反映本部门当年全部收入。2026年预算收入177.18万元，其中：一般公共预算收入177.18万元，基金预算收入0万元，国有资本经营预算收入0万元，财政专户核拨收入0万元，上年结转结余0万元。</w:t>
      </w:r>
    </w:p>
    <w:p>
      <w:pPr>
        <w:pStyle w:val="19"/>
      </w:pPr>
      <w:r>
        <w:t>2、支出说明</w:t>
      </w:r>
    </w:p>
    <w:p>
      <w:pPr>
        <w:pStyle w:val="19"/>
      </w:pPr>
      <w:r>
        <w:t>收支预算总表支出栏、基本支出表、项目支出表按经济分类和支出功能分类科目编制，反映中共隆尧县委机构编制委员会办公室年度部门预算中支出预算的总体情况。2026年支出预算为177.18万元，其中基本支出167.18万元，包括人员经费153.35万元和日常公用经费13.83万元；项目支出10万元，主要为机构编制管理经费支出。</w:t>
      </w:r>
    </w:p>
    <w:p>
      <w:pPr>
        <w:pStyle w:val="19"/>
      </w:pPr>
      <w:r>
        <w:t>3、比上年增减情况</w:t>
      </w:r>
    </w:p>
    <w:p>
      <w:pPr>
        <w:pStyle w:val="19"/>
      </w:pPr>
      <w:r>
        <w:t>2026年预算收支安排177.18万元，较2025年增加2.58万元，主要是基本支出增加2.58万元，主要为增加人员经费支出；项目支出10万元，与2025年度持平。</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2026年，我部门机关运行经费共计安排14.66万元，主要用于保证机关正常运转的水、电、暖、办公及印刷费、工会经费</w:t>
      </w:r>
      <w:bookmarkStart w:id="20" w:name="_GoBack"/>
      <w:bookmarkEnd w:id="20"/>
      <w:r>
        <w:t>以及其他交通费用等支出。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2026年，我部门财政拨款“三公”经费预算安排0万元，其中：因公出国（境）费0万元；公务用车购置及运维费0万元（其中公务用车购置费为0万元，公务用车运行维护费0万元）；公务接待费0万元。与2025年持平。</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s="Times New Roman"/>
          <w:color w:val="000000"/>
          <w:sz w:val="28"/>
        </w:rPr>
        <w:t>（一）总体绩效目标</w:t>
      </w:r>
    </w:p>
    <w:p>
      <w:pPr>
        <w:pStyle w:val="22"/>
        <w:rPr>
          <w:lang w:eastAsia="zh-CN"/>
        </w:rPr>
      </w:pPr>
      <w:r>
        <w:t>贯彻落实党中央和省委、市委关于行政管理体制和机构改革以及机构编制管理的政策法规。管理和指导党委、人大、政府、政协、监察机关、各乡镇，民主党派、人民团体机关以及全县事业单位的机构编制工作。负责全县行政管理体制和机构改革以及机构编制管理工作；负责行政执法体制改革工作。审核或审批县委、县政府各部门及各部门派出机构的职能配置、机构设置、人员编制和领导职数；组织拟订全县事业单位管理体制和机构改革方案。指导全县党政群机关统一社会信用代码管理工作，负责全县事业单位法人登记管理和监督检查工作。负责全县机构编制的总量控制和动态管理。负责机构编制实名制工作；负责县直机关事业单位编制使用核准；负责对各级行政、事业单位管理体制和机构改革及机构编制执行情况的跟踪评估和监督检查。负责全县机构编制电子政务和信息化工作。</w:t>
      </w:r>
    </w:p>
    <w:p>
      <w:pPr>
        <w:spacing w:line="500" w:lineRule="exact"/>
        <w:ind w:firstLine="560"/>
        <w:rPr>
          <w:rFonts w:eastAsia="方正仿宋_GBK" w:cs="Times New Roman"/>
          <w:color w:val="000000"/>
          <w:sz w:val="28"/>
          <w:lang w:eastAsia="zh-CN"/>
        </w:rPr>
      </w:pPr>
      <w:r>
        <w:rPr>
          <w:rFonts w:eastAsia="方正仿宋_GBK" w:cs="Times New Roman"/>
          <w:color w:val="000000"/>
          <w:sz w:val="28"/>
        </w:rPr>
        <w:t>（二）分项绩效目标</w:t>
      </w:r>
    </w:p>
    <w:p>
      <w:pPr>
        <w:pStyle w:val="23"/>
      </w:pPr>
      <w:r>
        <w:t>机构编制管理</w:t>
      </w:r>
    </w:p>
    <w:p>
      <w:pPr>
        <w:pStyle w:val="23"/>
        <w:rPr>
          <w:lang w:eastAsia="zh-CN"/>
        </w:rPr>
      </w:pPr>
      <w:r>
        <w:t>绩效目标：加强机构编制资源动态调整，扎实推进控编减编工作。依据中央、省市决策部署，按照“严控总量、盘活存量、优化结构、增减平衡”要求，严禁超编制进人、超职数配备领导干部。制定全县机关事业编制总量标准、机关事业单位具体机构编制标准；开展机构编制实名制及人员编制使用情况核准，机构编制执行情况跟踪评估和监督检查工作；负责全区机关赋码、事业单位法人登记管理和监督检查工作。</w:t>
      </w:r>
    </w:p>
    <w:p>
      <w:pPr>
        <w:spacing w:line="500" w:lineRule="exact"/>
        <w:ind w:firstLine="560"/>
      </w:pPr>
      <w:r>
        <w:rPr>
          <w:rFonts w:eastAsia="方正仿宋_GBK" w:cs="Times New Roman"/>
          <w:color w:val="000000"/>
          <w:sz w:val="28"/>
        </w:rPr>
        <w:t>（三）工作保障措施</w:t>
      </w:r>
    </w:p>
    <w:p>
      <w:pPr>
        <w:pStyle w:val="24"/>
        <w:rPr>
          <w:lang w:eastAsia="zh-CN"/>
        </w:rPr>
      </w:pPr>
    </w:p>
    <w:p>
      <w:pPr>
        <w:pStyle w:val="24"/>
      </w:pPr>
      <w:r>
        <w:t>1、完善制度建设。根据财政局预算绩效管理要求，县委编办制定完善预算绩效管理制度、资金管理办法、工作保障制度等，为全年预算绩效目标的实现奠定制度基础。</w:t>
      </w:r>
    </w:p>
    <w:p>
      <w:pPr>
        <w:pStyle w:val="24"/>
      </w:pPr>
      <w:r>
        <w:t>2、加强支出管理。优化支出结构、编细编实预算、及时支付资金、按规定及时下达资金等多种措施，确保支出进度达标。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6、加强内部监督。加强内部监督制度建设，对绩效运行情况、重大支出决策、资产处置及其他重要业务事项的决策和执行进行督导，确保财政资金安全有效。</w:t>
      </w:r>
    </w:p>
    <w:p>
      <w:pPr>
        <w:pStyle w:val="24"/>
      </w:pPr>
      <w:r>
        <w:t>7、加强宣传培训调研。加强人员培训，积极参加财政部门举办的专业知识培训，提高会计从业人员业务素质；加大宣传力度，强化预算绩效管理意识，促进预算绩效管理水平进一步提升。</w:t>
      </w:r>
    </w:p>
    <w:p>
      <w:pPr>
        <w:pStyle w:val="24"/>
      </w:pPr>
      <w:r>
        <w:t>8、做好事业单位登记管理和监督检查工作。202</w:t>
      </w:r>
      <w:r>
        <w:rPr>
          <w:rFonts w:hint="eastAsia"/>
          <w:lang w:eastAsia="zh-CN"/>
        </w:rPr>
        <w:t>5</w:t>
      </w:r>
      <w:r>
        <w:t>年1月份开始到3月31日，继续对已登记的事业单位进行年度报告公示工作；加强完善机关、群团和事业单位的变更申请工作。开展机构编制执行情况跟踪评估和监督检查，开展全县机关赋码、事业单位法人登记管理和监督检查工作。</w:t>
      </w:r>
    </w:p>
    <w:p>
      <w:pPr>
        <w:pStyle w:val="24"/>
      </w:pPr>
      <w:r>
        <w:t>9、推进机构编制电子政务中心建设。一是抓好基础数据管理。以机构编制实名制管理系统为载体，通过各机关事业单位报送变动信息、编办实时更新等措施，提升实名制基础数据的完整度和准确度。二是抓网站建设与应用。完成电子政务内网接入工作，外网以机构编制信息网为基础，充实丰富模块内容，完善优化编办权威信息发布和政务信息公开。</w:t>
      </w:r>
    </w:p>
    <w:p>
      <w:pPr>
        <w:pStyle w:val="24"/>
        <w:rPr>
          <w:lang w:eastAsia="zh-CN"/>
        </w:rPr>
        <w:sectPr>
          <w:pgSz w:w="16840" w:h="11900" w:orient="landscape"/>
          <w:pgMar w:top="1361" w:right="1020" w:bottom="1361" w:left="1020" w:header="720" w:footer="720" w:gutter="0"/>
          <w:cols w:space="720" w:num="1"/>
        </w:sectPr>
      </w:pPr>
      <w:r>
        <w:t>10、全面加强机关自身建设。县委编办是党的机关、政治机关，必须旗帜鲜明讲政治，在推进机关党的政治建设上狠下功夫。进一步加强编办机关的制度化、规范化建设，加强改进作风，提升工作标准，严格日常管理，构建与管理体制调整变化相适应的制度和管理体系。加强干部学习培训，全面提升全体干部的政治能力和业务素质。</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r>
        <w:rPr>
          <w:rFonts w:ascii="黑体" w:hAnsi="黑体" w:eastAsia="黑体" w:cs="黑体"/>
          <w:color w:val="000000"/>
          <w:sz w:val="32"/>
        </w:rPr>
        <w:t>：本年度无专项资金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1、机构编制管理经费绩效目标表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13052526P00003910198H</w:t>
            </w:r>
          </w:p>
        </w:tc>
        <w:tc>
          <w:tcPr>
            <w:tcW w:w="2835" w:type="dxa"/>
            <w:vAlign w:val="center"/>
          </w:tcPr>
          <w:p>
            <w:pPr>
              <w:pStyle w:val="11"/>
            </w:pPr>
            <w:r>
              <w:t>项目名称</w:t>
            </w:r>
          </w:p>
        </w:tc>
        <w:tc>
          <w:tcPr>
            <w:tcW w:w="6095" w:type="dxa"/>
            <w:gridSpan w:val="3"/>
            <w:vAlign w:val="center"/>
          </w:tcPr>
          <w:p>
            <w:pPr>
              <w:pStyle w:val="13"/>
            </w:pPr>
            <w:r>
              <w:t>机构编制管理经费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审核管理全县各类编制总额，开展机构编制实名制和编制使用核准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1.目标内容1审核管理全县各类编制总额，开展机构编制实名制和编制使用核准</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各乡镇督导检查工作次数</w:t>
            </w:r>
          </w:p>
        </w:tc>
        <w:tc>
          <w:tcPr>
            <w:tcW w:w="2268" w:type="dxa"/>
            <w:vAlign w:val="center"/>
          </w:tcPr>
          <w:p>
            <w:pPr>
              <w:pStyle w:val="13"/>
            </w:pPr>
            <w:r>
              <w:t>≥20次</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检查落实率</w:t>
            </w:r>
          </w:p>
        </w:tc>
        <w:tc>
          <w:tcPr>
            <w:tcW w:w="5386" w:type="dxa"/>
            <w:vAlign w:val="center"/>
          </w:tcPr>
          <w:p>
            <w:pPr>
              <w:pStyle w:val="13"/>
            </w:pPr>
            <w:r>
              <w:t>检查次数/计划检查次数*100%</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活动落实时间</w:t>
            </w:r>
          </w:p>
        </w:tc>
        <w:tc>
          <w:tcPr>
            <w:tcW w:w="5386" w:type="dxa"/>
            <w:vAlign w:val="center"/>
          </w:tcPr>
          <w:p>
            <w:pPr>
              <w:pStyle w:val="13"/>
            </w:pPr>
            <w:r>
              <w:t>活动落实时间/活动要求开展时间*100%</w:t>
            </w:r>
          </w:p>
        </w:tc>
        <w:tc>
          <w:tcPr>
            <w:tcW w:w="2268" w:type="dxa"/>
            <w:vAlign w:val="center"/>
          </w:tcPr>
          <w:p>
            <w:pPr>
              <w:pStyle w:val="13"/>
            </w:pPr>
            <w:r>
              <w:t>≥96百分比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财政投入水平</w:t>
            </w:r>
          </w:p>
        </w:tc>
        <w:tc>
          <w:tcPr>
            <w:tcW w:w="5386" w:type="dxa"/>
            <w:vAlign w:val="center"/>
          </w:tcPr>
          <w:p>
            <w:pPr>
              <w:pStyle w:val="13"/>
            </w:pPr>
            <w:r>
              <w:t>支出率</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机构编制工作持续性</w:t>
            </w:r>
          </w:p>
        </w:tc>
        <w:tc>
          <w:tcPr>
            <w:tcW w:w="5386" w:type="dxa"/>
            <w:vAlign w:val="center"/>
          </w:tcPr>
          <w:p>
            <w:pPr>
              <w:pStyle w:val="13"/>
            </w:pPr>
            <w:r>
              <w:t>机构编制工作开展天数/全年工作天数*100%</w:t>
            </w:r>
          </w:p>
        </w:tc>
        <w:tc>
          <w:tcPr>
            <w:tcW w:w="2268" w:type="dxa"/>
            <w:vAlign w:val="center"/>
          </w:tcPr>
          <w:p>
            <w:pPr>
              <w:pStyle w:val="13"/>
            </w:pPr>
            <w:r>
              <w:t>100百分比</w:t>
            </w:r>
          </w:p>
        </w:tc>
        <w:tc>
          <w:tcPr>
            <w:tcW w:w="1276" w:type="dxa"/>
            <w:vAlign w:val="center"/>
          </w:tcPr>
          <w:p>
            <w:pPr>
              <w:pStyle w:val="13"/>
            </w:pPr>
            <w: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单位职工满意度</w:t>
            </w:r>
          </w:p>
        </w:tc>
        <w:tc>
          <w:tcPr>
            <w:tcW w:w="5386" w:type="dxa"/>
            <w:vAlign w:val="center"/>
          </w:tcPr>
          <w:p>
            <w:pPr>
              <w:pStyle w:val="13"/>
            </w:pPr>
            <w:r>
              <w:t>职工满意和较满意的人数/职工总人数*100%</w:t>
            </w:r>
          </w:p>
        </w:tc>
        <w:tc>
          <w:tcPr>
            <w:tcW w:w="2268" w:type="dxa"/>
            <w:vAlign w:val="center"/>
          </w:tcPr>
          <w:p>
            <w:pPr>
              <w:pStyle w:val="13"/>
            </w:pPr>
            <w:r>
              <w:t>≥96百分比</w:t>
            </w:r>
          </w:p>
        </w:tc>
        <w:tc>
          <w:tcPr>
            <w:tcW w:w="1276" w:type="dxa"/>
            <w:vAlign w:val="center"/>
          </w:tcPr>
          <w:p>
            <w:pPr>
              <w:pStyle w:val="13"/>
            </w:pPr>
            <w:r>
              <w:t>县委编办“三定方案”</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s="Times New Roman"/>
          <w:color w:val="000000"/>
          <w:sz w:val="28"/>
        </w:rPr>
        <w:t>中共隆尧县委机构编制委员会办公室（含所属单位）上年末固定资产金额为7.26万元（详见下表）。本年度拟购置固定资产总额为0.00万元，已按要求列入政府采购预算，详见政府采购预算表。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225中共隆尧县委机构编制委员会办公室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121</w:t>
            </w:r>
          </w:p>
        </w:tc>
        <w:tc>
          <w:tcPr>
            <w:tcW w:w="2835" w:type="dxa"/>
            <w:vAlign w:val="center"/>
          </w:tcPr>
          <w:p>
            <w:pPr>
              <w:pStyle w:val="12"/>
            </w:pPr>
            <w:r>
              <w:t>7.26</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1078D"/>
    <w:rsid w:val="00131134"/>
    <w:rsid w:val="0021078D"/>
    <w:rsid w:val="002A4D9F"/>
    <w:rsid w:val="0041790A"/>
    <w:rsid w:val="00452BD1"/>
    <w:rsid w:val="007D31EB"/>
    <w:rsid w:val="009968F2"/>
    <w:rsid w:val="00B5607F"/>
    <w:rsid w:val="00CF3C1A"/>
    <w:rsid w:val="00D26618"/>
    <w:rsid w:val="00D95D72"/>
    <w:rsid w:val="033A49E2"/>
    <w:rsid w:val="09711A6A"/>
    <w:rsid w:val="1B13221A"/>
    <w:rsid w:val="4110479E"/>
    <w:rsid w:val="7E46591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2">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5">
    <w:name w:val="单元格样式23"/>
    <w:qFormat/>
    <w:uiPriority w:val="0"/>
    <w:pPr>
      <w:jc w:val="right"/>
    </w:pPr>
    <w:rPr>
      <w:rFonts w:ascii="方正书宋_GBK" w:hAnsi="方正书宋_GBK" w:eastAsia="方正书宋_GBK" w:cs="方正书宋_GBK"/>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3033</Words>
  <Characters>4093</Characters>
  <Lines>87</Lines>
  <Paragraphs>24</Paragraphs>
  <TotalTime>18</TotalTime>
  <ScaleCrop>false</ScaleCrop>
  <LinksUpToDate>false</LinksUpToDate>
  <CharactersWithSpaces>4193</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2026-02-04T15:39:00Z</dcterms:created>
  <dc:creator>lenovo</dc:creator>
  <cp:lastModifiedBy>X</cp:lastModifiedBy>
  <dcterms:modified xsi:type="dcterms:W3CDTF">2026-02-13T02:05:54Z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D00803A133884080BF6ACA439F44CD13</vt:lpwstr>
  </property>
  <property fmtid="{D5CDD505-2E9C-101B-9397-08002B2CF9AE}" pid="4" name="KSOTemplateDocerSaveRecord">
    <vt:lpwstr>eyJoZGlkIjoiNjY3NWYwMDkzODRjZDViMGY0OGFiZTk1NjZlODNkM2EiLCJ1c2VySWQiOiIyNDEwODc3NDYifQ==</vt:lpwstr>
  </property>
</Properties>
</file>