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一、隆尧县柳行农场事务中心本级收支预算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一、隆尧县柳行农场事务中心本级收支预算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818001隆尧县柳行农场事务中心本级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228.89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815.65</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815.65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213.04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1044.55</w:t>
            </w:r>
          </w:p>
        </w:tc>
        <w:tc>
          <w:tcPr>
            <w:tcW w:w="4535" w:type="dxa"/>
            <w:vAlign w:val="center"/>
          </w:tcPr>
          <w:p>
            <w:pPr>
              <w:pStyle w:val="14"/>
            </w:pPr>
            <w:r>
              <w:t>本年支出合计</w:t>
            </w:r>
          </w:p>
        </w:tc>
        <w:tc>
          <w:tcPr>
            <w:tcW w:w="2126" w:type="dxa"/>
            <w:vAlign w:val="center"/>
          </w:tcPr>
          <w:p>
            <w:pPr>
              <w:pStyle w:val="15"/>
            </w:pPr>
            <w:r>
              <w:t>1044.55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1044.55</w:t>
            </w:r>
          </w:p>
        </w:tc>
        <w:tc>
          <w:tcPr>
            <w:tcW w:w="4535" w:type="dxa"/>
            <w:vAlign w:val="center"/>
          </w:tcPr>
          <w:p>
            <w:pPr>
              <w:pStyle w:val="14"/>
            </w:pPr>
            <w:r>
              <w:t>支出总计</w:t>
            </w:r>
          </w:p>
        </w:tc>
        <w:tc>
          <w:tcPr>
            <w:tcW w:w="2126" w:type="dxa"/>
            <w:vAlign w:val="center"/>
          </w:tcPr>
          <w:p>
            <w:pPr>
              <w:pStyle w:val="15"/>
            </w:pPr>
            <w:r>
              <w:t>1044.55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818001隆尧县柳行农场事务中心本级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1044.55</w:t>
            </w:r>
          </w:p>
        </w:tc>
        <w:tc>
          <w:tcPr>
            <w:tcW w:w="1134" w:type="dxa"/>
            <w:vAlign w:val="center"/>
          </w:tcPr>
          <w:p>
            <w:pPr>
              <w:pStyle w:val="15"/>
            </w:pPr>
            <w:r>
              <w:t>1044.55</w:t>
            </w:r>
          </w:p>
        </w:tc>
        <w:tc>
          <w:tcPr>
            <w:tcW w:w="1134" w:type="dxa"/>
            <w:vAlign w:val="center"/>
          </w:tcPr>
          <w:p>
            <w:pPr>
              <w:pStyle w:val="15"/>
            </w:pPr>
            <w:r>
              <w:t>1044.55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10.60</w:t>
            </w:r>
          </w:p>
        </w:tc>
        <w:tc>
          <w:tcPr>
            <w:tcW w:w="1134" w:type="dxa"/>
            <w:vAlign w:val="center"/>
          </w:tcPr>
          <w:p>
            <w:pPr>
              <w:pStyle w:val="11"/>
            </w:pPr>
            <w:r>
              <w:t>10.60</w:t>
            </w:r>
          </w:p>
        </w:tc>
        <w:tc>
          <w:tcPr>
            <w:tcW w:w="1134" w:type="dxa"/>
            <w:vAlign w:val="center"/>
          </w:tcPr>
          <w:p>
            <w:pPr>
              <w:pStyle w:val="11"/>
            </w:pPr>
            <w:r>
              <w:t>10.60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10.60</w:t>
            </w:r>
          </w:p>
        </w:tc>
        <w:tc>
          <w:tcPr>
            <w:tcW w:w="1134" w:type="dxa"/>
            <w:vAlign w:val="center"/>
          </w:tcPr>
          <w:p>
            <w:pPr>
              <w:pStyle w:val="11"/>
            </w:pPr>
            <w:r>
              <w:t>10.60</w:t>
            </w:r>
          </w:p>
        </w:tc>
        <w:tc>
          <w:tcPr>
            <w:tcW w:w="1134" w:type="dxa"/>
            <w:vAlign w:val="center"/>
          </w:tcPr>
          <w:p>
            <w:pPr>
              <w:pStyle w:val="11"/>
            </w:pPr>
            <w:r>
              <w:t>10.60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10.60</w:t>
            </w:r>
          </w:p>
        </w:tc>
        <w:tc>
          <w:tcPr>
            <w:tcW w:w="1134" w:type="dxa"/>
            <w:vAlign w:val="center"/>
          </w:tcPr>
          <w:p>
            <w:pPr>
              <w:pStyle w:val="11"/>
            </w:pPr>
            <w:r>
              <w:t>10.60</w:t>
            </w:r>
          </w:p>
        </w:tc>
        <w:tc>
          <w:tcPr>
            <w:tcW w:w="1134" w:type="dxa"/>
            <w:vAlign w:val="center"/>
          </w:tcPr>
          <w:p>
            <w:pPr>
              <w:pStyle w:val="11"/>
            </w:pPr>
            <w:r>
              <w:t>10.60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5.25</w:t>
            </w:r>
          </w:p>
        </w:tc>
        <w:tc>
          <w:tcPr>
            <w:tcW w:w="1134" w:type="dxa"/>
            <w:vAlign w:val="center"/>
          </w:tcPr>
          <w:p>
            <w:pPr>
              <w:pStyle w:val="11"/>
            </w:pPr>
            <w:r>
              <w:t>5.25</w:t>
            </w:r>
          </w:p>
        </w:tc>
        <w:tc>
          <w:tcPr>
            <w:tcW w:w="1134" w:type="dxa"/>
            <w:vAlign w:val="center"/>
          </w:tcPr>
          <w:p>
            <w:pPr>
              <w:pStyle w:val="11"/>
            </w:pPr>
            <w:r>
              <w:t>5.25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5.25</w:t>
            </w:r>
          </w:p>
        </w:tc>
        <w:tc>
          <w:tcPr>
            <w:tcW w:w="1134" w:type="dxa"/>
            <w:vAlign w:val="center"/>
          </w:tcPr>
          <w:p>
            <w:pPr>
              <w:pStyle w:val="11"/>
            </w:pPr>
            <w:r>
              <w:t>5.25</w:t>
            </w:r>
          </w:p>
        </w:tc>
        <w:tc>
          <w:tcPr>
            <w:tcW w:w="1134" w:type="dxa"/>
            <w:vAlign w:val="center"/>
          </w:tcPr>
          <w:p>
            <w:pPr>
              <w:pStyle w:val="11"/>
            </w:pPr>
            <w:r>
              <w:t>5.25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5.25</w:t>
            </w:r>
          </w:p>
        </w:tc>
        <w:tc>
          <w:tcPr>
            <w:tcW w:w="1134" w:type="dxa"/>
            <w:vAlign w:val="center"/>
          </w:tcPr>
          <w:p>
            <w:pPr>
              <w:pStyle w:val="11"/>
            </w:pPr>
            <w:r>
              <w:t>5.25</w:t>
            </w:r>
          </w:p>
        </w:tc>
        <w:tc>
          <w:tcPr>
            <w:tcW w:w="1134" w:type="dxa"/>
            <w:vAlign w:val="center"/>
          </w:tcPr>
          <w:p>
            <w:pPr>
              <w:pStyle w:val="11"/>
            </w:pPr>
            <w:r>
              <w:t>5.25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815.65</w:t>
            </w:r>
          </w:p>
        </w:tc>
        <w:tc>
          <w:tcPr>
            <w:tcW w:w="1134" w:type="dxa"/>
            <w:vAlign w:val="center"/>
          </w:tcPr>
          <w:p>
            <w:pPr>
              <w:pStyle w:val="11"/>
            </w:pPr>
            <w:r>
              <w:t>815.65</w:t>
            </w:r>
          </w:p>
        </w:tc>
        <w:tc>
          <w:tcPr>
            <w:tcW w:w="1134" w:type="dxa"/>
            <w:vAlign w:val="center"/>
          </w:tcPr>
          <w:p>
            <w:pPr>
              <w:pStyle w:val="11"/>
            </w:pPr>
            <w:r>
              <w:t>815.65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815.65</w:t>
            </w:r>
          </w:p>
        </w:tc>
        <w:tc>
          <w:tcPr>
            <w:tcW w:w="1134" w:type="dxa"/>
            <w:vAlign w:val="center"/>
          </w:tcPr>
          <w:p>
            <w:pPr>
              <w:pStyle w:val="11"/>
            </w:pPr>
            <w:r>
              <w:t>815.65</w:t>
            </w:r>
          </w:p>
        </w:tc>
        <w:tc>
          <w:tcPr>
            <w:tcW w:w="1134" w:type="dxa"/>
            <w:vAlign w:val="center"/>
          </w:tcPr>
          <w:p>
            <w:pPr>
              <w:pStyle w:val="11"/>
            </w:pPr>
            <w:r>
              <w:t>815.65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2120801</w:t>
            </w:r>
          </w:p>
        </w:tc>
        <w:tc>
          <w:tcPr>
            <w:tcW w:w="1559" w:type="dxa"/>
            <w:vAlign w:val="center"/>
          </w:tcPr>
          <w:p>
            <w:pPr>
              <w:pStyle w:val="12"/>
            </w:pPr>
            <w:r>
              <w:t>征地和拆迁补偿支出</w:t>
            </w:r>
          </w:p>
        </w:tc>
        <w:tc>
          <w:tcPr>
            <w:tcW w:w="1134" w:type="dxa"/>
            <w:vAlign w:val="center"/>
          </w:tcPr>
          <w:p>
            <w:pPr>
              <w:pStyle w:val="11"/>
            </w:pPr>
            <w:r>
              <w:t>815.65</w:t>
            </w:r>
          </w:p>
        </w:tc>
        <w:tc>
          <w:tcPr>
            <w:tcW w:w="1134" w:type="dxa"/>
            <w:vAlign w:val="center"/>
          </w:tcPr>
          <w:p>
            <w:pPr>
              <w:pStyle w:val="11"/>
            </w:pPr>
            <w:r>
              <w:t>815.65</w:t>
            </w:r>
          </w:p>
        </w:tc>
        <w:tc>
          <w:tcPr>
            <w:tcW w:w="1134" w:type="dxa"/>
            <w:vAlign w:val="center"/>
          </w:tcPr>
          <w:p>
            <w:pPr>
              <w:pStyle w:val="11"/>
            </w:pPr>
            <w:r>
              <w:t>815.65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213.04</w:t>
            </w:r>
          </w:p>
        </w:tc>
        <w:tc>
          <w:tcPr>
            <w:tcW w:w="1134" w:type="dxa"/>
            <w:vAlign w:val="center"/>
          </w:tcPr>
          <w:p>
            <w:pPr>
              <w:pStyle w:val="11"/>
            </w:pPr>
            <w:r>
              <w:t>213.04</w:t>
            </w:r>
          </w:p>
        </w:tc>
        <w:tc>
          <w:tcPr>
            <w:tcW w:w="1134" w:type="dxa"/>
            <w:vAlign w:val="center"/>
          </w:tcPr>
          <w:p>
            <w:pPr>
              <w:pStyle w:val="11"/>
            </w:pPr>
            <w:r>
              <w:t>213.04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95.04</w:t>
            </w:r>
          </w:p>
        </w:tc>
        <w:tc>
          <w:tcPr>
            <w:tcW w:w="1134" w:type="dxa"/>
            <w:vAlign w:val="center"/>
          </w:tcPr>
          <w:p>
            <w:pPr>
              <w:pStyle w:val="11"/>
            </w:pPr>
            <w:r>
              <w:t>95.04</w:t>
            </w:r>
          </w:p>
        </w:tc>
        <w:tc>
          <w:tcPr>
            <w:tcW w:w="1134" w:type="dxa"/>
            <w:vAlign w:val="center"/>
          </w:tcPr>
          <w:p>
            <w:pPr>
              <w:pStyle w:val="11"/>
            </w:pPr>
            <w:r>
              <w:t>95.04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2130104</w:t>
            </w:r>
          </w:p>
        </w:tc>
        <w:tc>
          <w:tcPr>
            <w:tcW w:w="1559" w:type="dxa"/>
            <w:vAlign w:val="center"/>
          </w:tcPr>
          <w:p>
            <w:pPr>
              <w:pStyle w:val="12"/>
            </w:pPr>
            <w:r>
              <w:t>事业运行</w:t>
            </w:r>
          </w:p>
        </w:tc>
        <w:tc>
          <w:tcPr>
            <w:tcW w:w="1134" w:type="dxa"/>
            <w:vAlign w:val="center"/>
          </w:tcPr>
          <w:p>
            <w:pPr>
              <w:pStyle w:val="11"/>
            </w:pPr>
            <w:r>
              <w:t>95.04</w:t>
            </w:r>
          </w:p>
        </w:tc>
        <w:tc>
          <w:tcPr>
            <w:tcW w:w="1134" w:type="dxa"/>
            <w:vAlign w:val="center"/>
          </w:tcPr>
          <w:p>
            <w:pPr>
              <w:pStyle w:val="11"/>
            </w:pPr>
            <w:r>
              <w:t>95.04</w:t>
            </w:r>
          </w:p>
        </w:tc>
        <w:tc>
          <w:tcPr>
            <w:tcW w:w="1134" w:type="dxa"/>
            <w:vAlign w:val="center"/>
          </w:tcPr>
          <w:p>
            <w:pPr>
              <w:pStyle w:val="11"/>
            </w:pPr>
            <w:r>
              <w:t>95.04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21307</w:t>
            </w:r>
          </w:p>
        </w:tc>
        <w:tc>
          <w:tcPr>
            <w:tcW w:w="1559" w:type="dxa"/>
            <w:vAlign w:val="center"/>
          </w:tcPr>
          <w:p>
            <w:pPr>
              <w:pStyle w:val="12"/>
            </w:pPr>
            <w:r>
              <w:t>农村综合改革</w:t>
            </w:r>
          </w:p>
        </w:tc>
        <w:tc>
          <w:tcPr>
            <w:tcW w:w="1134" w:type="dxa"/>
            <w:vAlign w:val="center"/>
          </w:tcPr>
          <w:p>
            <w:pPr>
              <w:pStyle w:val="11"/>
            </w:pPr>
            <w:r>
              <w:t>118.00</w:t>
            </w:r>
          </w:p>
        </w:tc>
        <w:tc>
          <w:tcPr>
            <w:tcW w:w="1134" w:type="dxa"/>
            <w:vAlign w:val="center"/>
          </w:tcPr>
          <w:p>
            <w:pPr>
              <w:pStyle w:val="11"/>
            </w:pPr>
            <w:r>
              <w:t>118.00</w:t>
            </w:r>
          </w:p>
        </w:tc>
        <w:tc>
          <w:tcPr>
            <w:tcW w:w="1134" w:type="dxa"/>
            <w:vAlign w:val="center"/>
          </w:tcPr>
          <w:p>
            <w:pPr>
              <w:pStyle w:val="11"/>
            </w:pPr>
            <w:r>
              <w:t>118.00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2130799</w:t>
            </w:r>
          </w:p>
        </w:tc>
        <w:tc>
          <w:tcPr>
            <w:tcW w:w="1559" w:type="dxa"/>
            <w:vAlign w:val="center"/>
          </w:tcPr>
          <w:p>
            <w:pPr>
              <w:pStyle w:val="12"/>
            </w:pPr>
            <w:r>
              <w:t>其他农村综合改革支出</w:t>
            </w:r>
          </w:p>
        </w:tc>
        <w:tc>
          <w:tcPr>
            <w:tcW w:w="1134" w:type="dxa"/>
            <w:vAlign w:val="center"/>
          </w:tcPr>
          <w:p>
            <w:pPr>
              <w:pStyle w:val="11"/>
            </w:pPr>
            <w:r>
              <w:t>118.00</w:t>
            </w:r>
          </w:p>
        </w:tc>
        <w:tc>
          <w:tcPr>
            <w:tcW w:w="1134" w:type="dxa"/>
            <w:vAlign w:val="center"/>
          </w:tcPr>
          <w:p>
            <w:pPr>
              <w:pStyle w:val="11"/>
            </w:pPr>
            <w:r>
              <w:t>118.00</w:t>
            </w:r>
          </w:p>
        </w:tc>
        <w:tc>
          <w:tcPr>
            <w:tcW w:w="1134" w:type="dxa"/>
            <w:vAlign w:val="center"/>
          </w:tcPr>
          <w:p>
            <w:pPr>
              <w:pStyle w:val="11"/>
            </w:pPr>
            <w:r>
              <w:t>118.00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818001隆尧县柳行农场事务中心本级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1044.55</w:t>
            </w:r>
          </w:p>
        </w:tc>
        <w:tc>
          <w:tcPr>
            <w:tcW w:w="1361" w:type="dxa"/>
            <w:vAlign w:val="center"/>
          </w:tcPr>
          <w:p>
            <w:pPr>
              <w:pStyle w:val="15"/>
            </w:pPr>
            <w:r>
              <w:t>110.89</w:t>
            </w:r>
          </w:p>
        </w:tc>
        <w:tc>
          <w:tcPr>
            <w:tcW w:w="1361" w:type="dxa"/>
            <w:vAlign w:val="center"/>
          </w:tcPr>
          <w:p>
            <w:pPr>
              <w:pStyle w:val="15"/>
            </w:pPr>
            <w:r>
              <w:t>933.65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10.60</w:t>
            </w:r>
          </w:p>
        </w:tc>
        <w:tc>
          <w:tcPr>
            <w:tcW w:w="1361" w:type="dxa"/>
            <w:vAlign w:val="center"/>
          </w:tcPr>
          <w:p>
            <w:pPr>
              <w:pStyle w:val="11"/>
            </w:pPr>
            <w:r>
              <w:t>10.60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10.60</w:t>
            </w:r>
          </w:p>
        </w:tc>
        <w:tc>
          <w:tcPr>
            <w:tcW w:w="1361" w:type="dxa"/>
            <w:vAlign w:val="center"/>
          </w:tcPr>
          <w:p>
            <w:pPr>
              <w:pStyle w:val="11"/>
            </w:pPr>
            <w:r>
              <w:t>10.60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10.60</w:t>
            </w:r>
          </w:p>
        </w:tc>
        <w:tc>
          <w:tcPr>
            <w:tcW w:w="1361" w:type="dxa"/>
            <w:vAlign w:val="center"/>
          </w:tcPr>
          <w:p>
            <w:pPr>
              <w:pStyle w:val="11"/>
            </w:pPr>
            <w:r>
              <w:t>10.60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5.25</w:t>
            </w:r>
          </w:p>
        </w:tc>
        <w:tc>
          <w:tcPr>
            <w:tcW w:w="1361" w:type="dxa"/>
            <w:vAlign w:val="center"/>
          </w:tcPr>
          <w:p>
            <w:pPr>
              <w:pStyle w:val="11"/>
            </w:pPr>
            <w:r>
              <w:t>5.25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5.25</w:t>
            </w:r>
          </w:p>
        </w:tc>
        <w:tc>
          <w:tcPr>
            <w:tcW w:w="1361" w:type="dxa"/>
            <w:vAlign w:val="center"/>
          </w:tcPr>
          <w:p>
            <w:pPr>
              <w:pStyle w:val="11"/>
            </w:pPr>
            <w:r>
              <w:t>5.25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5.25</w:t>
            </w:r>
          </w:p>
        </w:tc>
        <w:tc>
          <w:tcPr>
            <w:tcW w:w="1361" w:type="dxa"/>
            <w:vAlign w:val="center"/>
          </w:tcPr>
          <w:p>
            <w:pPr>
              <w:pStyle w:val="11"/>
            </w:pPr>
            <w:r>
              <w:t>5.25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815.65</w:t>
            </w:r>
          </w:p>
        </w:tc>
        <w:tc>
          <w:tcPr>
            <w:tcW w:w="1361" w:type="dxa"/>
            <w:vAlign w:val="center"/>
          </w:tcPr>
          <w:p>
            <w:pPr>
              <w:pStyle w:val="11"/>
            </w:pPr>
          </w:p>
        </w:tc>
        <w:tc>
          <w:tcPr>
            <w:tcW w:w="1361" w:type="dxa"/>
            <w:vAlign w:val="center"/>
          </w:tcPr>
          <w:p>
            <w:pPr>
              <w:pStyle w:val="11"/>
            </w:pPr>
            <w:r>
              <w:t>815.65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815.65</w:t>
            </w:r>
          </w:p>
        </w:tc>
        <w:tc>
          <w:tcPr>
            <w:tcW w:w="1361" w:type="dxa"/>
            <w:vAlign w:val="center"/>
          </w:tcPr>
          <w:p>
            <w:pPr>
              <w:pStyle w:val="11"/>
            </w:pPr>
          </w:p>
        </w:tc>
        <w:tc>
          <w:tcPr>
            <w:tcW w:w="1361" w:type="dxa"/>
            <w:vAlign w:val="center"/>
          </w:tcPr>
          <w:p>
            <w:pPr>
              <w:pStyle w:val="11"/>
            </w:pPr>
            <w:r>
              <w:t>815.65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2120801</w:t>
            </w:r>
          </w:p>
        </w:tc>
        <w:tc>
          <w:tcPr>
            <w:tcW w:w="4535" w:type="dxa"/>
            <w:vAlign w:val="center"/>
          </w:tcPr>
          <w:p>
            <w:pPr>
              <w:pStyle w:val="12"/>
            </w:pPr>
            <w:r>
              <w:t>征地和拆迁补偿支出</w:t>
            </w:r>
          </w:p>
        </w:tc>
        <w:tc>
          <w:tcPr>
            <w:tcW w:w="1361" w:type="dxa"/>
            <w:vAlign w:val="center"/>
          </w:tcPr>
          <w:p>
            <w:pPr>
              <w:pStyle w:val="11"/>
            </w:pPr>
            <w:r>
              <w:t>815.65</w:t>
            </w:r>
          </w:p>
        </w:tc>
        <w:tc>
          <w:tcPr>
            <w:tcW w:w="1361" w:type="dxa"/>
            <w:vAlign w:val="center"/>
          </w:tcPr>
          <w:p>
            <w:pPr>
              <w:pStyle w:val="11"/>
            </w:pPr>
          </w:p>
        </w:tc>
        <w:tc>
          <w:tcPr>
            <w:tcW w:w="1361" w:type="dxa"/>
            <w:vAlign w:val="center"/>
          </w:tcPr>
          <w:p>
            <w:pPr>
              <w:pStyle w:val="11"/>
            </w:pPr>
            <w:r>
              <w:t>815.65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213.04</w:t>
            </w:r>
          </w:p>
        </w:tc>
        <w:tc>
          <w:tcPr>
            <w:tcW w:w="1361" w:type="dxa"/>
            <w:vAlign w:val="center"/>
          </w:tcPr>
          <w:p>
            <w:pPr>
              <w:pStyle w:val="11"/>
            </w:pPr>
            <w:r>
              <w:t>95.04</w:t>
            </w:r>
          </w:p>
        </w:tc>
        <w:tc>
          <w:tcPr>
            <w:tcW w:w="1361" w:type="dxa"/>
            <w:vAlign w:val="center"/>
          </w:tcPr>
          <w:p>
            <w:pPr>
              <w:pStyle w:val="11"/>
            </w:pPr>
            <w:r>
              <w:t>118.00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95.04</w:t>
            </w:r>
          </w:p>
        </w:tc>
        <w:tc>
          <w:tcPr>
            <w:tcW w:w="1361" w:type="dxa"/>
            <w:vAlign w:val="center"/>
          </w:tcPr>
          <w:p>
            <w:pPr>
              <w:pStyle w:val="11"/>
            </w:pPr>
            <w:r>
              <w:t>95.04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2130104</w:t>
            </w:r>
          </w:p>
        </w:tc>
        <w:tc>
          <w:tcPr>
            <w:tcW w:w="4535" w:type="dxa"/>
            <w:vAlign w:val="center"/>
          </w:tcPr>
          <w:p>
            <w:pPr>
              <w:pStyle w:val="12"/>
            </w:pPr>
            <w:r>
              <w:t>事业运行</w:t>
            </w:r>
          </w:p>
        </w:tc>
        <w:tc>
          <w:tcPr>
            <w:tcW w:w="1361" w:type="dxa"/>
            <w:vAlign w:val="center"/>
          </w:tcPr>
          <w:p>
            <w:pPr>
              <w:pStyle w:val="11"/>
            </w:pPr>
            <w:r>
              <w:t>95.04</w:t>
            </w:r>
          </w:p>
        </w:tc>
        <w:tc>
          <w:tcPr>
            <w:tcW w:w="1361" w:type="dxa"/>
            <w:vAlign w:val="center"/>
          </w:tcPr>
          <w:p>
            <w:pPr>
              <w:pStyle w:val="11"/>
            </w:pPr>
            <w:r>
              <w:t>95.04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21307</w:t>
            </w:r>
          </w:p>
        </w:tc>
        <w:tc>
          <w:tcPr>
            <w:tcW w:w="4535" w:type="dxa"/>
            <w:vAlign w:val="center"/>
          </w:tcPr>
          <w:p>
            <w:pPr>
              <w:pStyle w:val="12"/>
            </w:pPr>
            <w:r>
              <w:t>农村综合改革</w:t>
            </w:r>
          </w:p>
        </w:tc>
        <w:tc>
          <w:tcPr>
            <w:tcW w:w="1361" w:type="dxa"/>
            <w:vAlign w:val="center"/>
          </w:tcPr>
          <w:p>
            <w:pPr>
              <w:pStyle w:val="11"/>
            </w:pPr>
            <w:r>
              <w:t>118.00</w:t>
            </w:r>
          </w:p>
        </w:tc>
        <w:tc>
          <w:tcPr>
            <w:tcW w:w="1361" w:type="dxa"/>
            <w:vAlign w:val="center"/>
          </w:tcPr>
          <w:p>
            <w:pPr>
              <w:pStyle w:val="11"/>
            </w:pPr>
          </w:p>
        </w:tc>
        <w:tc>
          <w:tcPr>
            <w:tcW w:w="1361" w:type="dxa"/>
            <w:vAlign w:val="center"/>
          </w:tcPr>
          <w:p>
            <w:pPr>
              <w:pStyle w:val="11"/>
            </w:pPr>
            <w:r>
              <w:t>118.00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2130799</w:t>
            </w:r>
          </w:p>
        </w:tc>
        <w:tc>
          <w:tcPr>
            <w:tcW w:w="4535" w:type="dxa"/>
            <w:vAlign w:val="center"/>
          </w:tcPr>
          <w:p>
            <w:pPr>
              <w:pStyle w:val="12"/>
            </w:pPr>
            <w:r>
              <w:t>其他农村综合改革支出</w:t>
            </w:r>
          </w:p>
        </w:tc>
        <w:tc>
          <w:tcPr>
            <w:tcW w:w="1361" w:type="dxa"/>
            <w:vAlign w:val="center"/>
          </w:tcPr>
          <w:p>
            <w:pPr>
              <w:pStyle w:val="11"/>
            </w:pPr>
            <w:r>
              <w:t>118.00</w:t>
            </w:r>
          </w:p>
        </w:tc>
        <w:tc>
          <w:tcPr>
            <w:tcW w:w="1361" w:type="dxa"/>
            <w:vAlign w:val="center"/>
          </w:tcPr>
          <w:p>
            <w:pPr>
              <w:pStyle w:val="11"/>
            </w:pPr>
          </w:p>
        </w:tc>
        <w:tc>
          <w:tcPr>
            <w:tcW w:w="1361" w:type="dxa"/>
            <w:vAlign w:val="center"/>
          </w:tcPr>
          <w:p>
            <w:pPr>
              <w:pStyle w:val="11"/>
            </w:pPr>
            <w:r>
              <w:t>118.00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818001隆尧县柳行农场事务中心本级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228.89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815.65</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10.60</w:t>
            </w:r>
          </w:p>
        </w:tc>
        <w:tc>
          <w:tcPr>
            <w:tcW w:w="1474" w:type="dxa"/>
            <w:vAlign w:val="center"/>
          </w:tcPr>
          <w:p>
            <w:pPr>
              <w:pStyle w:val="11"/>
            </w:pPr>
            <w:r>
              <w:t>10.60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5.25</w:t>
            </w:r>
          </w:p>
        </w:tc>
        <w:tc>
          <w:tcPr>
            <w:tcW w:w="1474" w:type="dxa"/>
            <w:vAlign w:val="center"/>
          </w:tcPr>
          <w:p>
            <w:pPr>
              <w:pStyle w:val="11"/>
            </w:pPr>
            <w:r>
              <w:t>5.25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815.65</w:t>
            </w:r>
          </w:p>
        </w:tc>
        <w:tc>
          <w:tcPr>
            <w:tcW w:w="1474" w:type="dxa"/>
            <w:vAlign w:val="center"/>
          </w:tcPr>
          <w:p>
            <w:pPr>
              <w:pStyle w:val="11"/>
            </w:pPr>
          </w:p>
        </w:tc>
        <w:tc>
          <w:tcPr>
            <w:tcW w:w="1474" w:type="dxa"/>
            <w:vAlign w:val="center"/>
          </w:tcPr>
          <w:p>
            <w:pPr>
              <w:pStyle w:val="11"/>
            </w:pPr>
            <w:r>
              <w:t>815.65</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213.04</w:t>
            </w:r>
          </w:p>
        </w:tc>
        <w:tc>
          <w:tcPr>
            <w:tcW w:w="1474" w:type="dxa"/>
            <w:vAlign w:val="center"/>
          </w:tcPr>
          <w:p>
            <w:pPr>
              <w:pStyle w:val="11"/>
            </w:pPr>
            <w:r>
              <w:t>213.04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1044.55</w:t>
            </w:r>
          </w:p>
        </w:tc>
        <w:tc>
          <w:tcPr>
            <w:tcW w:w="3402" w:type="dxa"/>
            <w:vAlign w:val="center"/>
          </w:tcPr>
          <w:p>
            <w:pPr>
              <w:pStyle w:val="14"/>
            </w:pPr>
            <w:r>
              <w:t>本年支出合计</w:t>
            </w:r>
          </w:p>
        </w:tc>
        <w:tc>
          <w:tcPr>
            <w:tcW w:w="1474" w:type="dxa"/>
            <w:vAlign w:val="center"/>
          </w:tcPr>
          <w:p>
            <w:pPr>
              <w:pStyle w:val="15"/>
            </w:pPr>
            <w:r>
              <w:t>1044.55</w:t>
            </w:r>
          </w:p>
        </w:tc>
        <w:tc>
          <w:tcPr>
            <w:tcW w:w="1474" w:type="dxa"/>
            <w:vAlign w:val="center"/>
          </w:tcPr>
          <w:p>
            <w:pPr>
              <w:pStyle w:val="15"/>
            </w:pPr>
            <w:r>
              <w:t>228.89</w:t>
            </w:r>
          </w:p>
        </w:tc>
        <w:tc>
          <w:tcPr>
            <w:tcW w:w="1474" w:type="dxa"/>
            <w:vAlign w:val="center"/>
          </w:tcPr>
          <w:p>
            <w:pPr>
              <w:pStyle w:val="15"/>
            </w:pPr>
            <w:r>
              <w:t>815.65</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1044.55</w:t>
            </w:r>
          </w:p>
        </w:tc>
        <w:tc>
          <w:tcPr>
            <w:tcW w:w="3402" w:type="dxa"/>
            <w:vAlign w:val="center"/>
          </w:tcPr>
          <w:p>
            <w:pPr>
              <w:pStyle w:val="14"/>
            </w:pPr>
            <w:r>
              <w:t>支出总计</w:t>
            </w:r>
          </w:p>
        </w:tc>
        <w:tc>
          <w:tcPr>
            <w:tcW w:w="1474" w:type="dxa"/>
            <w:vAlign w:val="center"/>
          </w:tcPr>
          <w:p>
            <w:pPr>
              <w:pStyle w:val="15"/>
            </w:pPr>
            <w:r>
              <w:t>1044.55</w:t>
            </w:r>
          </w:p>
        </w:tc>
        <w:tc>
          <w:tcPr>
            <w:tcW w:w="1474" w:type="dxa"/>
            <w:vAlign w:val="center"/>
          </w:tcPr>
          <w:p>
            <w:pPr>
              <w:pStyle w:val="15"/>
            </w:pPr>
            <w:r>
              <w:t>228.89</w:t>
            </w:r>
          </w:p>
        </w:tc>
        <w:tc>
          <w:tcPr>
            <w:tcW w:w="1474" w:type="dxa"/>
            <w:vAlign w:val="center"/>
          </w:tcPr>
          <w:p>
            <w:pPr>
              <w:pStyle w:val="15"/>
            </w:pPr>
            <w:r>
              <w:t>815.65</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818001隆尧县柳行农场事务中心本级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228.89</w:t>
            </w:r>
          </w:p>
        </w:tc>
        <w:tc>
          <w:tcPr>
            <w:tcW w:w="2551" w:type="dxa"/>
            <w:vAlign w:val="center"/>
          </w:tcPr>
          <w:p>
            <w:pPr>
              <w:pStyle w:val="15"/>
            </w:pPr>
            <w:r>
              <w:t>110.89</w:t>
            </w:r>
          </w:p>
        </w:tc>
        <w:tc>
          <w:tcPr>
            <w:tcW w:w="2551" w:type="dxa"/>
            <w:vAlign w:val="center"/>
          </w:tcPr>
          <w:p>
            <w:pPr>
              <w:pStyle w:val="15"/>
            </w:pPr>
            <w:r>
              <w:t>118.00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10.60</w:t>
            </w:r>
          </w:p>
        </w:tc>
        <w:tc>
          <w:tcPr>
            <w:tcW w:w="2551" w:type="dxa"/>
            <w:vAlign w:val="center"/>
          </w:tcPr>
          <w:p>
            <w:pPr>
              <w:pStyle w:val="11"/>
            </w:pPr>
            <w:r>
              <w:t>10.60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10.60</w:t>
            </w:r>
          </w:p>
        </w:tc>
        <w:tc>
          <w:tcPr>
            <w:tcW w:w="2551" w:type="dxa"/>
            <w:vAlign w:val="center"/>
          </w:tcPr>
          <w:p>
            <w:pPr>
              <w:pStyle w:val="11"/>
            </w:pPr>
            <w:r>
              <w:t>10.60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10.60</w:t>
            </w:r>
          </w:p>
        </w:tc>
        <w:tc>
          <w:tcPr>
            <w:tcW w:w="2551" w:type="dxa"/>
            <w:vAlign w:val="center"/>
          </w:tcPr>
          <w:p>
            <w:pPr>
              <w:pStyle w:val="11"/>
            </w:pPr>
            <w:r>
              <w:t>10.60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5.25</w:t>
            </w:r>
          </w:p>
        </w:tc>
        <w:tc>
          <w:tcPr>
            <w:tcW w:w="2551" w:type="dxa"/>
            <w:vAlign w:val="center"/>
          </w:tcPr>
          <w:p>
            <w:pPr>
              <w:pStyle w:val="11"/>
            </w:pPr>
            <w:r>
              <w:t>5.25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5.25</w:t>
            </w:r>
          </w:p>
        </w:tc>
        <w:tc>
          <w:tcPr>
            <w:tcW w:w="2551" w:type="dxa"/>
            <w:vAlign w:val="center"/>
          </w:tcPr>
          <w:p>
            <w:pPr>
              <w:pStyle w:val="11"/>
            </w:pPr>
            <w:r>
              <w:t>5.25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5.25</w:t>
            </w:r>
          </w:p>
        </w:tc>
        <w:tc>
          <w:tcPr>
            <w:tcW w:w="2551" w:type="dxa"/>
            <w:vAlign w:val="center"/>
          </w:tcPr>
          <w:p>
            <w:pPr>
              <w:pStyle w:val="11"/>
            </w:pPr>
            <w:r>
              <w:t>5.25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213.04</w:t>
            </w:r>
          </w:p>
        </w:tc>
        <w:tc>
          <w:tcPr>
            <w:tcW w:w="2551" w:type="dxa"/>
            <w:vAlign w:val="center"/>
          </w:tcPr>
          <w:p>
            <w:pPr>
              <w:pStyle w:val="11"/>
            </w:pPr>
            <w:r>
              <w:t>95.04</w:t>
            </w:r>
          </w:p>
        </w:tc>
        <w:tc>
          <w:tcPr>
            <w:tcW w:w="2551" w:type="dxa"/>
            <w:vAlign w:val="center"/>
          </w:tcPr>
          <w:p>
            <w:pPr>
              <w:pStyle w:val="11"/>
            </w:pPr>
            <w:r>
              <w:t>118.00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95.04</w:t>
            </w:r>
          </w:p>
        </w:tc>
        <w:tc>
          <w:tcPr>
            <w:tcW w:w="2551" w:type="dxa"/>
            <w:vAlign w:val="center"/>
          </w:tcPr>
          <w:p>
            <w:pPr>
              <w:pStyle w:val="11"/>
            </w:pPr>
            <w:r>
              <w:t>95.04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2130104</w:t>
            </w:r>
          </w:p>
        </w:tc>
        <w:tc>
          <w:tcPr>
            <w:tcW w:w="4535" w:type="dxa"/>
            <w:vAlign w:val="center"/>
          </w:tcPr>
          <w:p>
            <w:pPr>
              <w:pStyle w:val="12"/>
            </w:pPr>
            <w:r>
              <w:t>事业运行</w:t>
            </w:r>
          </w:p>
        </w:tc>
        <w:tc>
          <w:tcPr>
            <w:tcW w:w="2551" w:type="dxa"/>
            <w:vAlign w:val="center"/>
          </w:tcPr>
          <w:p>
            <w:pPr>
              <w:pStyle w:val="11"/>
            </w:pPr>
            <w:r>
              <w:t>95.04</w:t>
            </w:r>
          </w:p>
        </w:tc>
        <w:tc>
          <w:tcPr>
            <w:tcW w:w="2551" w:type="dxa"/>
            <w:vAlign w:val="center"/>
          </w:tcPr>
          <w:p>
            <w:pPr>
              <w:pStyle w:val="11"/>
            </w:pPr>
            <w:r>
              <w:t>95.04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1"/>
            </w:pPr>
            <w:r>
              <w:t>118.00</w:t>
            </w:r>
          </w:p>
        </w:tc>
        <w:tc>
          <w:tcPr>
            <w:tcW w:w="2551" w:type="dxa"/>
            <w:vAlign w:val="center"/>
          </w:tcPr>
          <w:p>
            <w:pPr>
              <w:pStyle w:val="11"/>
            </w:pPr>
          </w:p>
        </w:tc>
        <w:tc>
          <w:tcPr>
            <w:tcW w:w="2551" w:type="dxa"/>
            <w:vAlign w:val="center"/>
          </w:tcPr>
          <w:p>
            <w:pPr>
              <w:pStyle w:val="11"/>
            </w:pPr>
            <w:r>
              <w:t>118.00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2130799</w:t>
            </w:r>
          </w:p>
        </w:tc>
        <w:tc>
          <w:tcPr>
            <w:tcW w:w="4535" w:type="dxa"/>
            <w:vAlign w:val="center"/>
          </w:tcPr>
          <w:p>
            <w:pPr>
              <w:pStyle w:val="12"/>
            </w:pPr>
            <w:r>
              <w:t>其他农村综合改革支出</w:t>
            </w:r>
          </w:p>
        </w:tc>
        <w:tc>
          <w:tcPr>
            <w:tcW w:w="2551" w:type="dxa"/>
            <w:vAlign w:val="center"/>
          </w:tcPr>
          <w:p>
            <w:pPr>
              <w:pStyle w:val="11"/>
            </w:pPr>
            <w:r>
              <w:t>118.00</w:t>
            </w:r>
          </w:p>
        </w:tc>
        <w:tc>
          <w:tcPr>
            <w:tcW w:w="2551" w:type="dxa"/>
            <w:vAlign w:val="center"/>
          </w:tcPr>
          <w:p>
            <w:pPr>
              <w:pStyle w:val="11"/>
            </w:pPr>
          </w:p>
        </w:tc>
        <w:tc>
          <w:tcPr>
            <w:tcW w:w="2551" w:type="dxa"/>
            <w:vAlign w:val="center"/>
          </w:tcPr>
          <w:p>
            <w:pPr>
              <w:pStyle w:val="11"/>
            </w:pPr>
            <w:r>
              <w:t>118.00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818001隆尧县柳行农场事务中心本级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110.89</w:t>
            </w:r>
          </w:p>
        </w:tc>
        <w:tc>
          <w:tcPr>
            <w:tcW w:w="2551" w:type="dxa"/>
            <w:vAlign w:val="center"/>
          </w:tcPr>
          <w:p>
            <w:pPr>
              <w:pStyle w:val="15"/>
            </w:pPr>
            <w:r>
              <w:t>101.23</w:t>
            </w:r>
          </w:p>
        </w:tc>
        <w:tc>
          <w:tcPr>
            <w:tcW w:w="2551" w:type="dxa"/>
            <w:vAlign w:val="center"/>
          </w:tcPr>
          <w:p>
            <w:pPr>
              <w:pStyle w:val="15"/>
            </w:pPr>
            <w:r>
              <w:t>9.66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100.25</w:t>
            </w:r>
          </w:p>
        </w:tc>
        <w:tc>
          <w:tcPr>
            <w:tcW w:w="2551" w:type="dxa"/>
            <w:vAlign w:val="center"/>
          </w:tcPr>
          <w:p>
            <w:pPr>
              <w:pStyle w:val="11"/>
            </w:pPr>
            <w:r>
              <w:t>100.25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44.90</w:t>
            </w:r>
          </w:p>
        </w:tc>
        <w:tc>
          <w:tcPr>
            <w:tcW w:w="2551" w:type="dxa"/>
            <w:vAlign w:val="center"/>
          </w:tcPr>
          <w:p>
            <w:pPr>
              <w:pStyle w:val="11"/>
            </w:pPr>
            <w:r>
              <w:t>44.90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1.52</w:t>
            </w:r>
          </w:p>
        </w:tc>
        <w:tc>
          <w:tcPr>
            <w:tcW w:w="2551" w:type="dxa"/>
            <w:vAlign w:val="center"/>
          </w:tcPr>
          <w:p>
            <w:pPr>
              <w:pStyle w:val="11"/>
            </w:pPr>
            <w:r>
              <w:t>1.52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3.74</w:t>
            </w:r>
          </w:p>
        </w:tc>
        <w:tc>
          <w:tcPr>
            <w:tcW w:w="2551" w:type="dxa"/>
            <w:vAlign w:val="center"/>
          </w:tcPr>
          <w:p>
            <w:pPr>
              <w:pStyle w:val="11"/>
            </w:pPr>
            <w:r>
              <w:t>3.74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25.89</w:t>
            </w:r>
          </w:p>
        </w:tc>
        <w:tc>
          <w:tcPr>
            <w:tcW w:w="2551" w:type="dxa"/>
            <w:vAlign w:val="center"/>
          </w:tcPr>
          <w:p>
            <w:pPr>
              <w:pStyle w:val="11"/>
            </w:pPr>
            <w:r>
              <w:t>25.89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10.60</w:t>
            </w:r>
          </w:p>
        </w:tc>
        <w:tc>
          <w:tcPr>
            <w:tcW w:w="2551" w:type="dxa"/>
            <w:vAlign w:val="center"/>
          </w:tcPr>
          <w:p>
            <w:pPr>
              <w:pStyle w:val="11"/>
            </w:pPr>
            <w:r>
              <w:t>10.60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5.25</w:t>
            </w:r>
          </w:p>
        </w:tc>
        <w:tc>
          <w:tcPr>
            <w:tcW w:w="2551" w:type="dxa"/>
            <w:vAlign w:val="center"/>
          </w:tcPr>
          <w:p>
            <w:pPr>
              <w:pStyle w:val="11"/>
            </w:pPr>
            <w:r>
              <w:t>5.25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0.35</w:t>
            </w:r>
          </w:p>
        </w:tc>
        <w:tc>
          <w:tcPr>
            <w:tcW w:w="2551" w:type="dxa"/>
            <w:vAlign w:val="center"/>
          </w:tcPr>
          <w:p>
            <w:pPr>
              <w:pStyle w:val="11"/>
            </w:pPr>
            <w:r>
              <w:t>0.35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8.00</w:t>
            </w:r>
          </w:p>
        </w:tc>
        <w:tc>
          <w:tcPr>
            <w:tcW w:w="2551" w:type="dxa"/>
            <w:vAlign w:val="center"/>
          </w:tcPr>
          <w:p>
            <w:pPr>
              <w:pStyle w:val="11"/>
            </w:pPr>
            <w:r>
              <w:t>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9.66</w:t>
            </w:r>
          </w:p>
        </w:tc>
        <w:tc>
          <w:tcPr>
            <w:tcW w:w="2551" w:type="dxa"/>
            <w:vAlign w:val="center"/>
          </w:tcPr>
          <w:p>
            <w:pPr>
              <w:pStyle w:val="11"/>
            </w:pPr>
          </w:p>
        </w:tc>
        <w:tc>
          <w:tcPr>
            <w:tcW w:w="2551" w:type="dxa"/>
            <w:vAlign w:val="center"/>
          </w:tcPr>
          <w:p>
            <w:pPr>
              <w:pStyle w:val="11"/>
            </w:pPr>
            <w:r>
              <w:t>9.66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1.86</w:t>
            </w:r>
          </w:p>
        </w:tc>
        <w:tc>
          <w:tcPr>
            <w:tcW w:w="2551" w:type="dxa"/>
            <w:vAlign w:val="center"/>
          </w:tcPr>
          <w:p>
            <w:pPr>
              <w:pStyle w:val="11"/>
            </w:pPr>
          </w:p>
        </w:tc>
        <w:tc>
          <w:tcPr>
            <w:tcW w:w="2551" w:type="dxa"/>
            <w:vAlign w:val="center"/>
          </w:tcPr>
          <w:p>
            <w:pPr>
              <w:pStyle w:val="11"/>
            </w:pPr>
            <w:r>
              <w:t>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0.11</w:t>
            </w:r>
          </w:p>
        </w:tc>
        <w:tc>
          <w:tcPr>
            <w:tcW w:w="2551" w:type="dxa"/>
            <w:vAlign w:val="center"/>
          </w:tcPr>
          <w:p>
            <w:pPr>
              <w:pStyle w:val="11"/>
            </w:pPr>
          </w:p>
        </w:tc>
        <w:tc>
          <w:tcPr>
            <w:tcW w:w="2551" w:type="dxa"/>
            <w:vAlign w:val="center"/>
          </w:tcPr>
          <w:p>
            <w:pPr>
              <w:pStyle w:val="11"/>
            </w:pPr>
            <w:r>
              <w:t>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6.06</w:t>
            </w:r>
          </w:p>
        </w:tc>
        <w:tc>
          <w:tcPr>
            <w:tcW w:w="2551" w:type="dxa"/>
            <w:vAlign w:val="center"/>
          </w:tcPr>
          <w:p>
            <w:pPr>
              <w:pStyle w:val="11"/>
            </w:pPr>
          </w:p>
        </w:tc>
        <w:tc>
          <w:tcPr>
            <w:tcW w:w="2551" w:type="dxa"/>
            <w:vAlign w:val="center"/>
          </w:tcPr>
          <w:p>
            <w:pPr>
              <w:pStyle w:val="11"/>
            </w:pPr>
            <w:r>
              <w:t>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0.83</w:t>
            </w:r>
          </w:p>
        </w:tc>
        <w:tc>
          <w:tcPr>
            <w:tcW w:w="2551" w:type="dxa"/>
            <w:vAlign w:val="center"/>
          </w:tcPr>
          <w:p>
            <w:pPr>
              <w:pStyle w:val="11"/>
            </w:pPr>
          </w:p>
        </w:tc>
        <w:tc>
          <w:tcPr>
            <w:tcW w:w="2551" w:type="dxa"/>
            <w:vAlign w:val="center"/>
          </w:tcPr>
          <w:p>
            <w:pPr>
              <w:pStyle w:val="11"/>
            </w:pPr>
            <w:r>
              <w:t>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0.98</w:t>
            </w:r>
          </w:p>
        </w:tc>
        <w:tc>
          <w:tcPr>
            <w:tcW w:w="2551" w:type="dxa"/>
            <w:vAlign w:val="center"/>
          </w:tcPr>
          <w:p>
            <w:pPr>
              <w:pStyle w:val="11"/>
            </w:pPr>
            <w:r>
              <w:t>0.98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0.98</w:t>
            </w:r>
          </w:p>
        </w:tc>
        <w:tc>
          <w:tcPr>
            <w:tcW w:w="2551" w:type="dxa"/>
            <w:vAlign w:val="center"/>
          </w:tcPr>
          <w:p>
            <w:pPr>
              <w:pStyle w:val="11"/>
            </w:pPr>
            <w:r>
              <w:t>0.98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818001隆尧县柳行农场事务中心本级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815.65</w:t>
            </w:r>
          </w:p>
        </w:tc>
        <w:tc>
          <w:tcPr>
            <w:tcW w:w="2551" w:type="dxa"/>
            <w:vAlign w:val="center"/>
          </w:tcPr>
          <w:p>
            <w:pPr>
              <w:pStyle w:val="15"/>
            </w:pPr>
          </w:p>
        </w:tc>
        <w:tc>
          <w:tcPr>
            <w:tcW w:w="2551" w:type="dxa"/>
            <w:vAlign w:val="center"/>
          </w:tcPr>
          <w:p>
            <w:pPr>
              <w:pStyle w:val="15"/>
            </w:pPr>
            <w:r>
              <w:t>815.65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815.65</w:t>
            </w:r>
          </w:p>
        </w:tc>
        <w:tc>
          <w:tcPr>
            <w:tcW w:w="2551" w:type="dxa"/>
            <w:vAlign w:val="center"/>
          </w:tcPr>
          <w:p>
            <w:pPr>
              <w:pStyle w:val="11"/>
            </w:pPr>
          </w:p>
        </w:tc>
        <w:tc>
          <w:tcPr>
            <w:tcW w:w="2551" w:type="dxa"/>
            <w:vAlign w:val="center"/>
          </w:tcPr>
          <w:p>
            <w:pPr>
              <w:pStyle w:val="11"/>
            </w:pPr>
            <w:r>
              <w:t>815.65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815.65</w:t>
            </w:r>
          </w:p>
        </w:tc>
        <w:tc>
          <w:tcPr>
            <w:tcW w:w="2551" w:type="dxa"/>
            <w:vAlign w:val="center"/>
          </w:tcPr>
          <w:p>
            <w:pPr>
              <w:pStyle w:val="11"/>
            </w:pPr>
          </w:p>
        </w:tc>
        <w:tc>
          <w:tcPr>
            <w:tcW w:w="2551" w:type="dxa"/>
            <w:vAlign w:val="center"/>
          </w:tcPr>
          <w:p>
            <w:pPr>
              <w:pStyle w:val="11"/>
            </w:pPr>
            <w:r>
              <w:t>815.65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2120801</w:t>
            </w:r>
          </w:p>
        </w:tc>
        <w:tc>
          <w:tcPr>
            <w:tcW w:w="4535" w:type="dxa"/>
            <w:vAlign w:val="center"/>
          </w:tcPr>
          <w:p>
            <w:pPr>
              <w:pStyle w:val="12"/>
            </w:pPr>
            <w:r>
              <w:t>征地和拆迁补偿支出</w:t>
            </w:r>
          </w:p>
        </w:tc>
        <w:tc>
          <w:tcPr>
            <w:tcW w:w="2551" w:type="dxa"/>
            <w:vAlign w:val="center"/>
          </w:tcPr>
          <w:p>
            <w:pPr>
              <w:pStyle w:val="11"/>
            </w:pPr>
            <w:r>
              <w:t>815.65</w:t>
            </w:r>
          </w:p>
        </w:tc>
        <w:tc>
          <w:tcPr>
            <w:tcW w:w="2551" w:type="dxa"/>
            <w:vAlign w:val="center"/>
          </w:tcPr>
          <w:p>
            <w:pPr>
              <w:pStyle w:val="11"/>
            </w:pPr>
          </w:p>
        </w:tc>
        <w:tc>
          <w:tcPr>
            <w:tcW w:w="2551" w:type="dxa"/>
            <w:vAlign w:val="center"/>
          </w:tcPr>
          <w:p>
            <w:pPr>
              <w:pStyle w:val="11"/>
            </w:pPr>
            <w:r>
              <w:t>815.65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818001隆尧县柳行农场事务中心本级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818001隆尧县柳行农场事务中心本级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隆尧县柳行农场事务中心本级2026年单位预算信息公开情况说明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按照《中华人民共和国预算法》、《地方预决算公开操作规程》和《关于进一步推进预算公开工作的实施意见》规定，现将隆尧县柳行农场事务中心本级2026年单位预算公开如下：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2"/>
      </w:pPr>
      <w:r>
        <w:rPr>
          <w:rFonts w:hint="eastAsia"/>
        </w:rPr>
        <w:t>柳行农场事务中心主要职责：按照有关法律、法规和政策规定，承担柳行农场改革的具体事务性工作；承担柳行农场区域内的社会事务管理的辅助性工作；协调处理企业与属地关系；协助经济开发区完成招商引资工作；承担县委、县政府交办的其他相关具体事务性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隆尧县柳行农场事务中心本级</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2"/>
      </w:pPr>
      <w:r>
        <w:t>1、收入说明</w:t>
      </w:r>
    </w:p>
    <w:p>
      <w:pPr>
        <w:pStyle w:val="22"/>
      </w:pPr>
      <w:r>
        <w:t>反映本部门当年全部收入。2026年预算收入1044.55万元，其中：一般公共预算收入228.89万元，政府性基金预算收入815.65万元，国有资本经营预算收入0万元，财政专户核拨收入0万元，单位资金收入0万元，上年结转0万元。</w:t>
      </w:r>
    </w:p>
    <w:p>
      <w:pPr>
        <w:pStyle w:val="22"/>
      </w:pPr>
      <w:r>
        <w:t>2、支出说明</w:t>
      </w:r>
    </w:p>
    <w:p>
      <w:pPr>
        <w:pStyle w:val="22"/>
      </w:pPr>
      <w:r>
        <w:t>收支预算总表支出栏、基本支出表、项目支出表按经济分类和支出功能分类科目编制，反映隆尧县柳行农场事务中心部门预算中支出预算的总体情况。2026年支出预算1044.55万元，其中基本支出110.89万元，包括人员经费101.23万元和日常公用经费9.66万元；项目支出933.65万元，主要为城乡社区支出815.65万元，农林水支出和农村综合改革118万元。</w:t>
      </w:r>
    </w:p>
    <w:p>
      <w:pPr>
        <w:pStyle w:val="22"/>
      </w:pPr>
      <w:r>
        <w:t>3、比上年增减情况</w:t>
      </w:r>
    </w:p>
    <w:p>
      <w:pPr>
        <w:pStyle w:val="22"/>
      </w:pPr>
      <w:r>
        <w:t>2026年预算收支安排1044.55万元,较2025年预算减少了8.6万元，其中：基本支出减少了8.61万元，主要为减少了人员经费和日常公用经费支出。</w:t>
      </w:r>
    </w:p>
    <w:p>
      <w:pPr>
        <w:pStyle w:val="18"/>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三、机关运行经费安排情况</w:t>
      </w:r>
    </w:p>
    <w:p>
      <w:pPr>
        <w:spacing w:before="10" w:after="10" w:line="240" w:lineRule="auto"/>
        <w:ind w:firstLine="640"/>
        <w:jc w:val="left"/>
        <w:outlineLvl w:val="5"/>
        <w:rPr>
          <w:rFonts w:ascii="黑体" w:hAnsi="黑体" w:eastAsia="黑体" w:cs="黑体"/>
          <w:color w:val="000000"/>
          <w:sz w:val="32"/>
        </w:rPr>
      </w:pPr>
    </w:p>
    <w:p>
      <w:pPr>
        <w:pStyle w:val="23"/>
      </w:pPr>
      <w:r>
        <w:t>机关运行经费安排情况</w:t>
      </w:r>
    </w:p>
    <w:p>
      <w:pPr>
        <w:pStyle w:val="23"/>
      </w:pPr>
      <w:r>
        <w:t>2026年，我部门机关运行经费共计安排9.66万元，主要用于办公费、印刷费、电费、邮电费、其他商品和服务支出等日常运行支出。</w:t>
      </w:r>
    </w:p>
    <w:p>
      <w:pPr>
        <w:pStyle w:val="19"/>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四、财政拨款“三公”经费预算情况及增减变化原因</w:t>
      </w:r>
    </w:p>
    <w:p>
      <w:pPr>
        <w:spacing w:before="10" w:after="10" w:line="240" w:lineRule="auto"/>
        <w:ind w:firstLine="640"/>
        <w:jc w:val="left"/>
        <w:outlineLvl w:val="5"/>
        <w:rPr>
          <w:rFonts w:ascii="黑体" w:hAnsi="黑体" w:eastAsia="黑体" w:cs="黑体"/>
          <w:color w:val="000000"/>
          <w:sz w:val="32"/>
        </w:rPr>
      </w:pPr>
    </w:p>
    <w:p>
      <w:pPr>
        <w:pStyle w:val="24"/>
      </w:pPr>
      <w:r>
        <w:t>财政拨款“三公”经费预算情况及增减变化原因</w:t>
      </w:r>
    </w:p>
    <w:p>
      <w:pPr>
        <w:pStyle w:val="24"/>
      </w:pPr>
      <w:r>
        <w:t>2026年，我部门财政拨款“三公”经费预算安排0万元，其中因公出国（境）费0万元；公务用车购置及运维费0万元（其中：公务用车购置费为0万元，公务用车运行维护费0万元)；公务接待费0万元。和2025年预算相比持平。</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rPr>
          <w:rFonts w:ascii="黑体" w:hAnsi="黑体" w:eastAsia="黑体" w:cs="黑体"/>
          <w:color w:val="000000"/>
          <w:sz w:val="32"/>
        </w:rPr>
      </w:pP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5"/>
      </w:pPr>
      <w:r>
        <w:t>2026年工作目标</w:t>
      </w:r>
    </w:p>
    <w:p>
      <w:pPr>
        <w:pStyle w:val="25"/>
      </w:pPr>
      <w:r>
        <w:t>一、2026年重点工作谋划</w:t>
      </w:r>
    </w:p>
    <w:p>
      <w:pPr>
        <w:pStyle w:val="25"/>
      </w:pPr>
      <w:r>
        <w:t>1、打造现代化育种育苗基地。聚焦优质、高效种苗培育，整合资源搭建产学研融合平台，提升种苗繁育技术水平与规模化供应能力，辐射带动北方地区农业种植产业升级。</w:t>
      </w:r>
    </w:p>
    <w:p>
      <w:pPr>
        <w:pStyle w:val="25"/>
      </w:pPr>
      <w:r>
        <w:t>2、建设现代农业先进装备制造示范农场。聚焦农业机械化、智能化发展需求，推动装备制造与农业生产深度融合，提升农场综合竞争力。</w:t>
      </w:r>
    </w:p>
    <w:p>
      <w:pPr>
        <w:pStyle w:val="25"/>
      </w:pPr>
      <w:r>
        <w:t>3、打造河北省规模最大、标准最高的鸡腿大葱繁种育苗与种植基地。建立鸡腿大葱标准化繁种、育苗、种植体系，强化品种提纯与品质提升，形成“品种+农户+品牌”的产业优势。</w:t>
      </w:r>
    </w:p>
    <w:p>
      <w:pPr>
        <w:pStyle w:val="25"/>
      </w:pPr>
      <w:r>
        <w:t>4、共建河北省农科院标准化种植试验示范基地。深化与省农科院的合作，承接农业新技术、新品种试验示范项目，打造集科研、示范、推广于一体的标准化农业发展载体。</w:t>
      </w:r>
    </w:p>
    <w:p>
      <w:pPr>
        <w:pStyle w:val="25"/>
      </w:pPr>
      <w:r>
        <w:t>5、创建省级农业示范园区。以现代农业发展为核心，整合育种育苗、特色种植、装备制造等产业资源，完善基础设施与配套服务，打造产业集聚、技术先进、绿色生态的省级农业示范标杆。</w:t>
      </w:r>
    </w:p>
    <w:p>
      <w:pPr>
        <w:pStyle w:val="25"/>
      </w:pPr>
      <w:r>
        <w:t>6、建设有机及功能性农产品种植基地。坚守绿色有机发展理念，构建有机农产品标准化种植体系，同时拓展富硒、富锌等功能性农产品种植，满足市场高端化、多元化消费需求。</w:t>
      </w:r>
    </w:p>
    <w:p>
      <w:pPr>
        <w:pStyle w:val="25"/>
      </w:pPr>
      <w:r>
        <w:t>二、2026年重点工作</w:t>
      </w:r>
    </w:p>
    <w:p>
      <w:pPr>
        <w:pStyle w:val="25"/>
      </w:pPr>
      <w:r>
        <w:t>1、完善育种育苗大棚基础设施，聚焦种苗品质提升，联合农业部门，大力推广“一村一品”发展，培育特色种苗品牌，提升品牌影响力与市场竞争力，带动农户提升种植效益，稳步扩大育苗产业规模，夯实产业优势。</w:t>
      </w:r>
    </w:p>
    <w:p>
      <w:pPr>
        <w:pStyle w:val="25"/>
      </w:pPr>
      <w:r>
        <w:t>2、深化与省、市农科院专家合作，对鸡腿大葱品种提纯复壮，提升品种纯度与优良性状。引入机械化、智能化种植设备，扩大高纯度鸡腿大葱种植面积，提高特色品种产业效益。</w:t>
      </w:r>
    </w:p>
    <w:p>
      <w:pPr>
        <w:pStyle w:val="25"/>
      </w:pPr>
      <w:r>
        <w:t>3、巩固现有有机农田认证成果，规范有机种植管理标准。新增百亩以上有机土地面积；拓展300亩以上富硒农产品种植。</w:t>
      </w:r>
    </w:p>
    <w:p>
      <w:pPr>
        <w:pStyle w:val="25"/>
      </w:pPr>
      <w:r>
        <w:t>4、加大优质种苗培育力度。重点繁育适配尧山绿化及乡村美化的种苗。保障种苗数量充足、品质优良。建立种苗精准供应机制，助力区域生态绿化与乡村振兴工作。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6"/>
      </w:pPr>
      <w:r>
        <w:t>2026年工作目标</w:t>
      </w:r>
    </w:p>
    <w:p>
      <w:pPr>
        <w:pStyle w:val="26"/>
      </w:pPr>
      <w:r>
        <w:t> 一、2026年重点工作谋划</w:t>
      </w:r>
    </w:p>
    <w:p>
      <w:pPr>
        <w:pStyle w:val="26"/>
      </w:pPr>
      <w:r>
        <w:t>1、打造现代化育种育苗基地。聚焦优质、高效种苗培育，整合资源搭建产学研融合平台，提升种苗繁育技术水平与规模化供应能力，辐射带动北方地区农业种植产业升级。</w:t>
      </w:r>
    </w:p>
    <w:p>
      <w:pPr>
        <w:pStyle w:val="26"/>
      </w:pPr>
      <w:r>
        <w:t>2、建设现代农业先进装备制造示范农场。聚焦农业机械化、智能化发展需求，推动装备制造与农业生产深度融合，提升农场综合竞争力。</w:t>
      </w:r>
    </w:p>
    <w:p>
      <w:pPr>
        <w:pStyle w:val="26"/>
      </w:pPr>
      <w:r>
        <w:t>3、打造河北省规模最大、标准最高的鸡腿大葱繁种育苗与种植基地。建立鸡腿大葱标准化繁种、育苗、种植体系，强化品种提纯与品质提升，形成“品种+农户+品牌”的产业优势。</w:t>
      </w:r>
    </w:p>
    <w:p>
      <w:pPr>
        <w:pStyle w:val="26"/>
      </w:pPr>
      <w:r>
        <w:t>4、共建河北省农科院标准化种植试验示范基地。深化与省农科院的合作，承接农业新技术、新品种试验示范项目，打造集科研、示范、推广于一体的标准化农业发展载体。</w:t>
      </w:r>
    </w:p>
    <w:p>
      <w:pPr>
        <w:pStyle w:val="26"/>
      </w:pPr>
      <w:r>
        <w:t>5、创建省级农业示范园区。以现代农业发展为核心，整合育种育苗、特色种植、装备制造等产业资源，完善基础设施与配套服务，打造产业集聚、技术先进、绿色生态的省级农业示范标杆。</w:t>
      </w:r>
    </w:p>
    <w:p>
      <w:pPr>
        <w:pStyle w:val="26"/>
      </w:pPr>
      <w:r>
        <w:t>6、建设有机及功能性农产品种植基地。坚守绿色有机发展理念，构建有机农产品标准化种植体系，同时拓展富硒、富锌等功能性农产品种植，满足市场高端化、多元化消费需求。</w:t>
      </w:r>
    </w:p>
    <w:p>
      <w:pPr>
        <w:pStyle w:val="26"/>
      </w:pPr>
      <w:r>
        <w:t>二、2026年重点工作</w:t>
      </w:r>
    </w:p>
    <w:p>
      <w:pPr>
        <w:pStyle w:val="26"/>
      </w:pPr>
      <w:r>
        <w:t>1、完善育种育苗大棚基础设施，聚焦种苗品质提升，联合农业部门，大力推广“一村一品”发展，培育特色种苗品牌，提升品牌影响力与市场竞争力，带动农户提升种植效益，稳步扩大育苗产业规模，夯实产业优势。</w:t>
      </w:r>
    </w:p>
    <w:p>
      <w:pPr>
        <w:pStyle w:val="26"/>
      </w:pPr>
      <w:r>
        <w:t>2、深化与省、市农科院专家合作，对鸡腿大葱品种提纯复壮，提升品种纯度与优良性状。引入机械化、智能化种植设备，扩大高纯度鸡腿大葱种植面积，提高特色品种产业效益。</w:t>
      </w:r>
    </w:p>
    <w:p>
      <w:pPr>
        <w:pStyle w:val="26"/>
      </w:pPr>
      <w:r>
        <w:t>3、巩固现有有机农田认证成果，规范有机种植管理标准。新增百亩以上有机土地面积；拓展300亩以上富硒农产品种植。</w:t>
      </w:r>
    </w:p>
    <w:p>
      <w:pPr>
        <w:pStyle w:val="26"/>
      </w:pPr>
      <w:r>
        <w:t>4、加大优质种苗培育力度。重点繁育适配尧山绿化及乡村美化的种苗。保障种苗数量充足、品质优良。建立种苗精准供应机制，助力区域生态绿化与乡村振兴工作。</w:t>
      </w:r>
    </w:p>
    <w:p>
      <w:pPr>
        <w:pStyle w:val="26"/>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7"/>
      </w:pPr>
      <w:r>
        <w:t>工作保障</w:t>
      </w:r>
    </w:p>
    <w:p>
      <w:pPr>
        <w:pStyle w:val="27"/>
      </w:pPr>
      <w:r>
        <w:t>（一）加强基层党组织建设，提高党组织的凝聚力和战斗力。按照上级有关要求，成立完善了离退休和企业两个基层支部，增强党的引领作用。目前柳行农场共有基层党组织4个，党员60名，其中在职党员28名。</w:t>
      </w:r>
    </w:p>
    <w:p>
      <w:pPr>
        <w:pStyle w:val="27"/>
      </w:pPr>
      <w:r>
        <w:t>（二）加强学习教育，提高广大党员政治素质。以第二批学习贯彻习近平新时代中国特色社会主义思想主题教育为契机，加强党员的学习教育，使广大党员在深学细照笃行中提高理论素养、坚定理想信念、升华觉悟境界、增强能力本领，夯实坚定拥护“两个确立”、坚决做到“两个维护”的思想根基。</w:t>
      </w:r>
    </w:p>
    <w:p>
      <w:pPr>
        <w:spacing w:before="10" w:after="10" w:line="240" w:lineRule="auto"/>
        <w:ind w:firstLine="640"/>
        <w:jc w:val="left"/>
        <w:outlineLvl w:val="5"/>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三）加强党风廉政建设，提高党员干部的廉洁自律意识。在广大党员干部中开展廉洁教育，通过组织参观廉政教育基地，开展警示教育、重要节前集体廉政谈话等活动，引导广大党员干部树立正确的权力观、利益观和道德观，自觉抵制各种诱惑，做到廉洁奉公。</w:t>
      </w:r>
    </w:p>
    <w:p>
      <w:pPr>
        <w:spacing w:before="10" w:after="10" w:line="240" w:lineRule="auto"/>
        <w:ind w:firstLine="640"/>
        <w:jc w:val="left"/>
        <w:outlineLvl w:val="5"/>
        <w:rPr>
          <w:rFonts w:ascii="Times New Roman" w:hAnsi="Times New Roman" w:eastAsia="方正仿宋_GBK" w:cs="Times New Roman"/>
          <w:sz w:val="28"/>
          <w:szCs w:val="24"/>
          <w:lang w:val="en-US" w:eastAsia="uk-UA" w:bidi="ar-SA"/>
        </w:rPr>
      </w:pPr>
    </w:p>
    <w:p>
      <w:pPr>
        <w:spacing w:before="10" w:after="10" w:line="240" w:lineRule="auto"/>
        <w:ind w:firstLine="640"/>
        <w:jc w:val="left"/>
        <w:outlineLvl w:val="5"/>
        <w:rPr>
          <w:rFonts w:ascii="Times New Roman" w:hAnsi="Times New Roman" w:eastAsia="方正仿宋_GBK" w:cs="Times New Roman"/>
          <w:sz w:val="28"/>
          <w:szCs w:val="24"/>
          <w:lang w:val="en-US" w:eastAsia="uk-UA" w:bidi="ar-SA"/>
        </w:rPr>
      </w:pPr>
    </w:p>
    <w:p>
      <w:pPr>
        <w:spacing w:before="0" w:after="0"/>
        <w:ind w:firstLine="560"/>
        <w:jc w:val="left"/>
        <w:outlineLvl w:val="9"/>
      </w:pPr>
      <w:bookmarkStart w:id="1" w:name="_GoBack"/>
      <w:bookmarkEnd w:id="1"/>
      <w:r>
        <w:rPr>
          <w:rFonts w:ascii="方正仿宋_GBK" w:hAnsi="方正仿宋_GBK" w:eastAsia="方正仿宋_GBK" w:cs="方正仿宋_GBK"/>
          <w:b/>
          <w:color w:val="000000"/>
          <w:sz w:val="28"/>
        </w:rPr>
        <w:t>1、土地出让金/占地补偿绩效目标表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13052526P00005110029R</w:t>
            </w:r>
          </w:p>
        </w:tc>
        <w:tc>
          <w:tcPr>
            <w:tcW w:w="2835" w:type="dxa"/>
            <w:vAlign w:val="center"/>
          </w:tcPr>
          <w:p>
            <w:pPr>
              <w:pStyle w:val="10"/>
            </w:pPr>
            <w:r>
              <w:t>项目名称</w:t>
            </w:r>
          </w:p>
        </w:tc>
        <w:tc>
          <w:tcPr>
            <w:tcW w:w="6095" w:type="dxa"/>
            <w:gridSpan w:val="3"/>
            <w:vAlign w:val="center"/>
          </w:tcPr>
          <w:p>
            <w:pPr>
              <w:pStyle w:val="12"/>
            </w:pPr>
            <w:r>
              <w:t>土地出让金/占地补偿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815.65</w:t>
            </w:r>
          </w:p>
        </w:tc>
        <w:tc>
          <w:tcPr>
            <w:tcW w:w="2835" w:type="dxa"/>
            <w:vAlign w:val="center"/>
          </w:tcPr>
          <w:p>
            <w:pPr>
              <w:pStyle w:val="10"/>
            </w:pPr>
            <w:r>
              <w:t>其中：财政    资金</w:t>
            </w:r>
          </w:p>
        </w:tc>
        <w:tc>
          <w:tcPr>
            <w:tcW w:w="2551" w:type="dxa"/>
            <w:vAlign w:val="center"/>
          </w:tcPr>
          <w:p>
            <w:pPr>
              <w:pStyle w:val="12"/>
            </w:pPr>
            <w:r>
              <w:t>815.65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2026年占地补偿费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1.2026年度占地补偿费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占地补偿费</w:t>
            </w:r>
          </w:p>
        </w:tc>
        <w:tc>
          <w:tcPr>
            <w:tcW w:w="5386" w:type="dxa"/>
            <w:vAlign w:val="center"/>
          </w:tcPr>
          <w:p>
            <w:pPr>
              <w:pStyle w:val="12"/>
            </w:pPr>
            <w:r>
              <w:t>占地补偿费</w:t>
            </w:r>
          </w:p>
        </w:tc>
        <w:tc>
          <w:tcPr>
            <w:tcW w:w="2268" w:type="dxa"/>
            <w:vAlign w:val="center"/>
          </w:tcPr>
          <w:p>
            <w:pPr>
              <w:pStyle w:val="12"/>
            </w:pPr>
            <w:r>
              <w:t>≥815.65万元</w:t>
            </w:r>
          </w:p>
        </w:tc>
        <w:tc>
          <w:tcPr>
            <w:tcW w:w="1276" w:type="dxa"/>
            <w:vAlign w:val="center"/>
          </w:tcPr>
          <w:p>
            <w:pPr>
              <w:pStyle w:val="12"/>
            </w:pPr>
            <w:r>
              <w:t>全部发放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占地补偿发放准确率</w:t>
            </w:r>
          </w:p>
        </w:tc>
        <w:tc>
          <w:tcPr>
            <w:tcW w:w="5386" w:type="dxa"/>
            <w:vAlign w:val="center"/>
          </w:tcPr>
          <w:p>
            <w:pPr>
              <w:pStyle w:val="12"/>
            </w:pPr>
            <w:r>
              <w:t>占地补偿发放准确率</w:t>
            </w:r>
          </w:p>
        </w:tc>
        <w:tc>
          <w:tcPr>
            <w:tcW w:w="2268" w:type="dxa"/>
            <w:vAlign w:val="center"/>
          </w:tcPr>
          <w:p>
            <w:pPr>
              <w:pStyle w:val="12"/>
            </w:pPr>
            <w:r>
              <w:t>100%</w:t>
            </w:r>
          </w:p>
        </w:tc>
        <w:tc>
          <w:tcPr>
            <w:tcW w:w="1276" w:type="dxa"/>
            <w:vAlign w:val="center"/>
          </w:tcPr>
          <w:p>
            <w:pPr>
              <w:pStyle w:val="12"/>
            </w:pPr>
            <w:r>
              <w:t>依据发放差异率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及时支付率</w:t>
            </w:r>
          </w:p>
        </w:tc>
        <w:tc>
          <w:tcPr>
            <w:tcW w:w="5386" w:type="dxa"/>
            <w:vAlign w:val="center"/>
          </w:tcPr>
          <w:p>
            <w:pPr>
              <w:pStyle w:val="12"/>
            </w:pPr>
            <w:r>
              <w:t>及时支付率</w:t>
            </w:r>
          </w:p>
        </w:tc>
        <w:tc>
          <w:tcPr>
            <w:tcW w:w="2268" w:type="dxa"/>
            <w:vAlign w:val="center"/>
          </w:tcPr>
          <w:p>
            <w:pPr>
              <w:pStyle w:val="12"/>
            </w:pPr>
            <w:r>
              <w:t>按时间节点支付</w:t>
            </w:r>
          </w:p>
        </w:tc>
        <w:tc>
          <w:tcPr>
            <w:tcW w:w="1276" w:type="dxa"/>
            <w:vAlign w:val="center"/>
          </w:tcPr>
          <w:p>
            <w:pPr>
              <w:pStyle w:val="12"/>
            </w:pPr>
            <w:r>
              <w:t>依据实际发放到位的时间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亩均补助标准</w:t>
            </w:r>
          </w:p>
        </w:tc>
        <w:tc>
          <w:tcPr>
            <w:tcW w:w="5386" w:type="dxa"/>
            <w:vAlign w:val="center"/>
          </w:tcPr>
          <w:p>
            <w:pPr>
              <w:pStyle w:val="12"/>
            </w:pPr>
            <w:r>
              <w:t>亩均补助标准</w:t>
            </w:r>
          </w:p>
        </w:tc>
        <w:tc>
          <w:tcPr>
            <w:tcW w:w="2268" w:type="dxa"/>
            <w:vAlign w:val="center"/>
          </w:tcPr>
          <w:p>
            <w:pPr>
              <w:pStyle w:val="12"/>
            </w:pPr>
            <w:r>
              <w:t>2340元</w:t>
            </w:r>
          </w:p>
        </w:tc>
        <w:tc>
          <w:tcPr>
            <w:tcW w:w="1276" w:type="dxa"/>
            <w:vAlign w:val="center"/>
          </w:tcPr>
          <w:p>
            <w:pPr>
              <w:pStyle w:val="12"/>
            </w:pPr>
            <w:r>
              <w:t>依据实际支付亩均标准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占地补偿费</w:t>
            </w:r>
          </w:p>
        </w:tc>
        <w:tc>
          <w:tcPr>
            <w:tcW w:w="5386" w:type="dxa"/>
            <w:vAlign w:val="center"/>
          </w:tcPr>
          <w:p>
            <w:pPr>
              <w:pStyle w:val="12"/>
            </w:pPr>
            <w:r>
              <w:t>占地补偿费</w:t>
            </w:r>
          </w:p>
        </w:tc>
        <w:tc>
          <w:tcPr>
            <w:tcW w:w="2268" w:type="dxa"/>
            <w:vAlign w:val="center"/>
          </w:tcPr>
          <w:p>
            <w:pPr>
              <w:pStyle w:val="12"/>
            </w:pPr>
            <w:r>
              <w:t>100%</w:t>
            </w:r>
          </w:p>
        </w:tc>
        <w:tc>
          <w:tcPr>
            <w:tcW w:w="1276" w:type="dxa"/>
            <w:vAlign w:val="center"/>
          </w:tcPr>
          <w:p>
            <w:pPr>
              <w:pStyle w:val="12"/>
            </w:pPr>
            <w:r>
              <w:t>提高职工生活质量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提高职工生活质量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2、转移支付绩效目标表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13052526P00000110062U</w:t>
            </w:r>
          </w:p>
        </w:tc>
        <w:tc>
          <w:tcPr>
            <w:tcW w:w="2835" w:type="dxa"/>
            <w:vAlign w:val="center"/>
          </w:tcPr>
          <w:p>
            <w:pPr>
              <w:pStyle w:val="10"/>
            </w:pPr>
            <w:r>
              <w:t>项目名称</w:t>
            </w:r>
          </w:p>
        </w:tc>
        <w:tc>
          <w:tcPr>
            <w:tcW w:w="6095" w:type="dxa"/>
            <w:gridSpan w:val="3"/>
            <w:vAlign w:val="center"/>
          </w:tcPr>
          <w:p>
            <w:pPr>
              <w:pStyle w:val="12"/>
            </w:pPr>
            <w:r>
              <w:t>转移支付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118.00</w:t>
            </w:r>
          </w:p>
        </w:tc>
        <w:tc>
          <w:tcPr>
            <w:tcW w:w="2835" w:type="dxa"/>
            <w:vAlign w:val="center"/>
          </w:tcPr>
          <w:p>
            <w:pPr>
              <w:pStyle w:val="10"/>
            </w:pPr>
            <w:r>
              <w:t>其中：财政    资金</w:t>
            </w:r>
          </w:p>
        </w:tc>
        <w:tc>
          <w:tcPr>
            <w:tcW w:w="2551" w:type="dxa"/>
            <w:vAlign w:val="center"/>
          </w:tcPr>
          <w:p>
            <w:pPr>
              <w:pStyle w:val="12"/>
            </w:pPr>
            <w:r>
              <w:t>118.00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柳行农场缴纳2026年职工养老保险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1.目标内容1柳行农场缴纳2026年职工养老保险费</w:t>
            </w:r>
          </w:p>
          <w:p>
            <w:pPr>
              <w:pStyle w:val="12"/>
            </w:pPr>
            <w:r>
              <w:t>2.目标内容2职工受益，提高生活质量。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受益人数</w:t>
            </w:r>
          </w:p>
        </w:tc>
        <w:tc>
          <w:tcPr>
            <w:tcW w:w="5386" w:type="dxa"/>
            <w:vAlign w:val="center"/>
          </w:tcPr>
          <w:p>
            <w:pPr>
              <w:pStyle w:val="12"/>
            </w:pPr>
            <w:r>
              <w:t>柳行农场职工受益人数</w:t>
            </w:r>
          </w:p>
        </w:tc>
        <w:tc>
          <w:tcPr>
            <w:tcW w:w="2268" w:type="dxa"/>
            <w:vAlign w:val="center"/>
          </w:tcPr>
          <w:p>
            <w:pPr>
              <w:pStyle w:val="12"/>
            </w:pPr>
            <w:r>
              <w:t>≥100人</w:t>
            </w:r>
          </w:p>
        </w:tc>
        <w:tc>
          <w:tcPr>
            <w:tcW w:w="1276" w:type="dxa"/>
            <w:vAlign w:val="center"/>
          </w:tcPr>
          <w:p>
            <w:pPr>
              <w:pStyle w:val="12"/>
            </w:pPr>
            <w:r>
              <w:t>实际受益人数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补贴人数与应补贴人数</w:t>
            </w:r>
          </w:p>
        </w:tc>
        <w:tc>
          <w:tcPr>
            <w:tcW w:w="5386" w:type="dxa"/>
            <w:vAlign w:val="center"/>
          </w:tcPr>
          <w:p>
            <w:pPr>
              <w:pStyle w:val="12"/>
            </w:pPr>
            <w:r>
              <w:t>补贴人数与应补贴人数</w:t>
            </w:r>
          </w:p>
        </w:tc>
        <w:tc>
          <w:tcPr>
            <w:tcW w:w="2268" w:type="dxa"/>
            <w:vAlign w:val="center"/>
          </w:tcPr>
          <w:p>
            <w:pPr>
              <w:pStyle w:val="12"/>
            </w:pPr>
            <w:r>
              <w:t>100%</w:t>
            </w:r>
          </w:p>
        </w:tc>
        <w:tc>
          <w:tcPr>
            <w:tcW w:w="1276" w:type="dxa"/>
            <w:vAlign w:val="center"/>
          </w:tcPr>
          <w:p>
            <w:pPr>
              <w:pStyle w:val="12"/>
            </w:pPr>
            <w:r>
              <w:t>实际补贴比率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及时支付率</w:t>
            </w:r>
          </w:p>
        </w:tc>
        <w:tc>
          <w:tcPr>
            <w:tcW w:w="5386" w:type="dxa"/>
            <w:vAlign w:val="center"/>
          </w:tcPr>
          <w:p>
            <w:pPr>
              <w:pStyle w:val="12"/>
            </w:pPr>
            <w:r>
              <w:t>资金实际支出占补贴资金率</w:t>
            </w:r>
          </w:p>
        </w:tc>
        <w:tc>
          <w:tcPr>
            <w:tcW w:w="2268" w:type="dxa"/>
            <w:vAlign w:val="center"/>
          </w:tcPr>
          <w:p>
            <w:pPr>
              <w:pStyle w:val="12"/>
            </w:pPr>
            <w:r>
              <w:t>100%</w:t>
            </w:r>
          </w:p>
        </w:tc>
        <w:tc>
          <w:tcPr>
            <w:tcW w:w="1276" w:type="dxa"/>
            <w:vAlign w:val="center"/>
          </w:tcPr>
          <w:p>
            <w:pPr>
              <w:pStyle w:val="12"/>
            </w:pPr>
            <w:r>
              <w:t>实际支出率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118万元</w:t>
            </w:r>
          </w:p>
        </w:tc>
        <w:tc>
          <w:tcPr>
            <w:tcW w:w="1276" w:type="dxa"/>
            <w:vAlign w:val="center"/>
          </w:tcPr>
          <w:p>
            <w:pPr>
              <w:pStyle w:val="12"/>
            </w:pPr>
            <w:r>
              <w:t>依据县政府工作安排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提高职工生活保障</w:t>
            </w:r>
          </w:p>
        </w:tc>
        <w:tc>
          <w:tcPr>
            <w:tcW w:w="5386" w:type="dxa"/>
            <w:vAlign w:val="center"/>
          </w:tcPr>
          <w:p>
            <w:pPr>
              <w:pStyle w:val="12"/>
            </w:pPr>
            <w:r>
              <w:t>提高职工生活保障</w:t>
            </w:r>
          </w:p>
        </w:tc>
        <w:tc>
          <w:tcPr>
            <w:tcW w:w="2268" w:type="dxa"/>
            <w:vAlign w:val="center"/>
          </w:tcPr>
          <w:p>
            <w:pPr>
              <w:pStyle w:val="12"/>
            </w:pPr>
            <w:r>
              <w:t>生活水平提高</w:t>
            </w:r>
          </w:p>
        </w:tc>
        <w:tc>
          <w:tcPr>
            <w:tcW w:w="1276" w:type="dxa"/>
            <w:vAlign w:val="center"/>
          </w:tcPr>
          <w:p>
            <w:pPr>
              <w:pStyle w:val="12"/>
            </w:pPr>
            <w:r>
              <w:t>生活水平提高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职工满意度</w:t>
            </w:r>
          </w:p>
        </w:tc>
        <w:tc>
          <w:tcPr>
            <w:tcW w:w="5386" w:type="dxa"/>
            <w:vAlign w:val="center"/>
          </w:tcPr>
          <w:p>
            <w:pPr>
              <w:pStyle w:val="12"/>
            </w:pPr>
            <w:r>
              <w:t>群众对综合监管系统的满意度</w:t>
            </w:r>
          </w:p>
        </w:tc>
        <w:tc>
          <w:tcPr>
            <w:tcW w:w="2268" w:type="dxa"/>
            <w:vAlign w:val="center"/>
          </w:tcPr>
          <w:p>
            <w:pPr>
              <w:pStyle w:val="12"/>
            </w:pPr>
            <w:r>
              <w:t>≥100%</w:t>
            </w:r>
          </w:p>
        </w:tc>
        <w:tc>
          <w:tcPr>
            <w:tcW w:w="1276" w:type="dxa"/>
            <w:vAlign w:val="center"/>
          </w:tcPr>
          <w:p>
            <w:pPr>
              <w:pStyle w:val="12"/>
            </w:pPr>
            <w:r>
              <w:t>依据满意职工占总职工比率</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818001隆尧县柳行农场事务中心本级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隆尧县柳行农场事务中心本级上年末固定资产金额为0.00万元（详见下表）。本年度拟购置固定资产总额为0.00万元，已按要求列入政府采购预算，详见政府采购预算表。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818001隆尧县柳行农场事务中心本级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zZhZTM0NDY0NjYxYmFkOTdlZmQ0NWI1NGJkNTE3YzQifQ=="/>
  </w:docVars>
  <w:rsids>
    <w:rsidRoot w:val="00000000"/>
    <w:rsid w:val="051777CB"/>
    <w:rsid w:val="19AD7CF7"/>
    <w:rsid w:val="70A4268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28</Pages>
  <Words>7216</Words>
  <Characters>8636</Characters>
  <TotalTime>4</TotalTime>
  <ScaleCrop>false</ScaleCrop>
  <LinksUpToDate>false</LinksUpToDate>
  <CharactersWithSpaces>8758</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2026-02-12T22:49:00Z</dcterms:created>
  <dc:creator>lenovo</dc:creator>
  <cp:lastModifiedBy>lenovo</cp:lastModifiedBy>
  <dcterms:modified xsi:type="dcterms:W3CDTF">2026-02-12T15:06:53Z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4D50BB203FC341AC87CC9816625B75F8</vt:lpwstr>
  </property>
</Properties>
</file>