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AB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隆尧县城市管理综合行政执法局</w:t>
      </w:r>
    </w:p>
    <w:p w14:paraId="22F88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2026年</w:t>
      </w:r>
      <w:r>
        <w:rPr>
          <w:rFonts w:hint="eastAsia" w:ascii="黑体" w:hAnsi="黑体" w:eastAsia="黑体" w:cs="黑体"/>
          <w:sz w:val="44"/>
          <w:szCs w:val="44"/>
        </w:rPr>
        <w:t>“双随机、一公开”抽查工作方案</w:t>
      </w:r>
    </w:p>
    <w:p w14:paraId="1D7AED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29C71F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为深入贯彻落实国务院、省委省政府和市委市政府关于优化营商环境部署要求，持续深化“双随机、一公开”监管，提升监管效能，根据《国务院关于在市场监管领域全面推行部门联合“双随机、一公开”监管的意见》（国发〔2019〕5号）、《国务院办公厅关于严格规范涉企行政检查的意见》（国办发〔2024〕54号）、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结合本局执法职责与监管实际，制定本方案。</w:t>
      </w:r>
    </w:p>
    <w:p w14:paraId="751DDC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2"/>
          <w:szCs w:val="32"/>
        </w:rPr>
        <w:t>一、总体要求</w:t>
      </w:r>
    </w:p>
    <w:p w14:paraId="760FD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（一）指导思想</w:t>
      </w:r>
    </w:p>
    <w:p w14:paraId="44ACF8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优化营商环境、提升监管效能为目标，坚持依法监管、公平公正、公开透明、协同高效原则，随机抽取检查对象、随机选派执法人员，抽查事项、过程、结果全面公开，实现“清单化管理、信息化支撑、常态化运行、闭环式处置”。</w:t>
      </w:r>
    </w:p>
    <w:p w14:paraId="4575CA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（二）工作目标</w:t>
      </w:r>
    </w:p>
    <w:p w14:paraId="6E146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健全一单两库一细则（抽查事项清单、检查对象库、执法人员库）并动态更新。</w:t>
      </w:r>
    </w:p>
    <w:p w14:paraId="598187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推行信用分级分类监管，对高风险主体提频抽查，对守法主体“无事不扰”。</w:t>
      </w:r>
    </w:p>
    <w:p w14:paraId="23E3F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sz w:val="32"/>
          <w:szCs w:val="32"/>
        </w:rPr>
        <w:t>二、组织保障</w:t>
      </w:r>
    </w:p>
    <w:p w14:paraId="6ED7A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成立“双随机、一公开”工作领导小组：</w:t>
      </w:r>
    </w:p>
    <w:p w14:paraId="756D0A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长：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齐喜峰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（</w:t>
      </w:r>
      <w:r>
        <w:rPr>
          <w:rFonts w:hint="eastAsia" w:ascii="仿宋_GB2312" w:hAnsi="仿宋_GB2312" w:eastAsia="仿宋_GB2312" w:cs="仿宋_GB2312"/>
          <w:sz w:val="32"/>
          <w:szCs w:val="32"/>
        </w:rPr>
        <w:t>局主要负责人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 w14:paraId="0DA27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副组长：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曹永国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李鹏  王献齐  （局业务分管</w:t>
      </w:r>
      <w:r>
        <w:rPr>
          <w:rFonts w:hint="eastAsia" w:ascii="仿宋_GB2312" w:hAnsi="仿宋_GB2312" w:eastAsia="仿宋_GB2312" w:cs="仿宋_GB2312"/>
          <w:sz w:val="32"/>
          <w:szCs w:val="32"/>
        </w:rPr>
        <w:t>领导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 w14:paraId="5B64D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成 员：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陈景栋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王立勃  郝立华  贾社鹏 （</w:t>
      </w:r>
      <w:r>
        <w:rPr>
          <w:rFonts w:hint="eastAsia" w:ascii="仿宋_GB2312" w:hAnsi="仿宋_GB2312" w:eastAsia="仿宋_GB2312" w:cs="仿宋_GB2312"/>
          <w:sz w:val="32"/>
          <w:szCs w:val="32"/>
        </w:rPr>
        <w:t>科室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负责人）</w:t>
      </w:r>
    </w:p>
    <w:p w14:paraId="183C96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办公室设在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政策法规股</w:t>
      </w:r>
      <w:r>
        <w:rPr>
          <w:rFonts w:hint="eastAsia" w:ascii="仿宋_GB2312" w:hAnsi="仿宋_GB2312" w:eastAsia="仿宋_GB2312" w:cs="仿宋_GB2312"/>
          <w:sz w:val="32"/>
          <w:szCs w:val="32"/>
        </w:rPr>
        <w:t>，负责统筹调度、平台运维、结果公示、台账归档。</w:t>
      </w:r>
    </w:p>
    <w:p w14:paraId="02160F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sz w:val="32"/>
          <w:szCs w:val="32"/>
        </w:rPr>
        <w:t>三、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核心基础“一单两库”</w:t>
      </w:r>
    </w:p>
    <w:p w14:paraId="2D4AE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（一）随机抽查事项清单</w:t>
      </w:r>
    </w:p>
    <w:p w14:paraId="301CCA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依据城管权责清单与法律法规，确定抽查事项</w:t>
      </w:r>
    </w:p>
    <w:p w14:paraId="46B053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1.城镇排水与污水处理监督检查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 w14:paraId="5D0BFE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2.城市燃气监督检查；</w:t>
      </w:r>
    </w:p>
    <w:p w14:paraId="5C583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3.燃气经营者改动市政燃气设施审批许可后的监督检查；</w:t>
      </w:r>
    </w:p>
    <w:p w14:paraId="728ACD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.城市生活垃圾及餐厨废弃物处置许可后的监督检查；</w:t>
      </w:r>
    </w:p>
    <w:p w14:paraId="7FD94D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.城市建筑垃圾收集、运输核准许可后的监督检查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05357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（二）检查对象名录库</w:t>
      </w:r>
    </w:p>
    <w:p w14:paraId="67981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覆盖辖区内相关主体：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燃气企业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、环卫运营企业、建筑垃圾运输单位及沿街商户等。按行业、区域、信用等级分类标注，动态更新、应入尽入。</w:t>
      </w:r>
    </w:p>
    <w:p w14:paraId="5C7A5F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（三）执法检查人员库</w:t>
      </w:r>
    </w:p>
    <w:p w14:paraId="07701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纳入持有效执法证人员，按专业、岗位、区域分类，实行回避制度（利害关系、属地回避、亲属回避）。</w:t>
      </w:r>
    </w:p>
    <w:p w14:paraId="7D66D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四、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 w:bidi="ar"/>
        </w:rPr>
        <w:t>提升监管质效</w:t>
      </w:r>
    </w:p>
    <w:p w14:paraId="2FF3C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全面推行双随机抽查与信用风险分级分类相结合，针对不同的信用风险分类等级合理确定抽查比例和频次，运用信用风险分级分类开展的抽查次数占抽查总次数的比例不低于95%。积极推进监管平台的标注应用，提升标注的精准度，探索实施“信用标注+双随机监管”，将多维信用标注结果作为确定检查对象的核心筛选因素，对高风险标注主体提高抽查比例、频次；对低风险、信用良好主体大幅降低抽查比例、频次，原则上避免重复检查，提升差异化精准监管效果。</w:t>
      </w:r>
    </w:p>
    <w:p w14:paraId="48EAB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五、工作程序</w:t>
      </w:r>
    </w:p>
    <w:p w14:paraId="241DE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告知准备：抽查前通知（突击检查除外），备齐文书、证件、设备。</w:t>
      </w:r>
    </w:p>
    <w:p w14:paraId="707501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现场检查：亮证执法、如实记录、签字确认；当事人拒签注明原因并见证人签字。</w:t>
      </w:r>
    </w:p>
    <w:p w14:paraId="197E0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结果认定：当场/3个工作日内出具检查意见，分“合格、需整改、违法违规”三类。</w:t>
      </w:r>
    </w:p>
    <w:p w14:paraId="5BD3BD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 整改闭环：限期整改、复查验收；逾期不改或拒不整改，依法立案查处。</w:t>
      </w:r>
    </w:p>
    <w:p w14:paraId="36583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 结果公示：按“谁检查、谁录入、谁公开”，在政府网站、信用平台、双随机平台公示。</w:t>
      </w:r>
    </w:p>
    <w:p w14:paraId="13DC5B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六、工作要求</w:t>
      </w:r>
    </w:p>
    <w:p w14:paraId="4AFD4E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依法依规：严格按清单与权限检查，杜绝随意检查、选择性执法。</w:t>
      </w:r>
    </w:p>
    <w:p w14:paraId="23D6C1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廉洁规范：严禁吃拿卡要、违规干预、人情检查，自觉接受监督。</w:t>
      </w:r>
    </w:p>
    <w:p w14:paraId="50D444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高效便民：精简流程、压缩时限，避免重复检查、多头检查。</w:t>
      </w:r>
    </w:p>
    <w:p w14:paraId="0A67D7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  动态优化：每半年评估运行情况，更新清单、两库。</w:t>
      </w:r>
    </w:p>
    <w:p w14:paraId="7F115E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D83A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774CA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07029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件</w:t>
      </w:r>
      <w:r>
        <w:rPr>
          <w:rFonts w:hint="eastAsia" w:ascii="仿宋_GB2312" w:hAnsi="仿宋_GB2312" w:eastAsia="仿宋_GB2312" w:cs="仿宋_GB2312"/>
          <w:sz w:val="28"/>
          <w:szCs w:val="28"/>
        </w:rPr>
        <w:t>1.</w:t>
      </w:r>
    </w:p>
    <w:p w14:paraId="4798B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840" w:firstLineChars="3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隆尧县城管局2026年“双随机  一公开”抽查工作计划</w:t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</w:p>
    <w:p w14:paraId="157A70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65AD9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2A2F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4AC3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firstLine="4800" w:firstLineChars="15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2026年2月12日</w:t>
      </w:r>
    </w:p>
    <w:p w14:paraId="26ADC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6E6F06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84378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8B09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D3839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B31D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A62A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E63E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273040" cy="5358130"/>
            <wp:effectExtent l="0" t="0" r="3810" b="13970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35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4721FD"/>
    <w:rsid w:val="505A5A36"/>
    <w:rsid w:val="52EF5712"/>
    <w:rsid w:val="5AE40D1D"/>
    <w:rsid w:val="6AB04778"/>
    <w:rsid w:val="6DD349A2"/>
    <w:rsid w:val="75FF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191"/>
    <w:basedOn w:val="4"/>
    <w:uiPriority w:val="0"/>
    <w:rPr>
      <w:rFonts w:hint="eastAsia" w:ascii="宋体" w:hAnsi="宋体" w:eastAsia="宋体" w:cs="宋体"/>
      <w:color w:val="000000"/>
      <w:sz w:val="44"/>
      <w:szCs w:val="4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1318</Words>
  <Characters>1355</Characters>
  <Lines>0</Lines>
  <Paragraphs>0</Paragraphs>
  <TotalTime>29</TotalTime>
  <ScaleCrop>false</ScaleCrop>
  <LinksUpToDate>false</LinksUpToDate>
  <CharactersWithSpaces>1427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2026-02-12T01:29:00Z</dcterms:created>
  <dc:creator>Administrator</dc:creator>
  <cp:lastModifiedBy>Administrator</cp:lastModifiedBy>
  <dcterms:modified xsi:type="dcterms:W3CDTF">2026-02-12T05:44:51Z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eyJoZGlkIjoiOTk0OTMwYjM1YzQzMDRmN2RkNDkzZDUzMzRhM2ZjZTgifQ==</vt:lpwstr>
  </property>
  <property fmtid="{D5CDD505-2E9C-101B-9397-08002B2CF9AE}" pid="4" name="ICV">
    <vt:lpwstr>ACD9168A6B5348EFBE2C59F3947B3769_12</vt:lpwstr>
  </property>
</Properties>
</file>