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401.16</w:t>
            </w:r>
          </w:p>
        </w:tc>
        <w:tc>
          <w:tcPr>
            <w:tcW w:w="4535" w:type="dxa"/>
            <w:vAlign w:val="center"/>
          </w:tcPr>
          <w:p>
            <w:pPr>
              <w:pStyle w:val="13"/>
            </w:pPr>
            <w:r>
              <w:t>一、一般公共服务支出</w:t>
            </w:r>
          </w:p>
        </w:tc>
        <w:tc>
          <w:tcPr>
            <w:tcW w:w="2126" w:type="dxa"/>
            <w:vAlign w:val="center"/>
          </w:tcPr>
          <w:p>
            <w:pPr>
              <w:pStyle w:val="12"/>
            </w:pPr>
            <w:r>
              <w:t>348.32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401.16</w:t>
            </w:r>
          </w:p>
        </w:tc>
        <w:tc>
          <w:tcPr>
            <w:tcW w:w="4535" w:type="dxa"/>
            <w:vAlign w:val="center"/>
          </w:tcPr>
          <w:p>
            <w:pPr>
              <w:pStyle w:val="15"/>
            </w:pPr>
            <w:r>
              <w:t>本年支出合计</w:t>
            </w:r>
          </w:p>
        </w:tc>
        <w:tc>
          <w:tcPr>
            <w:tcW w:w="2126" w:type="dxa"/>
            <w:vAlign w:val="center"/>
          </w:tcPr>
          <w:p>
            <w:pPr>
              <w:pStyle w:val="16"/>
            </w:pPr>
            <w:r>
              <w:t>401.16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401.16</w:t>
            </w:r>
          </w:p>
        </w:tc>
        <w:tc>
          <w:tcPr>
            <w:tcW w:w="4535" w:type="dxa"/>
            <w:vAlign w:val="center"/>
          </w:tcPr>
          <w:p>
            <w:pPr>
              <w:pStyle w:val="15"/>
            </w:pPr>
            <w:r>
              <w:t>支出总计</w:t>
            </w:r>
          </w:p>
        </w:tc>
        <w:tc>
          <w:tcPr>
            <w:tcW w:w="2126" w:type="dxa"/>
            <w:vAlign w:val="center"/>
          </w:tcPr>
          <w:p>
            <w:pPr>
              <w:pStyle w:val="16"/>
            </w:pPr>
            <w:r>
              <w:t>401.16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401.16</w:t>
            </w:r>
          </w:p>
        </w:tc>
        <w:tc>
          <w:tcPr>
            <w:tcW w:w="1134" w:type="dxa"/>
            <w:vAlign w:val="center"/>
          </w:tcPr>
          <w:p>
            <w:pPr>
              <w:pStyle w:val="16"/>
            </w:pPr>
            <w:r>
              <w:t>401.16</w:t>
            </w:r>
          </w:p>
        </w:tc>
        <w:tc>
          <w:tcPr>
            <w:tcW w:w="1134" w:type="dxa"/>
            <w:vAlign w:val="center"/>
          </w:tcPr>
          <w:p>
            <w:pPr>
              <w:pStyle w:val="16"/>
            </w:pPr>
            <w:r>
              <w:t>401.16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r>
              <w:t>348.32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318.54</w:t>
            </w:r>
          </w:p>
        </w:tc>
        <w:tc>
          <w:tcPr>
            <w:tcW w:w="1134" w:type="dxa"/>
            <w:vAlign w:val="center"/>
          </w:tcPr>
          <w:p>
            <w:pPr>
              <w:pStyle w:val="12"/>
            </w:pPr>
            <w:r>
              <w:t>318.54</w:t>
            </w:r>
          </w:p>
        </w:tc>
        <w:tc>
          <w:tcPr>
            <w:tcW w:w="1134" w:type="dxa"/>
            <w:vAlign w:val="center"/>
          </w:tcPr>
          <w:p>
            <w:pPr>
              <w:pStyle w:val="12"/>
            </w:pPr>
            <w:r>
              <w:t>318.54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29.78</w:t>
            </w:r>
          </w:p>
        </w:tc>
        <w:tc>
          <w:tcPr>
            <w:tcW w:w="1134" w:type="dxa"/>
            <w:vAlign w:val="center"/>
          </w:tcPr>
          <w:p>
            <w:pPr>
              <w:pStyle w:val="12"/>
            </w:pPr>
            <w:r>
              <w:t>29.78</w:t>
            </w:r>
          </w:p>
        </w:tc>
        <w:tc>
          <w:tcPr>
            <w:tcW w:w="1134" w:type="dxa"/>
            <w:vAlign w:val="center"/>
          </w:tcPr>
          <w:p>
            <w:pPr>
              <w:pStyle w:val="12"/>
            </w:pPr>
            <w:r>
              <w:t>29.78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r>
              <w:t>26.65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20.76</w:t>
            </w:r>
          </w:p>
        </w:tc>
        <w:tc>
          <w:tcPr>
            <w:tcW w:w="1134" w:type="dxa"/>
            <w:vAlign w:val="center"/>
          </w:tcPr>
          <w:p>
            <w:pPr>
              <w:pStyle w:val="12"/>
            </w:pPr>
            <w:r>
              <w:t>20.76</w:t>
            </w:r>
          </w:p>
        </w:tc>
        <w:tc>
          <w:tcPr>
            <w:tcW w:w="1134" w:type="dxa"/>
            <w:vAlign w:val="center"/>
          </w:tcPr>
          <w:p>
            <w:pPr>
              <w:pStyle w:val="12"/>
            </w:pPr>
            <w:r>
              <w:t>20.76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5.89</w:t>
            </w:r>
          </w:p>
        </w:tc>
        <w:tc>
          <w:tcPr>
            <w:tcW w:w="1134" w:type="dxa"/>
            <w:vAlign w:val="center"/>
          </w:tcPr>
          <w:p>
            <w:pPr>
              <w:pStyle w:val="12"/>
            </w:pPr>
            <w:r>
              <w:t>5.89</w:t>
            </w:r>
          </w:p>
        </w:tc>
        <w:tc>
          <w:tcPr>
            <w:tcW w:w="1134" w:type="dxa"/>
            <w:vAlign w:val="center"/>
          </w:tcPr>
          <w:p>
            <w:pPr>
              <w:pStyle w:val="12"/>
            </w:pPr>
            <w:r>
              <w:t>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r>
              <w:t>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r>
              <w:t>16.38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401.16</w:t>
            </w:r>
          </w:p>
        </w:tc>
        <w:tc>
          <w:tcPr>
            <w:tcW w:w="1361" w:type="dxa"/>
            <w:vAlign w:val="center"/>
          </w:tcPr>
          <w:p>
            <w:pPr>
              <w:pStyle w:val="16"/>
            </w:pPr>
            <w:r>
              <w:t>111.38</w:t>
            </w:r>
          </w:p>
        </w:tc>
        <w:tc>
          <w:tcPr>
            <w:tcW w:w="1361" w:type="dxa"/>
            <w:vAlign w:val="center"/>
          </w:tcPr>
          <w:p>
            <w:pPr>
              <w:pStyle w:val="16"/>
            </w:pPr>
            <w:r>
              <w:t>289.78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348.32</w:t>
            </w:r>
          </w:p>
        </w:tc>
        <w:tc>
          <w:tcPr>
            <w:tcW w:w="1361" w:type="dxa"/>
            <w:vAlign w:val="center"/>
          </w:tcPr>
          <w:p>
            <w:pPr>
              <w:pStyle w:val="12"/>
            </w:pPr>
            <w:r>
              <w:t>91.83</w:t>
            </w:r>
          </w:p>
        </w:tc>
        <w:tc>
          <w:tcPr>
            <w:tcW w:w="1361" w:type="dxa"/>
            <w:vAlign w:val="center"/>
          </w:tcPr>
          <w:p>
            <w:pPr>
              <w:pStyle w:val="12"/>
            </w:pPr>
            <w:r>
              <w:t>256.49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348.32</w:t>
            </w:r>
          </w:p>
        </w:tc>
        <w:tc>
          <w:tcPr>
            <w:tcW w:w="1361" w:type="dxa"/>
            <w:vAlign w:val="center"/>
          </w:tcPr>
          <w:p>
            <w:pPr>
              <w:pStyle w:val="12"/>
            </w:pPr>
            <w:r>
              <w:t>91.83</w:t>
            </w:r>
          </w:p>
        </w:tc>
        <w:tc>
          <w:tcPr>
            <w:tcW w:w="1361" w:type="dxa"/>
            <w:vAlign w:val="center"/>
          </w:tcPr>
          <w:p>
            <w:pPr>
              <w:pStyle w:val="12"/>
            </w:pPr>
            <w:r>
              <w:t>256.49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318.54</w:t>
            </w:r>
          </w:p>
        </w:tc>
        <w:tc>
          <w:tcPr>
            <w:tcW w:w="1361" w:type="dxa"/>
            <w:vAlign w:val="center"/>
          </w:tcPr>
          <w:p>
            <w:pPr>
              <w:pStyle w:val="12"/>
            </w:pPr>
            <w:r>
              <w:t>91.83</w:t>
            </w:r>
          </w:p>
        </w:tc>
        <w:tc>
          <w:tcPr>
            <w:tcW w:w="1361" w:type="dxa"/>
            <w:vAlign w:val="center"/>
          </w:tcPr>
          <w:p>
            <w:pPr>
              <w:pStyle w:val="12"/>
            </w:pPr>
            <w:r>
              <w:t>226.71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29.78</w:t>
            </w:r>
          </w:p>
        </w:tc>
        <w:tc>
          <w:tcPr>
            <w:tcW w:w="1361" w:type="dxa"/>
            <w:vAlign w:val="center"/>
          </w:tcPr>
          <w:p>
            <w:pPr>
              <w:pStyle w:val="12"/>
            </w:pPr>
          </w:p>
        </w:tc>
        <w:tc>
          <w:tcPr>
            <w:tcW w:w="1361" w:type="dxa"/>
            <w:vAlign w:val="center"/>
          </w:tcPr>
          <w:p>
            <w:pPr>
              <w:pStyle w:val="12"/>
            </w:pPr>
            <w:r>
              <w:t>29.78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26.65</w:t>
            </w:r>
          </w:p>
        </w:tc>
        <w:tc>
          <w:tcPr>
            <w:tcW w:w="1361" w:type="dxa"/>
            <w:vAlign w:val="center"/>
          </w:tcPr>
          <w:p>
            <w:pPr>
              <w:pStyle w:val="12"/>
            </w:pPr>
            <w:r>
              <w:t>8.98</w:t>
            </w:r>
          </w:p>
        </w:tc>
        <w:tc>
          <w:tcPr>
            <w:tcW w:w="1361" w:type="dxa"/>
            <w:vAlign w:val="center"/>
          </w:tcPr>
          <w:p>
            <w:pPr>
              <w:pStyle w:val="12"/>
            </w:pPr>
            <w:r>
              <w:t>17.67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26.65</w:t>
            </w:r>
          </w:p>
        </w:tc>
        <w:tc>
          <w:tcPr>
            <w:tcW w:w="1361" w:type="dxa"/>
            <w:vAlign w:val="center"/>
          </w:tcPr>
          <w:p>
            <w:pPr>
              <w:pStyle w:val="12"/>
            </w:pPr>
            <w:r>
              <w:t>8.98</w:t>
            </w:r>
          </w:p>
        </w:tc>
        <w:tc>
          <w:tcPr>
            <w:tcW w:w="1361" w:type="dxa"/>
            <w:vAlign w:val="center"/>
          </w:tcPr>
          <w:p>
            <w:pPr>
              <w:pStyle w:val="12"/>
            </w:pPr>
            <w:r>
              <w:t>17.67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20.76</w:t>
            </w:r>
          </w:p>
        </w:tc>
        <w:tc>
          <w:tcPr>
            <w:tcW w:w="1361" w:type="dxa"/>
            <w:vAlign w:val="center"/>
          </w:tcPr>
          <w:p>
            <w:pPr>
              <w:pStyle w:val="12"/>
            </w:pPr>
            <w:r>
              <w:t>8.98</w:t>
            </w:r>
          </w:p>
        </w:tc>
        <w:tc>
          <w:tcPr>
            <w:tcW w:w="1361" w:type="dxa"/>
            <w:vAlign w:val="center"/>
          </w:tcPr>
          <w:p>
            <w:pPr>
              <w:pStyle w:val="12"/>
            </w:pPr>
            <w:r>
              <w:t>11.78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5.89</w:t>
            </w:r>
          </w:p>
        </w:tc>
        <w:tc>
          <w:tcPr>
            <w:tcW w:w="1361" w:type="dxa"/>
            <w:vAlign w:val="center"/>
          </w:tcPr>
          <w:p>
            <w:pPr>
              <w:pStyle w:val="12"/>
            </w:pPr>
          </w:p>
        </w:tc>
        <w:tc>
          <w:tcPr>
            <w:tcW w:w="1361" w:type="dxa"/>
            <w:vAlign w:val="center"/>
          </w:tcPr>
          <w:p>
            <w:pPr>
              <w:pStyle w:val="12"/>
            </w:pPr>
            <w:r>
              <w:t>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9.81</w:t>
            </w:r>
          </w:p>
        </w:tc>
        <w:tc>
          <w:tcPr>
            <w:tcW w:w="1361" w:type="dxa"/>
            <w:vAlign w:val="center"/>
          </w:tcPr>
          <w:p>
            <w:pPr>
              <w:pStyle w:val="12"/>
            </w:pPr>
            <w:r>
              <w:t>4.04</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16.38</w:t>
            </w:r>
          </w:p>
        </w:tc>
        <w:tc>
          <w:tcPr>
            <w:tcW w:w="1361" w:type="dxa"/>
            <w:vAlign w:val="center"/>
          </w:tcPr>
          <w:p>
            <w:pPr>
              <w:pStyle w:val="12"/>
            </w:pPr>
            <w:r>
              <w:t>6.52</w:t>
            </w:r>
          </w:p>
        </w:tc>
        <w:tc>
          <w:tcPr>
            <w:tcW w:w="1361" w:type="dxa"/>
            <w:vAlign w:val="center"/>
          </w:tcPr>
          <w:p>
            <w:pPr>
              <w:pStyle w:val="12"/>
            </w:pPr>
            <w:r>
              <w:t>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401.16</w:t>
            </w:r>
          </w:p>
        </w:tc>
        <w:tc>
          <w:tcPr>
            <w:tcW w:w="3402" w:type="dxa"/>
            <w:vAlign w:val="center"/>
          </w:tcPr>
          <w:p>
            <w:pPr>
              <w:pStyle w:val="13"/>
            </w:pPr>
            <w:r>
              <w:t>一、一般公共服务支出</w:t>
            </w:r>
          </w:p>
        </w:tc>
        <w:tc>
          <w:tcPr>
            <w:tcW w:w="1474" w:type="dxa"/>
            <w:vAlign w:val="center"/>
          </w:tcPr>
          <w:p>
            <w:pPr>
              <w:pStyle w:val="12"/>
            </w:pPr>
            <w:r>
              <w:t>348.32</w:t>
            </w:r>
          </w:p>
        </w:tc>
        <w:tc>
          <w:tcPr>
            <w:tcW w:w="1474" w:type="dxa"/>
            <w:vAlign w:val="center"/>
          </w:tcPr>
          <w:p>
            <w:pPr>
              <w:pStyle w:val="12"/>
            </w:pPr>
            <w:r>
              <w:t>348.32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26.65</w:t>
            </w:r>
          </w:p>
        </w:tc>
        <w:tc>
          <w:tcPr>
            <w:tcW w:w="1474" w:type="dxa"/>
            <w:vAlign w:val="center"/>
          </w:tcPr>
          <w:p>
            <w:pPr>
              <w:pStyle w:val="12"/>
            </w:pPr>
            <w:r>
              <w:t>26.65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9.81</w:t>
            </w:r>
          </w:p>
        </w:tc>
        <w:tc>
          <w:tcPr>
            <w:tcW w:w="1474" w:type="dxa"/>
            <w:vAlign w:val="center"/>
          </w:tcPr>
          <w:p>
            <w:pPr>
              <w:pStyle w:val="12"/>
            </w:pPr>
            <w:r>
              <w:t>9.81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16.38</w:t>
            </w:r>
          </w:p>
        </w:tc>
        <w:tc>
          <w:tcPr>
            <w:tcW w:w="1474" w:type="dxa"/>
            <w:vAlign w:val="center"/>
          </w:tcPr>
          <w:p>
            <w:pPr>
              <w:pStyle w:val="12"/>
            </w:pPr>
            <w:r>
              <w:t>16.38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401.16</w:t>
            </w:r>
          </w:p>
        </w:tc>
        <w:tc>
          <w:tcPr>
            <w:tcW w:w="3402" w:type="dxa"/>
            <w:vAlign w:val="center"/>
          </w:tcPr>
          <w:p>
            <w:pPr>
              <w:pStyle w:val="15"/>
            </w:pPr>
            <w:r>
              <w:t>本年支出合计</w:t>
            </w:r>
          </w:p>
        </w:tc>
        <w:tc>
          <w:tcPr>
            <w:tcW w:w="1474" w:type="dxa"/>
            <w:vAlign w:val="center"/>
          </w:tcPr>
          <w:p>
            <w:pPr>
              <w:pStyle w:val="16"/>
            </w:pPr>
            <w:r>
              <w:t>401.16</w:t>
            </w:r>
          </w:p>
        </w:tc>
        <w:tc>
          <w:tcPr>
            <w:tcW w:w="1474" w:type="dxa"/>
            <w:vAlign w:val="center"/>
          </w:tcPr>
          <w:p>
            <w:pPr>
              <w:pStyle w:val="16"/>
            </w:pPr>
            <w:r>
              <w:t>401.16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401.16</w:t>
            </w:r>
          </w:p>
        </w:tc>
        <w:tc>
          <w:tcPr>
            <w:tcW w:w="3402" w:type="dxa"/>
            <w:vAlign w:val="center"/>
          </w:tcPr>
          <w:p>
            <w:pPr>
              <w:pStyle w:val="15"/>
            </w:pPr>
            <w:r>
              <w:t>支出总计</w:t>
            </w:r>
          </w:p>
        </w:tc>
        <w:tc>
          <w:tcPr>
            <w:tcW w:w="1474" w:type="dxa"/>
            <w:vAlign w:val="center"/>
          </w:tcPr>
          <w:p>
            <w:pPr>
              <w:pStyle w:val="16"/>
            </w:pPr>
            <w:r>
              <w:t>401.16</w:t>
            </w:r>
          </w:p>
        </w:tc>
        <w:tc>
          <w:tcPr>
            <w:tcW w:w="1474" w:type="dxa"/>
            <w:vAlign w:val="center"/>
          </w:tcPr>
          <w:p>
            <w:pPr>
              <w:pStyle w:val="16"/>
            </w:pPr>
            <w:r>
              <w:t>401.16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401.16</w:t>
            </w:r>
          </w:p>
        </w:tc>
        <w:tc>
          <w:tcPr>
            <w:tcW w:w="2551" w:type="dxa"/>
            <w:vAlign w:val="center"/>
          </w:tcPr>
          <w:p>
            <w:pPr>
              <w:pStyle w:val="16"/>
            </w:pPr>
            <w:r>
              <w:t>111.38</w:t>
            </w:r>
          </w:p>
        </w:tc>
        <w:tc>
          <w:tcPr>
            <w:tcW w:w="2551" w:type="dxa"/>
            <w:vAlign w:val="center"/>
          </w:tcPr>
          <w:p>
            <w:pPr>
              <w:pStyle w:val="16"/>
            </w:pPr>
            <w:r>
              <w:t>289.78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348.32</w:t>
            </w:r>
          </w:p>
        </w:tc>
        <w:tc>
          <w:tcPr>
            <w:tcW w:w="2551" w:type="dxa"/>
            <w:vAlign w:val="center"/>
          </w:tcPr>
          <w:p>
            <w:pPr>
              <w:pStyle w:val="12"/>
            </w:pPr>
            <w:r>
              <w:t>91.83</w:t>
            </w:r>
          </w:p>
        </w:tc>
        <w:tc>
          <w:tcPr>
            <w:tcW w:w="2551" w:type="dxa"/>
            <w:vAlign w:val="center"/>
          </w:tcPr>
          <w:p>
            <w:pPr>
              <w:pStyle w:val="12"/>
            </w:pPr>
            <w:r>
              <w:t>256.49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348.32</w:t>
            </w:r>
          </w:p>
        </w:tc>
        <w:tc>
          <w:tcPr>
            <w:tcW w:w="2551" w:type="dxa"/>
            <w:vAlign w:val="center"/>
          </w:tcPr>
          <w:p>
            <w:pPr>
              <w:pStyle w:val="12"/>
            </w:pPr>
            <w:r>
              <w:t>91.83</w:t>
            </w:r>
          </w:p>
        </w:tc>
        <w:tc>
          <w:tcPr>
            <w:tcW w:w="2551" w:type="dxa"/>
            <w:vAlign w:val="center"/>
          </w:tcPr>
          <w:p>
            <w:pPr>
              <w:pStyle w:val="12"/>
            </w:pPr>
            <w:r>
              <w:t>256.49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318.54</w:t>
            </w:r>
          </w:p>
        </w:tc>
        <w:tc>
          <w:tcPr>
            <w:tcW w:w="2551" w:type="dxa"/>
            <w:vAlign w:val="center"/>
          </w:tcPr>
          <w:p>
            <w:pPr>
              <w:pStyle w:val="12"/>
            </w:pPr>
            <w:r>
              <w:t>91.83</w:t>
            </w:r>
          </w:p>
        </w:tc>
        <w:tc>
          <w:tcPr>
            <w:tcW w:w="2551" w:type="dxa"/>
            <w:vAlign w:val="center"/>
          </w:tcPr>
          <w:p>
            <w:pPr>
              <w:pStyle w:val="12"/>
            </w:pPr>
            <w:r>
              <w:t>226.71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29.78</w:t>
            </w:r>
          </w:p>
        </w:tc>
        <w:tc>
          <w:tcPr>
            <w:tcW w:w="2551" w:type="dxa"/>
            <w:vAlign w:val="center"/>
          </w:tcPr>
          <w:p>
            <w:pPr>
              <w:pStyle w:val="12"/>
            </w:pPr>
          </w:p>
        </w:tc>
        <w:tc>
          <w:tcPr>
            <w:tcW w:w="2551" w:type="dxa"/>
            <w:vAlign w:val="center"/>
          </w:tcPr>
          <w:p>
            <w:pPr>
              <w:pStyle w:val="12"/>
            </w:pPr>
            <w:r>
              <w:t>29.78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26.65</w:t>
            </w:r>
          </w:p>
        </w:tc>
        <w:tc>
          <w:tcPr>
            <w:tcW w:w="2551" w:type="dxa"/>
            <w:vAlign w:val="center"/>
          </w:tcPr>
          <w:p>
            <w:pPr>
              <w:pStyle w:val="12"/>
            </w:pPr>
            <w:r>
              <w:t>8.98</w:t>
            </w:r>
          </w:p>
        </w:tc>
        <w:tc>
          <w:tcPr>
            <w:tcW w:w="2551" w:type="dxa"/>
            <w:vAlign w:val="center"/>
          </w:tcPr>
          <w:p>
            <w:pPr>
              <w:pStyle w:val="12"/>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26.65</w:t>
            </w:r>
          </w:p>
        </w:tc>
        <w:tc>
          <w:tcPr>
            <w:tcW w:w="2551" w:type="dxa"/>
            <w:vAlign w:val="center"/>
          </w:tcPr>
          <w:p>
            <w:pPr>
              <w:pStyle w:val="12"/>
            </w:pPr>
            <w:r>
              <w:t>8.98</w:t>
            </w:r>
          </w:p>
        </w:tc>
        <w:tc>
          <w:tcPr>
            <w:tcW w:w="2551" w:type="dxa"/>
            <w:vAlign w:val="center"/>
          </w:tcPr>
          <w:p>
            <w:pPr>
              <w:pStyle w:val="12"/>
            </w:pPr>
            <w:r>
              <w:t>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20.76</w:t>
            </w:r>
          </w:p>
        </w:tc>
        <w:tc>
          <w:tcPr>
            <w:tcW w:w="2551" w:type="dxa"/>
            <w:vAlign w:val="center"/>
          </w:tcPr>
          <w:p>
            <w:pPr>
              <w:pStyle w:val="12"/>
            </w:pPr>
            <w:r>
              <w:t>8.98</w:t>
            </w:r>
          </w:p>
        </w:tc>
        <w:tc>
          <w:tcPr>
            <w:tcW w:w="2551" w:type="dxa"/>
            <w:vAlign w:val="center"/>
          </w:tcPr>
          <w:p>
            <w:pPr>
              <w:pStyle w:val="12"/>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5.89</w:t>
            </w:r>
          </w:p>
        </w:tc>
        <w:tc>
          <w:tcPr>
            <w:tcW w:w="2551" w:type="dxa"/>
            <w:vAlign w:val="center"/>
          </w:tcPr>
          <w:p>
            <w:pPr>
              <w:pStyle w:val="12"/>
            </w:pPr>
          </w:p>
        </w:tc>
        <w:tc>
          <w:tcPr>
            <w:tcW w:w="2551" w:type="dxa"/>
            <w:vAlign w:val="center"/>
          </w:tcPr>
          <w:p>
            <w:pPr>
              <w:pStyle w:val="12"/>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9.81</w:t>
            </w:r>
          </w:p>
        </w:tc>
        <w:tc>
          <w:tcPr>
            <w:tcW w:w="2551" w:type="dxa"/>
            <w:vAlign w:val="center"/>
          </w:tcPr>
          <w:p>
            <w:pPr>
              <w:pStyle w:val="12"/>
            </w:pPr>
            <w:r>
              <w:t>4.04</w:t>
            </w: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16.38</w:t>
            </w:r>
          </w:p>
        </w:tc>
        <w:tc>
          <w:tcPr>
            <w:tcW w:w="2551" w:type="dxa"/>
            <w:vAlign w:val="center"/>
          </w:tcPr>
          <w:p>
            <w:pPr>
              <w:pStyle w:val="12"/>
            </w:pPr>
            <w:r>
              <w:t>6.52</w:t>
            </w:r>
          </w:p>
        </w:tc>
        <w:tc>
          <w:tcPr>
            <w:tcW w:w="2551" w:type="dxa"/>
            <w:vAlign w:val="center"/>
          </w:tcPr>
          <w:p>
            <w:pPr>
              <w:pStyle w:val="12"/>
            </w:pPr>
            <w:r>
              <w:t>9.86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val="en-US" w:eastAsia="zh-CN"/>
              </w:rPr>
              <w:t>部门</w:t>
            </w:r>
            <w:r>
              <w:t>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111.38</w:t>
            </w:r>
          </w:p>
        </w:tc>
        <w:tc>
          <w:tcPr>
            <w:tcW w:w="2551" w:type="dxa"/>
            <w:vAlign w:val="center"/>
          </w:tcPr>
          <w:p>
            <w:pPr>
              <w:pStyle w:val="16"/>
            </w:pPr>
            <w:r>
              <w:t>106.98</w:t>
            </w:r>
          </w:p>
        </w:tc>
        <w:tc>
          <w:tcPr>
            <w:tcW w:w="2551" w:type="dxa"/>
            <w:vAlign w:val="center"/>
          </w:tcPr>
          <w:p>
            <w:pPr>
              <w:pStyle w:val="16"/>
            </w:pPr>
            <w:r>
              <w:t>4.40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85.54</w:t>
            </w:r>
          </w:p>
        </w:tc>
        <w:tc>
          <w:tcPr>
            <w:tcW w:w="2551" w:type="dxa"/>
            <w:vAlign w:val="center"/>
          </w:tcPr>
          <w:p>
            <w:pPr>
              <w:pStyle w:val="12"/>
            </w:pPr>
            <w:r>
              <w:t>85.54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38.52</w:t>
            </w:r>
          </w:p>
        </w:tc>
        <w:tc>
          <w:tcPr>
            <w:tcW w:w="2551" w:type="dxa"/>
            <w:vAlign w:val="center"/>
          </w:tcPr>
          <w:p>
            <w:pPr>
              <w:pStyle w:val="12"/>
            </w:pPr>
            <w:r>
              <w:t>38.52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17.25</w:t>
            </w:r>
          </w:p>
        </w:tc>
        <w:tc>
          <w:tcPr>
            <w:tcW w:w="2551" w:type="dxa"/>
            <w:vAlign w:val="center"/>
          </w:tcPr>
          <w:p>
            <w:pPr>
              <w:pStyle w:val="12"/>
            </w:pPr>
            <w:r>
              <w:t>17.25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8.98</w:t>
            </w:r>
          </w:p>
        </w:tc>
        <w:tc>
          <w:tcPr>
            <w:tcW w:w="2551" w:type="dxa"/>
            <w:vAlign w:val="center"/>
          </w:tcPr>
          <w:p>
            <w:pPr>
              <w:pStyle w:val="12"/>
            </w:pPr>
            <w:r>
              <w:t>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4.04</w:t>
            </w:r>
          </w:p>
        </w:tc>
        <w:tc>
          <w:tcPr>
            <w:tcW w:w="2551" w:type="dxa"/>
            <w:vAlign w:val="center"/>
          </w:tcPr>
          <w:p>
            <w:pPr>
              <w:pStyle w:val="12"/>
            </w:pPr>
            <w:r>
              <w:t>4.04</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0.22</w:t>
            </w:r>
          </w:p>
        </w:tc>
        <w:tc>
          <w:tcPr>
            <w:tcW w:w="2551" w:type="dxa"/>
            <w:vAlign w:val="center"/>
          </w:tcPr>
          <w:p>
            <w:pPr>
              <w:pStyle w:val="12"/>
            </w:pPr>
            <w:r>
              <w:t>0.22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6.52</w:t>
            </w:r>
          </w:p>
        </w:tc>
        <w:tc>
          <w:tcPr>
            <w:tcW w:w="2551" w:type="dxa"/>
            <w:vAlign w:val="center"/>
          </w:tcPr>
          <w:p>
            <w:pPr>
              <w:pStyle w:val="12"/>
            </w:pPr>
            <w:r>
              <w:t>6.52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21.44</w:t>
            </w:r>
          </w:p>
        </w:tc>
        <w:tc>
          <w:tcPr>
            <w:tcW w:w="2551" w:type="dxa"/>
            <w:vAlign w:val="center"/>
          </w:tcPr>
          <w:p>
            <w:pPr>
              <w:pStyle w:val="12"/>
            </w:pPr>
            <w:r>
              <w:t>21.44</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21.08</w:t>
            </w:r>
          </w:p>
        </w:tc>
        <w:tc>
          <w:tcPr>
            <w:tcW w:w="2551" w:type="dxa"/>
            <w:vAlign w:val="center"/>
          </w:tcPr>
          <w:p>
            <w:pPr>
              <w:pStyle w:val="12"/>
            </w:pPr>
            <w:r>
              <w:t>21.08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隆尧县总工会2026年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隆尧县总工会2026年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按照《中华人民共和国预算法》、《地方预决算公开操作规程》和《关于进一步推进预算公开工作的实施意见》规定，现将隆尧县总工会2026年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根据《隆尧县总工会职能配置、内设机构和人员编制规定》，隆尧县总工会的主要职责是：</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隆尧县总工会是全县各级地方工会和产业工会地方组织的领导机关，由中共隆尧县委和邢台市总工会直接领导。依据《中华人民共和国工会法》和《中国工会章程》的规定，县总工会机关的主要任务是：</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（一）根据党的基本理论、基本路线和基本纲领，遵照全国总工会、省总工会和市总工会确定的工会工作指导方针和任务，围绕中心，服务大局，指导全县工会工作。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（二）贯彻执行全国总工会、省总工会、市总工会和县总工会代表大会的决议，依照法律和章程，组织和指导全县各级工会履行工会</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组织、引导、服务、维护</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等社会职能，开展工会各项业务工作。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三）对职工最关心、最直接、最现实的利益问题认真调查研究，及时向县委、县人民政府和上级工会反映职工的呼声、愿望和诉求，并提出意见和建议；参与涉及职工切身利益的有关政策、措施和制度的制定；组织开展扶贫帮困、</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送温暖</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双联</w:t>
      </w:r>
      <w:r>
        <w:rPr>
          <w:rFonts w:hint="default" w:ascii="Times New Roman" w:hAnsi="Times New Roman" w:eastAsia="方正仿宋_GBK" w:cs="Times New Roman"/>
          <w:kern w:val="0"/>
          <w:sz w:val="28"/>
          <w:szCs w:val="24"/>
          <w:lang w:val="en-US" w:eastAsia="uk-UA" w:bidi="ar-SA"/>
        </w:rPr>
        <w:t>”</w:t>
      </w:r>
      <w:r>
        <w:rPr>
          <w:rFonts w:hint="eastAsia" w:ascii="Times New Roman" w:hAnsi="Times New Roman" w:eastAsia="方正仿宋_GBK" w:cs="Times New Roman"/>
          <w:kern w:val="0"/>
          <w:sz w:val="28"/>
          <w:szCs w:val="24"/>
          <w:lang w:val="uk" w:eastAsia="uk-UA" w:bidi="ar-SA"/>
        </w:rPr>
        <w:t>和金秋助学工作；对侵犯职工合法权益的重大事件进行调查并提出处理意见，参与职工重大的伤亡事故的调查处理。</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（四）研究制订工会干部管理制度和培训规划，配合上级工会做好工会领导干部的培训工作；负责主管范围内的各级工会委员会选举结果的审查批准工作。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（五）组织职工依法行使民主权利，发挥主人翁作用。指导基层工会组织开展以职工代表大会为基本形式的民主管理、民主监督工作和厂务公开、政务公开工作；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六）参与劳动关系协调工作，努力推动《中华人民共和国劳动法》和《中华人民共和国劳动合同法》等与职工劳动权益关系密切的法律法规贯彻实施；建立健全维护包括农民工在内的职工劳动权益平等协商集体合同和工资集体协商制度；在依法维护企事业单位整体利益的同时，依法维护工会和职工合法权益。</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（七）动员和组织全县职工积极参加社会主义现代化建设，指导基层工会开展社会主义劳动竞赛、合理化建议、节能减排、技术创新和技术协作等工作；会同有关</w:t>
      </w:r>
      <w:r>
        <w:rPr>
          <w:rFonts w:hint="eastAsia" w:cs="Times New Roman"/>
          <w:kern w:val="0"/>
          <w:sz w:val="28"/>
          <w:szCs w:val="24"/>
          <w:lang w:val="uk" w:eastAsia="zh-CN" w:bidi="ar-SA"/>
        </w:rPr>
        <w:t>单位</w:t>
      </w:r>
      <w:r>
        <w:rPr>
          <w:rFonts w:hint="eastAsia" w:ascii="Times New Roman" w:hAnsi="Times New Roman" w:eastAsia="方正仿宋_GBK" w:cs="Times New Roman"/>
          <w:kern w:val="0"/>
          <w:sz w:val="28"/>
          <w:szCs w:val="24"/>
          <w:lang w:val="uk" w:eastAsia="uk-UA" w:bidi="ar-SA"/>
        </w:rPr>
        <w:t>共同做好劳动模范和先进工作者的培养、推荐、评选、表彰、管理和服务工作。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八）负责指导全县各级工会加强对职工进行爱国主义、集体主义、社会主义教育和民主、法制、纪律教育以及科学、文化、技术教育，组织职工开展文体活动，不断提高职工的思想道德素质、技术技能素质和科学文化素质，培养和建设有理想、有道德、有文化、有纪律的职工队伍。</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（九）负责工会经费的收缴、管理、使用、审查和审计工作；指导各级工会加强财产管理，兴办工会实业，确保工会资产保值增值。</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（十）指导和管理全县各级工会女职工工作，组织女职工开展适合自身特点的活动，依法维护女职工特殊权益和合法权益，</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（十一）负责全县工会组织的涉外工作。</w:t>
      </w:r>
    </w:p>
    <w:p>
      <w:pPr>
        <w:pStyle w:val="26"/>
        <w:widowControl/>
        <w:rPr>
          <w:rFonts w:hint="default"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uk" w:eastAsia="uk-UA" w:bidi="ar-SA"/>
        </w:rPr>
        <w:t>（十二）承担县委、县人民政府和上级工会交办的其他工作。</w:t>
      </w:r>
    </w:p>
    <w:p>
      <w:pPr>
        <w:pStyle w:val="26"/>
        <w:widowControl/>
        <w:rPr>
          <w:rFonts w:ascii="方正楷体_GBK" w:hAnsi="方正楷体_GBK" w:eastAsia="方正楷体_GBK" w:cs="方正楷体_GBK"/>
          <w:b/>
          <w:color w:val="000000"/>
          <w:sz w:val="32"/>
        </w:rPr>
      </w:pPr>
      <w:r>
        <w:rPr>
          <w:rFonts w:hint="eastAsia" w:ascii="Times New Roman" w:hAnsi="Times New Roman" w:eastAsia="方正仿宋_GBK" w:cs="Times New Roman"/>
          <w:kern w:val="0"/>
          <w:sz w:val="28"/>
          <w:szCs w:val="24"/>
          <w:lang w:val="uk" w:eastAsia="uk-UA" w:bidi="ar-SA"/>
        </w:rPr>
        <w:t>隆尧县总工会作为财政预</w:t>
      </w:r>
      <w:r>
        <w:rPr>
          <w:rFonts w:hint="eastAsia" w:eastAsia="方正仿宋_GBK" w:cs="Times New Roman"/>
          <w:kern w:val="0"/>
          <w:sz w:val="28"/>
          <w:szCs w:val="24"/>
          <w:lang w:val="en-US" w:eastAsia="zh-CN" w:bidi="ar-SA"/>
        </w:rPr>
        <w:t>算</w:t>
      </w:r>
      <w:r>
        <w:rPr>
          <w:rFonts w:hint="eastAsia" w:ascii="Times New Roman" w:hAnsi="Times New Roman" w:eastAsia="方正仿宋_GBK" w:cs="Times New Roman"/>
          <w:kern w:val="0"/>
          <w:sz w:val="28"/>
          <w:szCs w:val="24"/>
          <w:lang w:val="uk" w:eastAsia="uk-UA" w:bidi="ar-SA"/>
        </w:rPr>
        <w:t>单位。机关内设办公室、财务部、组织宣教部、经济保障部</w:t>
      </w:r>
      <w:r>
        <w:rPr>
          <w:rFonts w:hint="default" w:ascii="Times New Roman" w:hAnsi="Times New Roman" w:eastAsia="方正仿宋_GBK" w:cs="Times New Roman"/>
          <w:kern w:val="0"/>
          <w:sz w:val="28"/>
          <w:szCs w:val="24"/>
          <w:lang w:val="en-US" w:eastAsia="uk-UA" w:bidi="ar-SA"/>
        </w:rPr>
        <w:t>4</w:t>
      </w:r>
      <w:r>
        <w:rPr>
          <w:rFonts w:hint="eastAsia" w:ascii="Times New Roman" w:hAnsi="Times New Roman" w:eastAsia="方正仿宋_GBK" w:cs="Times New Roman"/>
          <w:kern w:val="0"/>
          <w:sz w:val="28"/>
          <w:szCs w:val="24"/>
          <w:lang w:val="uk" w:eastAsia="uk-UA" w:bidi="ar-SA"/>
        </w:rPr>
        <w:t>个部室。县总工会现有行政编制</w:t>
      </w:r>
      <w:r>
        <w:rPr>
          <w:rFonts w:hint="default" w:ascii="Times New Roman" w:hAnsi="Times New Roman" w:eastAsia="方正仿宋_GBK" w:cs="Times New Roman"/>
          <w:kern w:val="0"/>
          <w:sz w:val="28"/>
          <w:szCs w:val="24"/>
          <w:lang w:val="en-US" w:eastAsia="uk-UA" w:bidi="ar-SA"/>
        </w:rPr>
        <w:t>4</w:t>
      </w:r>
      <w:r>
        <w:rPr>
          <w:rFonts w:hint="eastAsia" w:ascii="Times New Roman" w:hAnsi="Times New Roman" w:eastAsia="方正仿宋_GBK" w:cs="Times New Roman"/>
          <w:kern w:val="0"/>
          <w:sz w:val="28"/>
          <w:szCs w:val="24"/>
          <w:lang w:val="uk" w:eastAsia="uk-UA" w:bidi="ar-SA"/>
        </w:rPr>
        <w:t>个，实有人数</w:t>
      </w:r>
      <w:r>
        <w:rPr>
          <w:rFonts w:hint="eastAsia" w:ascii="Times New Roman" w:hAnsi="Times New Roman" w:eastAsia="方正仿宋_GBK" w:cs="Times New Roman"/>
          <w:kern w:val="0"/>
          <w:sz w:val="28"/>
          <w:szCs w:val="24"/>
          <w:lang w:val="en-US" w:eastAsia="zh-CN" w:bidi="ar-SA"/>
        </w:rPr>
        <w:t>6</w:t>
      </w:r>
      <w:r>
        <w:rPr>
          <w:rFonts w:hint="eastAsia" w:ascii="Times New Roman" w:hAnsi="Times New Roman" w:eastAsia="方正仿宋_GBK" w:cs="Times New Roman"/>
          <w:kern w:val="0"/>
          <w:sz w:val="28"/>
          <w:szCs w:val="24"/>
          <w:lang w:val="uk" w:eastAsia="uk-UA" w:bidi="ar-SA"/>
        </w:rPr>
        <w:t>人，事业编制</w:t>
      </w:r>
      <w:r>
        <w:rPr>
          <w:rFonts w:hint="eastAsia" w:ascii="Times New Roman" w:hAnsi="Times New Roman" w:eastAsia="方正仿宋_GBK" w:cs="Times New Roman"/>
          <w:kern w:val="0"/>
          <w:sz w:val="28"/>
          <w:szCs w:val="24"/>
          <w:lang w:val="en-US" w:eastAsia="zh-CN" w:bidi="ar-SA"/>
        </w:rPr>
        <w:t>10个</w:t>
      </w:r>
      <w:r>
        <w:rPr>
          <w:rFonts w:hint="eastAsia" w:ascii="Times New Roman" w:hAnsi="Times New Roman" w:eastAsia="方正仿宋_GBK" w:cs="Times New Roman"/>
          <w:kern w:val="0"/>
          <w:sz w:val="28"/>
          <w:szCs w:val="24"/>
          <w:lang w:val="uk" w:eastAsia="uk-UA" w:bidi="ar-SA"/>
        </w:rPr>
        <w:t>，实有人数</w:t>
      </w:r>
      <w:r>
        <w:rPr>
          <w:rFonts w:hint="default" w:ascii="Times New Roman" w:hAnsi="Times New Roman" w:eastAsia="方正仿宋_GBK" w:cs="Times New Roman"/>
          <w:kern w:val="0"/>
          <w:sz w:val="28"/>
          <w:szCs w:val="24"/>
          <w:lang w:val="en-US" w:eastAsia="uk-UA" w:bidi="ar-SA"/>
        </w:rPr>
        <w:t>1</w:t>
      </w:r>
      <w:r>
        <w:rPr>
          <w:rFonts w:hint="default" w:ascii="Times New Roman" w:hAnsi="Times New Roman" w:eastAsia="方正仿宋_GBK" w:cs="Times New Roman"/>
          <w:kern w:val="0"/>
          <w:sz w:val="28"/>
          <w:szCs w:val="24"/>
          <w:lang w:val="en-US" w:eastAsia="zh-CN" w:bidi="ar-SA"/>
        </w:rPr>
        <w:t>0</w:t>
      </w:r>
      <w:r>
        <w:rPr>
          <w:rFonts w:hint="eastAsia" w:ascii="Times New Roman" w:hAnsi="Times New Roman" w:eastAsia="方正仿宋_GBK" w:cs="Times New Roman"/>
          <w:kern w:val="0"/>
          <w:sz w:val="28"/>
          <w:szCs w:val="24"/>
          <w:lang w:val="en-US" w:eastAsia="zh-CN" w:bidi="ar-SA"/>
        </w:rPr>
        <w:t>人。</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隆尧县总工会本级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pPr>
      <w:r>
        <w:t>按照预算管理有关规定，目前我县</w:t>
      </w:r>
      <w:r>
        <w:rPr>
          <w:rFonts w:hint="eastAsia"/>
          <w:lang w:eastAsia="zh-CN"/>
        </w:rPr>
        <w:t>单位</w:t>
      </w:r>
      <w:r>
        <w:t>预算的编制实行综合预算管理，即全部收入和支出都反映在预算中。</w:t>
      </w:r>
    </w:p>
    <w:p>
      <w:pPr>
        <w:pStyle w:val="19"/>
      </w:pPr>
      <w:r>
        <w:t>1、收入说明</w:t>
      </w:r>
    </w:p>
    <w:p>
      <w:pPr>
        <w:pStyle w:val="19"/>
      </w:pPr>
      <w:r>
        <w:t>反映本</w:t>
      </w:r>
      <w:r>
        <w:rPr>
          <w:rFonts w:hint="eastAsia"/>
          <w:lang w:eastAsia="zh-CN"/>
        </w:rPr>
        <w:t>单位</w:t>
      </w:r>
      <w:r>
        <w:t>当年全部收入。202</w:t>
      </w:r>
      <w:r>
        <w:rPr>
          <w:rFonts w:hint="eastAsia"/>
          <w:lang w:val="en-US" w:eastAsia="zh-CN"/>
        </w:rPr>
        <w:t>6</w:t>
      </w:r>
      <w:r>
        <w:t>年预算收入401.16万元，其中：一般公共预算收入401.16万元，基金预算收入0万元，国有资本经营预算收入0万元，财政专户核拨收入0万元，单位资金收入0万元，上年结转结余0万元。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收支预算总表支出栏、基本支出表、项目支出表按经济分类和支出功能分类科目编制，反映河北省财政厅年度</w:t>
      </w:r>
      <w:r>
        <w:rPr>
          <w:rFonts w:hint="eastAsia"/>
          <w:lang w:eastAsia="zh-CN"/>
        </w:rPr>
        <w:t>单位</w:t>
      </w:r>
      <w:r>
        <w:t>预算中支出预算的总体情况。</w:t>
      </w:r>
      <w:r>
        <w:rPr>
          <w:rFonts w:hint="eastAsia"/>
          <w:lang w:eastAsia="zh-CN"/>
        </w:rPr>
        <w:t>2026</w:t>
      </w:r>
      <w:r>
        <w:t>年支出预算401.16万元，其中基本支出111.38万元，包括人员经费106.98万元和日常公用经费4.40万元；项目支出289.78万元，主要为</w:t>
      </w:r>
      <w:r>
        <w:rPr>
          <w:rFonts w:ascii="方正仿宋_GBK" w:hAnsi="方正仿宋_GBK" w:eastAsia="方正仿宋_GBK" w:cs="方正仿宋_GBK"/>
          <w:color w:val="000000"/>
          <w:sz w:val="28"/>
        </w:rPr>
        <w:t>工会经费（工会日常工作经费）</w:t>
      </w:r>
      <w:r>
        <w:rPr>
          <w:rFonts w:hint="eastAsia" w:ascii="方正仿宋_GBK" w:hAnsi="方正仿宋_GBK" w:cs="方正仿宋_GBK"/>
          <w:color w:val="000000"/>
          <w:sz w:val="28"/>
          <w:lang w:eastAsia="zh-CN"/>
        </w:rPr>
        <w:t>、</w:t>
      </w:r>
      <w:r>
        <w:rPr>
          <w:rFonts w:ascii="方正仿宋_GBK" w:hAnsi="方正仿宋_GBK" w:eastAsia="方正仿宋_GBK" w:cs="方正仿宋_GBK"/>
          <w:color w:val="000000"/>
          <w:sz w:val="28"/>
        </w:rPr>
        <w:t>工会经费（上解市总工会经费）</w:t>
      </w:r>
      <w:r>
        <w:rPr>
          <w:rFonts w:hint="eastAsia"/>
          <w:lang w:eastAsia="zh-CN"/>
        </w:rPr>
        <w:t>、</w:t>
      </w:r>
      <w:r>
        <w:rPr>
          <w:rFonts w:ascii="方正仿宋_GBK" w:hAnsi="方正仿宋_GBK" w:eastAsia="方正仿宋_GBK" w:cs="方正仿宋_GBK"/>
          <w:color w:val="000000"/>
          <w:sz w:val="28"/>
        </w:rPr>
        <w:t>冀财行【</w:t>
      </w:r>
      <w:r>
        <w:rPr>
          <w:rFonts w:hint="eastAsia" w:ascii="方正仿宋_GBK" w:hAnsi="方正仿宋_GBK" w:eastAsia="方正仿宋_GBK" w:cs="方正仿宋_GBK"/>
          <w:color w:val="000000"/>
          <w:sz w:val="28"/>
          <w:lang w:eastAsia="zh-CN"/>
        </w:rPr>
        <w:t>2026</w:t>
      </w:r>
      <w:r>
        <w:rPr>
          <w:rFonts w:ascii="方正仿宋_GBK" w:hAnsi="方正仿宋_GBK" w:eastAsia="方正仿宋_GBK" w:cs="方正仿宋_GBK"/>
          <w:color w:val="000000"/>
          <w:sz w:val="28"/>
        </w:rPr>
        <w:t>】100号关于提前下达2026年省级困难职工及劳模帮扶救助专项资金</w:t>
      </w:r>
      <w:r>
        <w:rPr>
          <w:rFonts w:hint="eastAsia"/>
          <w:lang w:eastAsia="zh-CN"/>
        </w:rPr>
        <w:t>、</w:t>
      </w:r>
      <w:r>
        <w:rPr>
          <w:rFonts w:ascii="方正仿宋_GBK" w:hAnsi="方正仿宋_GBK" w:eastAsia="方正仿宋_GBK" w:cs="方正仿宋_GBK"/>
          <w:color w:val="000000"/>
          <w:sz w:val="28"/>
        </w:rPr>
        <w:t>劳务派遣人员</w:t>
      </w:r>
      <w:r>
        <w:rPr>
          <w:rFonts w:hint="eastAsia" w:ascii="方正仿宋_GBK" w:hAnsi="方正仿宋_GBK" w:cs="方正仿宋_GBK"/>
          <w:color w:val="000000"/>
          <w:sz w:val="28"/>
          <w:lang w:eastAsia="zh-CN"/>
        </w:rPr>
        <w:t>、</w:t>
      </w:r>
      <w:r>
        <w:rPr>
          <w:rFonts w:ascii="方正仿宋_GBK" w:hAnsi="方正仿宋_GBK" w:eastAsia="方正仿宋_GBK" w:cs="方正仿宋_GBK"/>
          <w:color w:val="000000"/>
          <w:sz w:val="28"/>
        </w:rPr>
        <w:t>退役军人公益岗</w:t>
      </w:r>
      <w:r>
        <w:rPr>
          <w:rFonts w:hint="eastAsia" w:ascii="方正仿宋_GBK" w:hAnsi="方正仿宋_GBK" w:cs="方正仿宋_GBK"/>
          <w:color w:val="000000"/>
          <w:sz w:val="28"/>
          <w:lang w:eastAsia="zh-CN"/>
        </w:rPr>
        <w:t>、</w:t>
      </w:r>
      <w:r>
        <w:rPr>
          <w:rFonts w:hint="eastAsia" w:ascii="方正仿宋_GBK" w:hAnsi="方正仿宋_GBK" w:cs="方正仿宋_GBK"/>
          <w:color w:val="000000"/>
          <w:sz w:val="28"/>
          <w:lang w:val="en-US" w:eastAsia="zh-CN"/>
        </w:rPr>
        <w:t>自收自支人员</w:t>
      </w:r>
      <w:r>
        <w:t>等。</w:t>
      </w:r>
    </w:p>
    <w:p>
      <w:pPr>
        <w:pStyle w:val="19"/>
      </w:pPr>
      <w:r>
        <w:t>3、比上年增减情况</w:t>
      </w:r>
    </w:p>
    <w:p>
      <w:pPr>
        <w:pStyle w:val="19"/>
      </w:pPr>
      <w:r>
        <w:rPr>
          <w:rFonts w:hint="eastAsia"/>
          <w:lang w:eastAsia="zh-CN"/>
        </w:rPr>
        <w:t>2026</w:t>
      </w:r>
      <w:r>
        <w:t>年预算收支安排401.16万元，较202</w:t>
      </w:r>
      <w:r>
        <w:rPr>
          <w:rFonts w:hint="eastAsia"/>
          <w:lang w:val="en-US" w:eastAsia="zh-CN"/>
        </w:rPr>
        <w:t>5</w:t>
      </w:r>
      <w:r>
        <w:t>年预算</w:t>
      </w:r>
      <w:r>
        <w:rPr>
          <w:rFonts w:hint="eastAsia"/>
          <w:lang w:val="en-US" w:eastAsia="zh-CN"/>
        </w:rPr>
        <w:t>增加14.7</w:t>
      </w:r>
      <w:r>
        <w:t>万元，主要</w:t>
      </w:r>
      <w:r>
        <w:rPr>
          <w:rFonts w:hint="eastAsia"/>
          <w:lang w:val="en-US" w:eastAsia="zh-CN"/>
        </w:rPr>
        <w:t>增加了劳务派遣</w:t>
      </w:r>
      <w:r>
        <w:t>人员支出。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lang w:eastAsia="zh-CN"/>
        </w:rPr>
        <w:t>2026</w:t>
      </w:r>
      <w:r>
        <w:t>年，我</w:t>
      </w:r>
      <w:r>
        <w:rPr>
          <w:rFonts w:hint="eastAsia"/>
          <w:lang w:eastAsia="zh-CN"/>
        </w:rPr>
        <w:t>单位</w:t>
      </w:r>
      <w:r>
        <w:t>运行经费共计安排4.</w:t>
      </w:r>
      <w:r>
        <w:rPr>
          <w:rFonts w:hint="eastAsia"/>
          <w:lang w:val="en-US" w:eastAsia="zh-CN"/>
        </w:rPr>
        <w:t>40</w:t>
      </w:r>
      <w:r>
        <w:t>万元，主要用于公务交通补贴。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lang w:eastAsia="zh-CN"/>
        </w:rPr>
        <w:t>2026</w:t>
      </w:r>
      <w:r>
        <w:t>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5</w:t>
      </w:r>
      <w:r>
        <w:t>年相比持平，无变化。</w:t>
      </w:r>
    </w:p>
    <w:p>
      <w:pPr>
        <w:pStyle w:val="21"/>
        <w:rPr>
          <w:rFonts w:hint="eastAsia"/>
          <w:lang w:eastAsia="zh-CN"/>
        </w:rPr>
      </w:pPr>
      <w:bookmarkStart w:id="13" w:name="_Toc_3_3_0000000014"/>
      <w:r>
        <w:rPr>
          <w:rFonts w:hint="eastAsia" w:ascii="黑体" w:hAnsi="黑体" w:eastAsia="黑体" w:cs="黑体"/>
          <w:color w:val="000000"/>
          <w:sz w:val="32"/>
          <w:lang w:val="en-US" w:eastAsia="zh-CN"/>
        </w:rPr>
        <w:t>五</w:t>
      </w:r>
      <w:r>
        <w:rPr>
          <w:rFonts w:ascii="黑体" w:hAnsi="黑体" w:eastAsia="黑体" w:cs="黑体"/>
          <w:color w:val="000000"/>
          <w:sz w:val="32"/>
        </w:rPr>
        <w:t>、财政拨款“</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pPr>
        <w:pStyle w:val="21"/>
      </w:pPr>
      <w:r>
        <w:rPr>
          <w:rFonts w:hint="eastAsia"/>
          <w:lang w:eastAsia="zh-CN"/>
        </w:rPr>
        <w:t>2026</w:t>
      </w:r>
      <w:r>
        <w:t>年，我</w:t>
      </w:r>
      <w:r>
        <w:rPr>
          <w:rFonts w:hint="eastAsia"/>
          <w:lang w:eastAsia="zh-CN"/>
        </w:rPr>
        <w:t>单位</w:t>
      </w:r>
      <w:r>
        <w:t>财政拨款</w:t>
      </w:r>
      <w:r>
        <w:rPr>
          <w:rFonts w:hint="eastAsia"/>
          <w:lang w:eastAsia="zh-CN"/>
        </w:rPr>
        <w:t>“</w:t>
      </w:r>
      <w:r>
        <w:rPr>
          <w:rFonts w:hint="eastAsia"/>
          <w:lang w:val="en-US" w:eastAsia="zh-CN"/>
        </w:rPr>
        <w:t>委托业务费</w:t>
      </w:r>
      <w:r>
        <w:t>”经费预算安排</w:t>
      </w:r>
      <w:r>
        <w:rPr>
          <w:rFonts w:hint="eastAsia"/>
          <w:lang w:val="en-US" w:eastAsia="zh-CN"/>
        </w:rPr>
        <w:t>5</w:t>
      </w:r>
      <w:r>
        <w:t>万元</w:t>
      </w:r>
      <w:r>
        <w:rPr>
          <w:rFonts w:hint="eastAsia"/>
          <w:lang w:eastAsia="zh-CN"/>
        </w:rPr>
        <w:t>，</w:t>
      </w:r>
      <w:r>
        <w:rPr>
          <w:rFonts w:hint="eastAsia"/>
          <w:lang w:val="en-US" w:eastAsia="zh-CN"/>
        </w:rPr>
        <w:t>主要作为县总工会法律顾问参与工会业务相关的法律服务等业务</w:t>
      </w:r>
      <w:r>
        <w:t>。与202</w:t>
      </w:r>
      <w:r>
        <w:rPr>
          <w:rFonts w:hint="eastAsia"/>
          <w:lang w:val="en-US" w:eastAsia="zh-CN"/>
        </w:rPr>
        <w:t>5</w:t>
      </w:r>
      <w:r>
        <w:t>年相比持平，无变化。</w:t>
      </w: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bookmarkStart w:id="19" w:name="_GoBack"/>
      <w:bookmarkEnd w:id="19"/>
    </w:p>
    <w:p>
      <w:pPr>
        <w:spacing w:before="10" w:after="10" w:line="360" w:lineRule="auto"/>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w:t>
      </w:r>
      <w:bookmarkEnd w:id="13"/>
      <w:bookmarkStart w:id="14" w:name="_Toc_3_3_0000000016"/>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4"/>
    </w:p>
    <w:p>
      <w:pPr>
        <w:spacing w:before="0" w:after="0"/>
        <w:ind w:firstLine="562" w:firstLineChars="200"/>
        <w:jc w:val="left"/>
        <w:outlineLvl w:val="9"/>
      </w:pPr>
      <w:r>
        <w:rPr>
          <w:rFonts w:ascii="方正仿宋_GBK" w:hAnsi="方正仿宋_GBK" w:eastAsia="方正仿宋_GBK" w:cs="方正仿宋_GBK"/>
          <w:b/>
          <w:color w:val="000000"/>
          <w:sz w:val="28"/>
        </w:rPr>
        <w:t>1、工会经费（工会日常工作经费）绩效目标表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13052526P00003910233H</w:t>
            </w:r>
          </w:p>
        </w:tc>
        <w:tc>
          <w:tcPr>
            <w:tcW w:w="2835" w:type="dxa"/>
            <w:vAlign w:val="center"/>
          </w:tcPr>
          <w:p>
            <w:pPr>
              <w:pStyle w:val="11"/>
            </w:pPr>
            <w:r>
              <w:t>项目名称</w:t>
            </w:r>
          </w:p>
        </w:tc>
        <w:tc>
          <w:tcPr>
            <w:tcW w:w="6095" w:type="dxa"/>
            <w:gridSpan w:val="3"/>
            <w:vAlign w:val="center"/>
          </w:tcPr>
          <w:p>
            <w:pPr>
              <w:pStyle w:val="13"/>
            </w:pPr>
            <w:r>
              <w:t>工会经费（工会日常工作经费）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44.28</w:t>
            </w:r>
          </w:p>
        </w:tc>
        <w:tc>
          <w:tcPr>
            <w:tcW w:w="2835" w:type="dxa"/>
            <w:vAlign w:val="center"/>
          </w:tcPr>
          <w:p>
            <w:pPr>
              <w:pStyle w:val="11"/>
            </w:pPr>
            <w:r>
              <w:t>其中：财政    资金</w:t>
            </w:r>
          </w:p>
        </w:tc>
        <w:tc>
          <w:tcPr>
            <w:tcW w:w="2551" w:type="dxa"/>
            <w:vAlign w:val="center"/>
          </w:tcPr>
          <w:p>
            <w:pPr>
              <w:pStyle w:val="13"/>
            </w:pPr>
            <w:r>
              <w:t>44.28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为保障机构正常运转、完成日常工作任务所需的日常公用支出。</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1.运用工会经费组织职工开展活动，为职工提供服务，维护职工合法权益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工会业务开展数量</w:t>
            </w:r>
          </w:p>
        </w:tc>
        <w:tc>
          <w:tcPr>
            <w:tcW w:w="5386" w:type="dxa"/>
            <w:vAlign w:val="center"/>
          </w:tcPr>
          <w:p>
            <w:pPr>
              <w:pStyle w:val="13"/>
            </w:pPr>
            <w:r>
              <w:t>开展数量达到年初计划</w:t>
            </w:r>
          </w:p>
        </w:tc>
        <w:tc>
          <w:tcPr>
            <w:tcW w:w="2268" w:type="dxa"/>
            <w:vAlign w:val="center"/>
          </w:tcPr>
          <w:p>
            <w:pPr>
              <w:pStyle w:val="13"/>
            </w:pPr>
            <w:r>
              <w:t>≥20百分比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工会业务开展质量</w:t>
            </w:r>
          </w:p>
        </w:tc>
        <w:tc>
          <w:tcPr>
            <w:tcW w:w="5386" w:type="dxa"/>
            <w:vAlign w:val="center"/>
          </w:tcPr>
          <w:p>
            <w:pPr>
              <w:pStyle w:val="13"/>
            </w:pPr>
            <w:r>
              <w:t>按照年初计划保质保量完成</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工会业务开展时间</w:t>
            </w:r>
          </w:p>
        </w:tc>
        <w:tc>
          <w:tcPr>
            <w:tcW w:w="5386" w:type="dxa"/>
            <w:vAlign w:val="center"/>
          </w:tcPr>
          <w:p>
            <w:pPr>
              <w:pStyle w:val="13"/>
            </w:pPr>
            <w:r>
              <w:t>按照年初计划按时开展</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工会业务开展成本</w:t>
            </w:r>
          </w:p>
        </w:tc>
        <w:tc>
          <w:tcPr>
            <w:tcW w:w="5386" w:type="dxa"/>
            <w:vAlign w:val="center"/>
          </w:tcPr>
          <w:p>
            <w:pPr>
              <w:pStyle w:val="13"/>
            </w:pPr>
            <w:r>
              <w:t>每项工作开展的经费支出不超预算</w:t>
            </w:r>
          </w:p>
        </w:tc>
        <w:tc>
          <w:tcPr>
            <w:tcW w:w="2268" w:type="dxa"/>
            <w:vAlign w:val="center"/>
          </w:tcPr>
          <w:p>
            <w:pPr>
              <w:pStyle w:val="13"/>
            </w:pPr>
            <w:r>
              <w:t>≥10百分比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通过工会业务开展，增强基层工会活力，加强基层工会组织建设</w:t>
            </w:r>
          </w:p>
        </w:tc>
        <w:tc>
          <w:tcPr>
            <w:tcW w:w="2268" w:type="dxa"/>
            <w:vAlign w:val="center"/>
          </w:tcPr>
          <w:p>
            <w:pPr>
              <w:pStyle w:val="13"/>
            </w:pPr>
            <w:r>
              <w:t>≥30百分比</w:t>
            </w:r>
          </w:p>
        </w:tc>
        <w:tc>
          <w:tcPr>
            <w:tcW w:w="1276" w:type="dxa"/>
            <w:vAlign w:val="center"/>
          </w:tcPr>
          <w:p>
            <w:pPr>
              <w:pStyle w:val="13"/>
            </w:pPr>
            <w:r>
              <w:t>《工会法》《河北省总工会县级以上工会经费支出管理实施细则》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年度工作得到职工满意度</w:t>
            </w:r>
          </w:p>
        </w:tc>
        <w:tc>
          <w:tcPr>
            <w:tcW w:w="2268" w:type="dxa"/>
            <w:vAlign w:val="center"/>
          </w:tcPr>
          <w:p>
            <w:pPr>
              <w:pStyle w:val="13"/>
            </w:pPr>
            <w:r>
              <w:t>≥20百分比</w:t>
            </w:r>
          </w:p>
        </w:tc>
        <w:tc>
          <w:tcPr>
            <w:tcW w:w="1276" w:type="dxa"/>
            <w:vAlign w:val="center"/>
          </w:tcPr>
          <w:p>
            <w:pPr>
              <w:pStyle w:val="13"/>
            </w:pPr>
            <w:r>
              <w:t>《工会法》《河北省总工会县级以上工会经费支出管理实施细则》</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2、工会经费（上解市总工会经费）绩效目标表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13052526P00003910235Q</w:t>
            </w:r>
          </w:p>
        </w:tc>
        <w:tc>
          <w:tcPr>
            <w:tcW w:w="2835" w:type="dxa"/>
            <w:vAlign w:val="center"/>
          </w:tcPr>
          <w:p>
            <w:pPr>
              <w:pStyle w:val="11"/>
            </w:pPr>
            <w:r>
              <w:t>项目名称</w:t>
            </w:r>
          </w:p>
        </w:tc>
        <w:tc>
          <w:tcPr>
            <w:tcW w:w="6095" w:type="dxa"/>
            <w:gridSpan w:val="3"/>
            <w:vAlign w:val="center"/>
          </w:tcPr>
          <w:p>
            <w:pPr>
              <w:pStyle w:val="13"/>
            </w:pPr>
            <w:r>
              <w:t>工会经费（上解市总工会经费）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96.54</w:t>
            </w:r>
          </w:p>
        </w:tc>
        <w:tc>
          <w:tcPr>
            <w:tcW w:w="2835" w:type="dxa"/>
            <w:vAlign w:val="center"/>
          </w:tcPr>
          <w:p>
            <w:pPr>
              <w:pStyle w:val="11"/>
            </w:pPr>
            <w:r>
              <w:t>其中：财政    资金</w:t>
            </w:r>
          </w:p>
        </w:tc>
        <w:tc>
          <w:tcPr>
            <w:tcW w:w="2551" w:type="dxa"/>
            <w:vAlign w:val="center"/>
          </w:tcPr>
          <w:p>
            <w:pPr>
              <w:pStyle w:val="13"/>
            </w:pPr>
            <w:r>
              <w:t>96.54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按照《河北省总工会关于工会财务管理体制和经费分成的补充规定》，及时足额上解市总工会经费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1.按照《河北省总工会关于工会财务管理体制和经费分成的补充规定》，及时足额上解市总工会经费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上解市总工会经费总支出</w:t>
            </w:r>
          </w:p>
        </w:tc>
        <w:tc>
          <w:tcPr>
            <w:tcW w:w="5386" w:type="dxa"/>
            <w:vAlign w:val="center"/>
          </w:tcPr>
          <w:p>
            <w:pPr>
              <w:pStyle w:val="13"/>
            </w:pPr>
            <w:r>
              <w:t>年度总支出96.54</w:t>
            </w:r>
          </w:p>
        </w:tc>
        <w:tc>
          <w:tcPr>
            <w:tcW w:w="2268" w:type="dxa"/>
            <w:vAlign w:val="center"/>
          </w:tcPr>
          <w:p>
            <w:pPr>
              <w:pStyle w:val="13"/>
            </w:pPr>
            <w:r>
              <w:t>≥20百分比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上解市总工会经费支出率</w:t>
            </w:r>
          </w:p>
        </w:tc>
        <w:tc>
          <w:tcPr>
            <w:tcW w:w="5386" w:type="dxa"/>
            <w:vAlign w:val="center"/>
          </w:tcPr>
          <w:p>
            <w:pPr>
              <w:pStyle w:val="13"/>
            </w:pPr>
            <w:r>
              <w:t>保质保量完成支出</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上解市总工会经费支出计划</w:t>
            </w:r>
          </w:p>
        </w:tc>
        <w:tc>
          <w:tcPr>
            <w:tcW w:w="5386" w:type="dxa"/>
            <w:vAlign w:val="center"/>
          </w:tcPr>
          <w:p>
            <w:pPr>
              <w:pStyle w:val="13"/>
            </w:pPr>
            <w:r>
              <w:t>按季度完成支出比例</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上解市总工会经费支出总额</w:t>
            </w:r>
          </w:p>
        </w:tc>
        <w:tc>
          <w:tcPr>
            <w:tcW w:w="5386" w:type="dxa"/>
            <w:vAlign w:val="center"/>
          </w:tcPr>
          <w:p>
            <w:pPr>
              <w:pStyle w:val="13"/>
            </w:pPr>
            <w:r>
              <w:t>按计划完成支出</w:t>
            </w:r>
          </w:p>
        </w:tc>
        <w:tc>
          <w:tcPr>
            <w:tcW w:w="2268" w:type="dxa"/>
            <w:vAlign w:val="center"/>
          </w:tcPr>
          <w:p>
            <w:pPr>
              <w:pStyle w:val="13"/>
            </w:pPr>
            <w:r>
              <w:t>≥10百分比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及时足额上解市总工会经费、保障工运事业正常有效开展</w:t>
            </w:r>
          </w:p>
        </w:tc>
        <w:tc>
          <w:tcPr>
            <w:tcW w:w="2268" w:type="dxa"/>
            <w:vAlign w:val="center"/>
          </w:tcPr>
          <w:p>
            <w:pPr>
              <w:pStyle w:val="13"/>
            </w:pPr>
            <w:r>
              <w:t>≥30百分比</w:t>
            </w:r>
          </w:p>
        </w:tc>
        <w:tc>
          <w:tcPr>
            <w:tcW w:w="1276" w:type="dxa"/>
            <w:vAlign w:val="center"/>
          </w:tcPr>
          <w:p>
            <w:pPr>
              <w:pStyle w:val="13"/>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w:t>
            </w:r>
          </w:p>
        </w:tc>
        <w:tc>
          <w:tcPr>
            <w:tcW w:w="2268" w:type="dxa"/>
            <w:vAlign w:val="center"/>
          </w:tcPr>
          <w:p>
            <w:pPr>
              <w:pStyle w:val="13"/>
            </w:pPr>
            <w:r>
              <w:t>≥20百分比</w:t>
            </w:r>
          </w:p>
        </w:tc>
        <w:tc>
          <w:tcPr>
            <w:tcW w:w="1276" w:type="dxa"/>
            <w:vAlign w:val="center"/>
          </w:tcPr>
          <w:p>
            <w:pPr>
              <w:pStyle w:val="13"/>
            </w:pPr>
            <w:r>
              <w:t>《河北省总工会关于工会财务管理体制和经费分成的补充规定》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3、冀财行【</w:t>
      </w:r>
      <w:r>
        <w:rPr>
          <w:rFonts w:hint="eastAsia" w:ascii="方正仿宋_GBK" w:hAnsi="方正仿宋_GBK" w:eastAsia="方正仿宋_GBK" w:cs="方正仿宋_GBK"/>
          <w:b/>
          <w:color w:val="000000"/>
          <w:sz w:val="28"/>
          <w:lang w:eastAsia="zh-CN"/>
        </w:rPr>
        <w:t>2026</w:t>
      </w:r>
      <w:r>
        <w:rPr>
          <w:rFonts w:ascii="方正仿宋_GBK" w:hAnsi="方正仿宋_GBK" w:eastAsia="方正仿宋_GBK" w:cs="方正仿宋_GBK"/>
          <w:b/>
          <w:color w:val="000000"/>
          <w:sz w:val="28"/>
        </w:rPr>
        <w:t>】100号关于提前下达2026年省级困难职工及劳模帮扶救助专项资金绩效目标表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13052526P000032100047</w:t>
            </w:r>
          </w:p>
        </w:tc>
        <w:tc>
          <w:tcPr>
            <w:tcW w:w="2835" w:type="dxa"/>
            <w:vAlign w:val="center"/>
          </w:tcPr>
          <w:p>
            <w:pPr>
              <w:pStyle w:val="11"/>
            </w:pPr>
            <w:r>
              <w:t>项目名称</w:t>
            </w:r>
          </w:p>
        </w:tc>
        <w:tc>
          <w:tcPr>
            <w:tcW w:w="6095" w:type="dxa"/>
            <w:gridSpan w:val="3"/>
            <w:vAlign w:val="center"/>
          </w:tcPr>
          <w:p>
            <w:pPr>
              <w:pStyle w:val="13"/>
            </w:pPr>
            <w:r>
              <w:t>冀财行【</w:t>
            </w:r>
            <w:r>
              <w:rPr>
                <w:rFonts w:hint="eastAsia"/>
                <w:lang w:eastAsia="zh-CN"/>
              </w:rPr>
              <w:t>2026</w:t>
            </w:r>
            <w:r>
              <w:t>】100号关于提前下达2026年省级困难职工及劳模帮扶救助专项资金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10.39</w:t>
            </w:r>
          </w:p>
        </w:tc>
        <w:tc>
          <w:tcPr>
            <w:tcW w:w="2835" w:type="dxa"/>
            <w:vAlign w:val="center"/>
          </w:tcPr>
          <w:p>
            <w:pPr>
              <w:pStyle w:val="11"/>
            </w:pPr>
            <w:r>
              <w:t>其中：财政    资金</w:t>
            </w:r>
          </w:p>
        </w:tc>
        <w:tc>
          <w:tcPr>
            <w:tcW w:w="2551" w:type="dxa"/>
            <w:vAlign w:val="center"/>
          </w:tcPr>
          <w:p>
            <w:pPr>
              <w:pStyle w:val="13"/>
            </w:pPr>
            <w:r>
              <w:t>10.39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困难职工及劳模帮扶救助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1.完成困难职工及劳模帮扶救助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困难职工帮扶救助人数</w:t>
            </w:r>
          </w:p>
        </w:tc>
        <w:tc>
          <w:tcPr>
            <w:tcW w:w="5386" w:type="dxa"/>
            <w:vAlign w:val="center"/>
          </w:tcPr>
          <w:p>
            <w:pPr>
              <w:pStyle w:val="13"/>
            </w:pPr>
            <w:r>
              <w:t>按建档人数实施救助</w:t>
            </w:r>
          </w:p>
        </w:tc>
        <w:tc>
          <w:tcPr>
            <w:tcW w:w="2268" w:type="dxa"/>
            <w:vAlign w:val="center"/>
          </w:tcPr>
          <w:p>
            <w:pPr>
              <w:pStyle w:val="13"/>
            </w:pPr>
            <w:r>
              <w:t>≥20按建档人数实施救助</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保质保量完成</w:t>
            </w:r>
          </w:p>
        </w:tc>
        <w:tc>
          <w:tcPr>
            <w:tcW w:w="5386" w:type="dxa"/>
            <w:vAlign w:val="center"/>
          </w:tcPr>
          <w:p>
            <w:pPr>
              <w:pStyle w:val="13"/>
            </w:pPr>
            <w:r>
              <w:t>及时足额救助</w:t>
            </w:r>
          </w:p>
        </w:tc>
        <w:tc>
          <w:tcPr>
            <w:tcW w:w="2268" w:type="dxa"/>
            <w:vAlign w:val="center"/>
          </w:tcPr>
          <w:p>
            <w:pPr>
              <w:pStyle w:val="13"/>
            </w:pPr>
            <w:r>
              <w:t>≥10保质保量完成</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及时救助</w:t>
            </w:r>
          </w:p>
        </w:tc>
        <w:tc>
          <w:tcPr>
            <w:tcW w:w="5386" w:type="dxa"/>
            <w:vAlign w:val="center"/>
          </w:tcPr>
          <w:p>
            <w:pPr>
              <w:pStyle w:val="13"/>
            </w:pPr>
            <w:r>
              <w:t>按照年初计划及时救助</w:t>
            </w:r>
          </w:p>
        </w:tc>
        <w:tc>
          <w:tcPr>
            <w:tcW w:w="2268" w:type="dxa"/>
            <w:vAlign w:val="center"/>
          </w:tcPr>
          <w:p>
            <w:pPr>
              <w:pStyle w:val="13"/>
            </w:pPr>
            <w:r>
              <w:t>≥10及时救助</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≥10不超预算金额</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职工生活状况</w:t>
            </w:r>
          </w:p>
        </w:tc>
        <w:tc>
          <w:tcPr>
            <w:tcW w:w="5386" w:type="dxa"/>
            <w:vAlign w:val="center"/>
          </w:tcPr>
          <w:p>
            <w:pPr>
              <w:pStyle w:val="13"/>
            </w:pPr>
            <w:r>
              <w:t>入户走访或电话回访收集职工反馈意见</w:t>
            </w:r>
          </w:p>
        </w:tc>
        <w:tc>
          <w:tcPr>
            <w:tcW w:w="2268" w:type="dxa"/>
            <w:vAlign w:val="center"/>
          </w:tcPr>
          <w:p>
            <w:pPr>
              <w:pStyle w:val="13"/>
            </w:pPr>
            <w:r>
              <w:t>≥30百分率</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受助困难职工满意度</w:t>
            </w:r>
          </w:p>
        </w:tc>
        <w:tc>
          <w:tcPr>
            <w:tcW w:w="5386" w:type="dxa"/>
            <w:vAlign w:val="center"/>
          </w:tcPr>
          <w:p>
            <w:pPr>
              <w:pStyle w:val="13"/>
            </w:pPr>
            <w:r>
              <w:t>受助困难职工对工会帮扶救助工作的满意度</w:t>
            </w:r>
          </w:p>
        </w:tc>
        <w:tc>
          <w:tcPr>
            <w:tcW w:w="2268" w:type="dxa"/>
            <w:vAlign w:val="center"/>
          </w:tcPr>
          <w:p>
            <w:pPr>
              <w:pStyle w:val="13"/>
            </w:pPr>
            <w:r>
              <w:t>≥20百分率</w:t>
            </w:r>
          </w:p>
        </w:tc>
        <w:tc>
          <w:tcPr>
            <w:tcW w:w="1276" w:type="dxa"/>
            <w:vAlign w:val="center"/>
          </w:tcPr>
          <w:p>
            <w:pPr>
              <w:pStyle w:val="13"/>
            </w:pPr>
            <w:r>
              <w:t>《冀财行【</w:t>
            </w:r>
            <w:r>
              <w:rPr>
                <w:rFonts w:hint="eastAsia"/>
                <w:lang w:eastAsia="zh-CN"/>
              </w:rPr>
              <w:t>2026</w:t>
            </w:r>
            <w:r>
              <w:t>】100号关于提前下达2026年省级困难职工及劳模帮扶救助专项资金的通知》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13052526P000003100099</w:t>
            </w:r>
          </w:p>
        </w:tc>
        <w:tc>
          <w:tcPr>
            <w:tcW w:w="2835" w:type="dxa"/>
            <w:vAlign w:val="center"/>
          </w:tcPr>
          <w:p>
            <w:pPr>
              <w:pStyle w:val="11"/>
            </w:pPr>
            <w:r>
              <w:t>项目名称</w:t>
            </w:r>
          </w:p>
        </w:tc>
        <w:tc>
          <w:tcPr>
            <w:tcW w:w="6095" w:type="dxa"/>
            <w:gridSpan w:val="3"/>
            <w:vAlign w:val="center"/>
          </w:tcPr>
          <w:p>
            <w:pPr>
              <w:pStyle w:val="13"/>
            </w:pPr>
            <w:r>
              <w:t>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15.35</w:t>
            </w:r>
          </w:p>
        </w:tc>
        <w:tc>
          <w:tcPr>
            <w:tcW w:w="2835" w:type="dxa"/>
            <w:vAlign w:val="center"/>
          </w:tcPr>
          <w:p>
            <w:pPr>
              <w:pStyle w:val="11"/>
            </w:pPr>
            <w:r>
              <w:t>其中：财政    资金</w:t>
            </w:r>
          </w:p>
        </w:tc>
        <w:tc>
          <w:tcPr>
            <w:tcW w:w="2551" w:type="dxa"/>
            <w:vAlign w:val="center"/>
          </w:tcPr>
          <w:p>
            <w:pPr>
              <w:pStyle w:val="13"/>
            </w:pPr>
            <w:r>
              <w:t>15.35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保障劳务派遣社工岗工作人员工资及时足额发放</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1.保障劳务派遣社工岗工作人员工资及时足额发放</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社工岗工资支出人数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r>
              <w:t>关于印发《河北省工会社会工作岗位管理办法》的通知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r>
              <w:t>关于印发《河北省工会社会工作岗位管理办法》的通知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5、退役军人公益岗绩效目标表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13052526P008707100131</w:t>
            </w:r>
          </w:p>
        </w:tc>
        <w:tc>
          <w:tcPr>
            <w:tcW w:w="2835" w:type="dxa"/>
            <w:vAlign w:val="center"/>
          </w:tcPr>
          <w:p>
            <w:pPr>
              <w:pStyle w:val="11"/>
            </w:pPr>
            <w:r>
              <w:t>项目名称</w:t>
            </w:r>
          </w:p>
        </w:tc>
        <w:tc>
          <w:tcPr>
            <w:tcW w:w="6095" w:type="dxa"/>
            <w:gridSpan w:val="3"/>
            <w:vAlign w:val="center"/>
          </w:tcPr>
          <w:p>
            <w:pPr>
              <w:pStyle w:val="13"/>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w:t>
            </w:r>
          </w:p>
        </w:tc>
        <w:tc>
          <w:tcPr>
            <w:tcW w:w="2835" w:type="dxa"/>
            <w:vAlign w:val="center"/>
          </w:tcPr>
          <w:p>
            <w:pPr>
              <w:pStyle w:val="11"/>
            </w:pPr>
            <w:r>
              <w:t>其中：财政    资金</w:t>
            </w:r>
          </w:p>
        </w:tc>
        <w:tc>
          <w:tcPr>
            <w:tcW w:w="2551" w:type="dxa"/>
            <w:vAlign w:val="center"/>
          </w:tcPr>
          <w:p>
            <w:pPr>
              <w:pStyle w:val="13"/>
            </w:pPr>
            <w:r>
              <w:t>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保障退役军人公益岗工作人员工资及时足额发放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1.保障退役军人公益岗工作人员工资及时足额发放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r>
              <w:t>隆尧县人民政府专题会议纪要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6、自收自支人员绩效目标表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13052526P00000210010Y</w:t>
            </w:r>
          </w:p>
        </w:tc>
        <w:tc>
          <w:tcPr>
            <w:tcW w:w="2835" w:type="dxa"/>
            <w:vAlign w:val="center"/>
          </w:tcPr>
          <w:p>
            <w:pPr>
              <w:pStyle w:val="11"/>
            </w:pPr>
            <w:r>
              <w:t>项目名称</w:t>
            </w:r>
          </w:p>
        </w:tc>
        <w:tc>
          <w:tcPr>
            <w:tcW w:w="6095" w:type="dxa"/>
            <w:gridSpan w:val="3"/>
            <w:vAlign w:val="center"/>
          </w:tcPr>
          <w:p>
            <w:pPr>
              <w:pStyle w:val="13"/>
            </w:pPr>
            <w:r>
              <w:t>自收自支人员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119.17</w:t>
            </w:r>
          </w:p>
        </w:tc>
        <w:tc>
          <w:tcPr>
            <w:tcW w:w="2835" w:type="dxa"/>
            <w:vAlign w:val="center"/>
          </w:tcPr>
          <w:p>
            <w:pPr>
              <w:pStyle w:val="11"/>
            </w:pPr>
            <w:r>
              <w:t>其中：财政    资金</w:t>
            </w:r>
          </w:p>
        </w:tc>
        <w:tc>
          <w:tcPr>
            <w:tcW w:w="2551" w:type="dxa"/>
            <w:vAlign w:val="center"/>
          </w:tcPr>
          <w:p>
            <w:pPr>
              <w:pStyle w:val="13"/>
            </w:pPr>
            <w:r>
              <w:t>119.17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保障事业人员工资及时足额发放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rPr>
                <w:rFonts w:hint="eastAsia"/>
                <w:lang w:val="en-US" w:eastAsia="zh-CN"/>
              </w:rPr>
              <w:t>9</w:t>
            </w:r>
            <w:r>
              <w:t>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1.保障事业人员工资及时足额发放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事业人员工资支出人数</w:t>
            </w:r>
          </w:p>
        </w:tc>
        <w:tc>
          <w:tcPr>
            <w:tcW w:w="5386" w:type="dxa"/>
            <w:vAlign w:val="center"/>
          </w:tcPr>
          <w:p>
            <w:pPr>
              <w:pStyle w:val="13"/>
            </w:pPr>
            <w:r>
              <w:t>保障所有人员工资</w:t>
            </w:r>
          </w:p>
        </w:tc>
        <w:tc>
          <w:tcPr>
            <w:tcW w:w="2268" w:type="dxa"/>
            <w:vAlign w:val="center"/>
          </w:tcPr>
          <w:p>
            <w:pPr>
              <w:pStyle w:val="13"/>
            </w:pPr>
            <w:r>
              <w:t>≥20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足额按工资表发放</w:t>
            </w:r>
          </w:p>
        </w:tc>
        <w:tc>
          <w:tcPr>
            <w:tcW w:w="5386" w:type="dxa"/>
            <w:vAlign w:val="center"/>
          </w:tcPr>
          <w:p>
            <w:pPr>
              <w:pStyle w:val="13"/>
            </w:pPr>
            <w:r>
              <w:t>保质保量完成支出</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工资支出及时发放</w:t>
            </w:r>
          </w:p>
        </w:tc>
        <w:tc>
          <w:tcPr>
            <w:tcW w:w="5386" w:type="dxa"/>
            <w:vAlign w:val="center"/>
          </w:tcPr>
          <w:p>
            <w:pPr>
              <w:pStyle w:val="13"/>
            </w:pPr>
            <w:r>
              <w:t>按月及时发放</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工资支出总额不超预算</w:t>
            </w:r>
          </w:p>
        </w:tc>
        <w:tc>
          <w:tcPr>
            <w:tcW w:w="5386" w:type="dxa"/>
            <w:vAlign w:val="center"/>
          </w:tcPr>
          <w:p>
            <w:pPr>
              <w:pStyle w:val="13"/>
            </w:pPr>
            <w:r>
              <w:t>按计划完成支出</w:t>
            </w:r>
          </w:p>
        </w:tc>
        <w:tc>
          <w:tcPr>
            <w:tcW w:w="2268" w:type="dxa"/>
            <w:vAlign w:val="center"/>
          </w:tcPr>
          <w:p>
            <w:pPr>
              <w:pStyle w:val="13"/>
            </w:pPr>
            <w:r>
              <w:t>≥10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社会满意度</w:t>
            </w:r>
          </w:p>
        </w:tc>
        <w:tc>
          <w:tcPr>
            <w:tcW w:w="5386" w:type="dxa"/>
            <w:vAlign w:val="center"/>
          </w:tcPr>
          <w:p>
            <w:pPr>
              <w:pStyle w:val="13"/>
            </w:pPr>
            <w:r>
              <w:t>运用机关人员工资，有效保障机关顺利完成各项工作任务</w:t>
            </w:r>
          </w:p>
        </w:tc>
        <w:tc>
          <w:tcPr>
            <w:tcW w:w="2268" w:type="dxa"/>
            <w:vAlign w:val="center"/>
          </w:tcPr>
          <w:p>
            <w:pPr>
              <w:pStyle w:val="13"/>
            </w:pPr>
            <w:r>
              <w:t>≥30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年度工作得到职工满意率</w:t>
            </w:r>
          </w:p>
        </w:tc>
        <w:tc>
          <w:tcPr>
            <w:tcW w:w="2268" w:type="dxa"/>
            <w:vAlign w:val="center"/>
          </w:tcPr>
          <w:p>
            <w:pPr>
              <w:pStyle w:val="13"/>
            </w:pPr>
            <w:r>
              <w:t>≥20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5"/>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隆尧县总工会</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711</w:t>
            </w:r>
            <w:r>
              <w:rPr>
                <w:rFonts w:hint="eastAsia"/>
                <w:lang w:val="en-US" w:eastAsia="zh-CN"/>
              </w:rPr>
              <w:t>001</w:t>
            </w:r>
            <w:r>
              <w:t>隆尧县总工会</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w:t>
            </w:r>
            <w:r>
              <w:rPr>
                <w:rFonts w:hint="eastAsia"/>
                <w:lang w:eastAsia="zh-CN"/>
              </w:rPr>
              <w:t>2026</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Segoe UI">
    <w:panose1 w:val="020B0502040204020203"/>
    <w:charset w:val="00"/>
    <w:family w:val="auto"/>
    <w:pitch w:val="default"/>
    <w:sig w:usb0="E4002EFF" w:usb1="C000E47F"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35942"/>
    <w:rsid w:val="019F6885"/>
    <w:rsid w:val="04A94931"/>
    <w:rsid w:val="05C44661"/>
    <w:rsid w:val="08117F65"/>
    <w:rsid w:val="0AE42398"/>
    <w:rsid w:val="12CC3E8F"/>
    <w:rsid w:val="16727F9F"/>
    <w:rsid w:val="1A586843"/>
    <w:rsid w:val="1D671F3C"/>
    <w:rsid w:val="22E36FD8"/>
    <w:rsid w:val="23BC399E"/>
    <w:rsid w:val="296758EB"/>
    <w:rsid w:val="2E632B91"/>
    <w:rsid w:val="33B37260"/>
    <w:rsid w:val="34387BF3"/>
    <w:rsid w:val="34AA7584"/>
    <w:rsid w:val="39262C7B"/>
    <w:rsid w:val="3B983682"/>
    <w:rsid w:val="3E975E28"/>
    <w:rsid w:val="4FB93FFA"/>
    <w:rsid w:val="50751DE2"/>
    <w:rsid w:val="59746297"/>
    <w:rsid w:val="5BFE7686"/>
    <w:rsid w:val="77466881"/>
    <w:rsid w:val="7B770A5F"/>
    <w:rsid w:val="7BF82FEA"/>
    <w:rsid w:val="7D381AEA"/>
    <w:rsid w:val="7EB821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keepNext w:val="0"/>
      <w:keepLines w:val="0"/>
      <w:widowControl/>
      <w:suppressLineNumbers w:val="0"/>
      <w:spacing w:before="0" w:beforeAutospacing="0" w:after="0" w:afterAutospacing="0" w:line="500" w:lineRule="exact"/>
      <w:ind w:left="0" w:right="0" w:firstLine="560"/>
      <w:jc w:val="left"/>
    </w:pPr>
    <w:rPr>
      <w:rFonts w:hint="default" w:ascii="Times New Roman" w:hAnsi="Times New Roman" w:eastAsia="方正仿宋_GBK" w:cs="Times New Roman"/>
      <w:kern w:val="0"/>
      <w:sz w:val="28"/>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Words>7683</Words>
  <Characters>9195</Characters>
  <TotalTime>0</TotalTime>
  <ScaleCrop>false</ScaleCrop>
  <LinksUpToDate>false</LinksUpToDate>
  <CharactersWithSpaces>9360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Administrator.WIN7-1606020914</dc:creator>
  <cp:lastModifiedBy>守候幸福</cp:lastModifiedBy>
  <dcterms:modified xsi:type="dcterms:W3CDTF">2026-02-11T03:34:44Z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30D11FABA42C4BEA8ABE30B1CF2AF821</vt:lpwstr>
  </property>
</Properties>
</file>