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711隆尧县总工会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401.16</w:t>
            </w:r>
          </w:p>
        </w:tc>
        <w:tc>
          <w:tcPr>
            <w:tcW w:w="4535" w:type="dxa"/>
            <w:vAlign w:val="center"/>
          </w:tcPr>
          <w:p>
            <w:pPr>
              <w:pStyle w:val="13"/>
            </w:pPr>
            <w:r>
              <w:t>一、一般公共服务支出</w:t>
            </w:r>
          </w:p>
        </w:tc>
        <w:tc>
          <w:tcPr>
            <w:tcW w:w="2126" w:type="dxa"/>
            <w:vAlign w:val="center"/>
          </w:tcPr>
          <w:p>
            <w:pPr>
              <w:pStyle w:val="12"/>
            </w:pPr>
            <w:r>
              <w:t>348.32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401.16</w:t>
            </w:r>
          </w:p>
        </w:tc>
        <w:tc>
          <w:tcPr>
            <w:tcW w:w="4535" w:type="dxa"/>
            <w:vAlign w:val="center"/>
          </w:tcPr>
          <w:p>
            <w:pPr>
              <w:pStyle w:val="15"/>
            </w:pPr>
            <w:r>
              <w:t>本年支出合计</w:t>
            </w:r>
          </w:p>
        </w:tc>
        <w:tc>
          <w:tcPr>
            <w:tcW w:w="2126" w:type="dxa"/>
            <w:vAlign w:val="center"/>
          </w:tcPr>
          <w:p>
            <w:pPr>
              <w:pStyle w:val="16"/>
            </w:pPr>
            <w:r>
              <w:t>401.16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401.16</w:t>
            </w:r>
          </w:p>
        </w:tc>
        <w:tc>
          <w:tcPr>
            <w:tcW w:w="4535" w:type="dxa"/>
            <w:vAlign w:val="center"/>
          </w:tcPr>
          <w:p>
            <w:pPr>
              <w:pStyle w:val="15"/>
            </w:pPr>
            <w:r>
              <w:t>支出总计</w:t>
            </w:r>
          </w:p>
        </w:tc>
        <w:tc>
          <w:tcPr>
            <w:tcW w:w="2126" w:type="dxa"/>
            <w:vAlign w:val="center"/>
          </w:tcPr>
          <w:p>
            <w:pPr>
              <w:pStyle w:val="16"/>
            </w:pPr>
            <w:r>
              <w:t>401.16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711隆尧县总工会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401.16</w:t>
            </w:r>
          </w:p>
        </w:tc>
        <w:tc>
          <w:tcPr>
            <w:tcW w:w="1134" w:type="dxa"/>
            <w:vAlign w:val="center"/>
          </w:tcPr>
          <w:p>
            <w:pPr>
              <w:pStyle w:val="16"/>
            </w:pPr>
            <w:r>
              <w:t>401.16</w:t>
            </w:r>
          </w:p>
        </w:tc>
        <w:tc>
          <w:tcPr>
            <w:tcW w:w="1134" w:type="dxa"/>
            <w:vAlign w:val="center"/>
          </w:tcPr>
          <w:p>
            <w:pPr>
              <w:pStyle w:val="16"/>
            </w:pPr>
            <w:r>
              <w:t>401.16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348.32</w:t>
            </w:r>
          </w:p>
        </w:tc>
        <w:tc>
          <w:tcPr>
            <w:tcW w:w="1134" w:type="dxa"/>
            <w:vAlign w:val="center"/>
          </w:tcPr>
          <w:p>
            <w:pPr>
              <w:pStyle w:val="12"/>
            </w:pPr>
            <w:r>
              <w:t>348.32</w:t>
            </w:r>
          </w:p>
        </w:tc>
        <w:tc>
          <w:tcPr>
            <w:tcW w:w="1134" w:type="dxa"/>
            <w:vAlign w:val="center"/>
          </w:tcPr>
          <w:p>
            <w:pPr>
              <w:pStyle w:val="12"/>
            </w:pPr>
            <w:r>
              <w:t>348.32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348.32</w:t>
            </w:r>
          </w:p>
        </w:tc>
        <w:tc>
          <w:tcPr>
            <w:tcW w:w="1134" w:type="dxa"/>
            <w:vAlign w:val="center"/>
          </w:tcPr>
          <w:p>
            <w:pPr>
              <w:pStyle w:val="12"/>
            </w:pPr>
            <w:r>
              <w:t>348.32</w:t>
            </w:r>
          </w:p>
        </w:tc>
        <w:tc>
          <w:tcPr>
            <w:tcW w:w="1134" w:type="dxa"/>
            <w:vAlign w:val="center"/>
          </w:tcPr>
          <w:p>
            <w:pPr>
              <w:pStyle w:val="12"/>
            </w:pPr>
            <w:r>
              <w:t>348.32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318.54</w:t>
            </w:r>
          </w:p>
        </w:tc>
        <w:tc>
          <w:tcPr>
            <w:tcW w:w="1134" w:type="dxa"/>
            <w:vAlign w:val="center"/>
          </w:tcPr>
          <w:p>
            <w:pPr>
              <w:pStyle w:val="12"/>
            </w:pPr>
            <w:r>
              <w:t>318.54</w:t>
            </w:r>
          </w:p>
        </w:tc>
        <w:tc>
          <w:tcPr>
            <w:tcW w:w="1134" w:type="dxa"/>
            <w:vAlign w:val="center"/>
          </w:tcPr>
          <w:p>
            <w:pPr>
              <w:pStyle w:val="12"/>
            </w:pPr>
            <w:r>
              <w:t>318.54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29.78</w:t>
            </w:r>
          </w:p>
        </w:tc>
        <w:tc>
          <w:tcPr>
            <w:tcW w:w="1134" w:type="dxa"/>
            <w:vAlign w:val="center"/>
          </w:tcPr>
          <w:p>
            <w:pPr>
              <w:pStyle w:val="12"/>
            </w:pPr>
            <w:r>
              <w:t>29.78</w:t>
            </w:r>
          </w:p>
        </w:tc>
        <w:tc>
          <w:tcPr>
            <w:tcW w:w="1134" w:type="dxa"/>
            <w:vAlign w:val="center"/>
          </w:tcPr>
          <w:p>
            <w:pPr>
              <w:pStyle w:val="12"/>
            </w:pPr>
            <w:r>
              <w:t>29.78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26.65</w:t>
            </w:r>
          </w:p>
        </w:tc>
        <w:tc>
          <w:tcPr>
            <w:tcW w:w="1134" w:type="dxa"/>
            <w:vAlign w:val="center"/>
          </w:tcPr>
          <w:p>
            <w:pPr>
              <w:pStyle w:val="12"/>
            </w:pPr>
            <w:r>
              <w:t>26.65</w:t>
            </w:r>
          </w:p>
        </w:tc>
        <w:tc>
          <w:tcPr>
            <w:tcW w:w="1134" w:type="dxa"/>
            <w:vAlign w:val="center"/>
          </w:tcPr>
          <w:p>
            <w:pPr>
              <w:pStyle w:val="12"/>
            </w:pPr>
            <w:r>
              <w:t>26.65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26.65</w:t>
            </w:r>
          </w:p>
        </w:tc>
        <w:tc>
          <w:tcPr>
            <w:tcW w:w="1134" w:type="dxa"/>
            <w:vAlign w:val="center"/>
          </w:tcPr>
          <w:p>
            <w:pPr>
              <w:pStyle w:val="12"/>
            </w:pPr>
            <w:r>
              <w:t>26.65</w:t>
            </w:r>
          </w:p>
        </w:tc>
        <w:tc>
          <w:tcPr>
            <w:tcW w:w="1134" w:type="dxa"/>
            <w:vAlign w:val="center"/>
          </w:tcPr>
          <w:p>
            <w:pPr>
              <w:pStyle w:val="12"/>
            </w:pPr>
            <w:r>
              <w:t>26.65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20.76</w:t>
            </w:r>
          </w:p>
        </w:tc>
        <w:tc>
          <w:tcPr>
            <w:tcW w:w="1134" w:type="dxa"/>
            <w:vAlign w:val="center"/>
          </w:tcPr>
          <w:p>
            <w:pPr>
              <w:pStyle w:val="12"/>
            </w:pPr>
            <w:r>
              <w:t>20.76</w:t>
            </w:r>
          </w:p>
        </w:tc>
        <w:tc>
          <w:tcPr>
            <w:tcW w:w="1134" w:type="dxa"/>
            <w:vAlign w:val="center"/>
          </w:tcPr>
          <w:p>
            <w:pPr>
              <w:pStyle w:val="12"/>
            </w:pPr>
            <w:r>
              <w:t>20.76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5.89</w:t>
            </w:r>
          </w:p>
        </w:tc>
        <w:tc>
          <w:tcPr>
            <w:tcW w:w="1134" w:type="dxa"/>
            <w:vAlign w:val="center"/>
          </w:tcPr>
          <w:p>
            <w:pPr>
              <w:pStyle w:val="12"/>
            </w:pPr>
            <w:r>
              <w:t>5.89</w:t>
            </w:r>
          </w:p>
        </w:tc>
        <w:tc>
          <w:tcPr>
            <w:tcW w:w="1134" w:type="dxa"/>
            <w:vAlign w:val="center"/>
          </w:tcPr>
          <w:p>
            <w:pPr>
              <w:pStyle w:val="12"/>
            </w:pPr>
            <w:r>
              <w:t>5.89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711隆尧县总工会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401.16</w:t>
            </w:r>
          </w:p>
        </w:tc>
        <w:tc>
          <w:tcPr>
            <w:tcW w:w="1361" w:type="dxa"/>
            <w:vAlign w:val="center"/>
          </w:tcPr>
          <w:p>
            <w:pPr>
              <w:pStyle w:val="16"/>
            </w:pPr>
            <w:r>
              <w:t>111.38</w:t>
            </w:r>
          </w:p>
        </w:tc>
        <w:tc>
          <w:tcPr>
            <w:tcW w:w="1361" w:type="dxa"/>
            <w:vAlign w:val="center"/>
          </w:tcPr>
          <w:p>
            <w:pPr>
              <w:pStyle w:val="16"/>
            </w:pPr>
            <w:r>
              <w:t>289.78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348.32</w:t>
            </w:r>
          </w:p>
        </w:tc>
        <w:tc>
          <w:tcPr>
            <w:tcW w:w="1361" w:type="dxa"/>
            <w:vAlign w:val="center"/>
          </w:tcPr>
          <w:p>
            <w:pPr>
              <w:pStyle w:val="12"/>
            </w:pPr>
            <w:r>
              <w:t>91.83</w:t>
            </w:r>
          </w:p>
        </w:tc>
        <w:tc>
          <w:tcPr>
            <w:tcW w:w="1361" w:type="dxa"/>
            <w:vAlign w:val="center"/>
          </w:tcPr>
          <w:p>
            <w:pPr>
              <w:pStyle w:val="12"/>
            </w:pPr>
            <w:r>
              <w:t>256.49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348.32</w:t>
            </w:r>
          </w:p>
        </w:tc>
        <w:tc>
          <w:tcPr>
            <w:tcW w:w="1361" w:type="dxa"/>
            <w:vAlign w:val="center"/>
          </w:tcPr>
          <w:p>
            <w:pPr>
              <w:pStyle w:val="12"/>
            </w:pPr>
            <w:r>
              <w:t>91.83</w:t>
            </w:r>
          </w:p>
        </w:tc>
        <w:tc>
          <w:tcPr>
            <w:tcW w:w="1361" w:type="dxa"/>
            <w:vAlign w:val="center"/>
          </w:tcPr>
          <w:p>
            <w:pPr>
              <w:pStyle w:val="12"/>
            </w:pPr>
            <w:r>
              <w:t>256.49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318.54</w:t>
            </w:r>
          </w:p>
        </w:tc>
        <w:tc>
          <w:tcPr>
            <w:tcW w:w="1361" w:type="dxa"/>
            <w:vAlign w:val="center"/>
          </w:tcPr>
          <w:p>
            <w:pPr>
              <w:pStyle w:val="12"/>
            </w:pPr>
            <w:r>
              <w:t>91.83</w:t>
            </w:r>
          </w:p>
        </w:tc>
        <w:tc>
          <w:tcPr>
            <w:tcW w:w="1361" w:type="dxa"/>
            <w:vAlign w:val="center"/>
          </w:tcPr>
          <w:p>
            <w:pPr>
              <w:pStyle w:val="12"/>
            </w:pPr>
            <w:r>
              <w:t>226.71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29.78</w:t>
            </w:r>
          </w:p>
        </w:tc>
        <w:tc>
          <w:tcPr>
            <w:tcW w:w="1361" w:type="dxa"/>
            <w:vAlign w:val="center"/>
          </w:tcPr>
          <w:p>
            <w:pPr>
              <w:pStyle w:val="12"/>
            </w:pPr>
          </w:p>
        </w:tc>
        <w:tc>
          <w:tcPr>
            <w:tcW w:w="1361" w:type="dxa"/>
            <w:vAlign w:val="center"/>
          </w:tcPr>
          <w:p>
            <w:pPr>
              <w:pStyle w:val="12"/>
            </w:pPr>
            <w:r>
              <w:t>29.78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26.65</w:t>
            </w:r>
          </w:p>
        </w:tc>
        <w:tc>
          <w:tcPr>
            <w:tcW w:w="1361" w:type="dxa"/>
            <w:vAlign w:val="center"/>
          </w:tcPr>
          <w:p>
            <w:pPr>
              <w:pStyle w:val="12"/>
            </w:pPr>
            <w:r>
              <w:t>8.98</w:t>
            </w:r>
          </w:p>
        </w:tc>
        <w:tc>
          <w:tcPr>
            <w:tcW w:w="1361" w:type="dxa"/>
            <w:vAlign w:val="center"/>
          </w:tcPr>
          <w:p>
            <w:pPr>
              <w:pStyle w:val="12"/>
            </w:pPr>
            <w:r>
              <w:t>17.67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26.65</w:t>
            </w:r>
          </w:p>
        </w:tc>
        <w:tc>
          <w:tcPr>
            <w:tcW w:w="1361" w:type="dxa"/>
            <w:vAlign w:val="center"/>
          </w:tcPr>
          <w:p>
            <w:pPr>
              <w:pStyle w:val="12"/>
            </w:pPr>
            <w:r>
              <w:t>8.98</w:t>
            </w:r>
          </w:p>
        </w:tc>
        <w:tc>
          <w:tcPr>
            <w:tcW w:w="1361" w:type="dxa"/>
            <w:vAlign w:val="center"/>
          </w:tcPr>
          <w:p>
            <w:pPr>
              <w:pStyle w:val="12"/>
            </w:pPr>
            <w:r>
              <w:t>17.67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20.76</w:t>
            </w:r>
          </w:p>
        </w:tc>
        <w:tc>
          <w:tcPr>
            <w:tcW w:w="1361" w:type="dxa"/>
            <w:vAlign w:val="center"/>
          </w:tcPr>
          <w:p>
            <w:pPr>
              <w:pStyle w:val="12"/>
            </w:pPr>
            <w:r>
              <w:t>8.98</w:t>
            </w:r>
          </w:p>
        </w:tc>
        <w:tc>
          <w:tcPr>
            <w:tcW w:w="1361" w:type="dxa"/>
            <w:vAlign w:val="center"/>
          </w:tcPr>
          <w:p>
            <w:pPr>
              <w:pStyle w:val="12"/>
            </w:pPr>
            <w:r>
              <w:t>11.78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5.89</w:t>
            </w:r>
          </w:p>
        </w:tc>
        <w:tc>
          <w:tcPr>
            <w:tcW w:w="1361" w:type="dxa"/>
            <w:vAlign w:val="center"/>
          </w:tcPr>
          <w:p>
            <w:pPr>
              <w:pStyle w:val="12"/>
            </w:pPr>
          </w:p>
        </w:tc>
        <w:tc>
          <w:tcPr>
            <w:tcW w:w="1361" w:type="dxa"/>
            <w:vAlign w:val="center"/>
          </w:tcPr>
          <w:p>
            <w:pPr>
              <w:pStyle w:val="12"/>
            </w:pPr>
            <w:r>
              <w:t>5.89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9.81</w:t>
            </w:r>
          </w:p>
        </w:tc>
        <w:tc>
          <w:tcPr>
            <w:tcW w:w="1361" w:type="dxa"/>
            <w:vAlign w:val="center"/>
          </w:tcPr>
          <w:p>
            <w:pPr>
              <w:pStyle w:val="12"/>
            </w:pPr>
            <w:r>
              <w:t>4.04</w:t>
            </w: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9.81</w:t>
            </w:r>
          </w:p>
        </w:tc>
        <w:tc>
          <w:tcPr>
            <w:tcW w:w="1361" w:type="dxa"/>
            <w:vAlign w:val="center"/>
          </w:tcPr>
          <w:p>
            <w:pPr>
              <w:pStyle w:val="12"/>
            </w:pPr>
            <w:r>
              <w:t>4.04</w:t>
            </w: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9.81</w:t>
            </w:r>
          </w:p>
        </w:tc>
        <w:tc>
          <w:tcPr>
            <w:tcW w:w="1361" w:type="dxa"/>
            <w:vAlign w:val="center"/>
          </w:tcPr>
          <w:p>
            <w:pPr>
              <w:pStyle w:val="12"/>
            </w:pPr>
            <w:r>
              <w:t>4.04</w:t>
            </w: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16.38</w:t>
            </w:r>
          </w:p>
        </w:tc>
        <w:tc>
          <w:tcPr>
            <w:tcW w:w="1361" w:type="dxa"/>
            <w:vAlign w:val="center"/>
          </w:tcPr>
          <w:p>
            <w:pPr>
              <w:pStyle w:val="12"/>
            </w:pPr>
            <w:r>
              <w:t>6.52</w:t>
            </w:r>
          </w:p>
        </w:tc>
        <w:tc>
          <w:tcPr>
            <w:tcW w:w="1361" w:type="dxa"/>
            <w:vAlign w:val="center"/>
          </w:tcPr>
          <w:p>
            <w:pPr>
              <w:pStyle w:val="12"/>
            </w:pPr>
            <w:r>
              <w:t>9.86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16.38</w:t>
            </w:r>
          </w:p>
        </w:tc>
        <w:tc>
          <w:tcPr>
            <w:tcW w:w="1361" w:type="dxa"/>
            <w:vAlign w:val="center"/>
          </w:tcPr>
          <w:p>
            <w:pPr>
              <w:pStyle w:val="12"/>
            </w:pPr>
            <w:r>
              <w:t>6.52</w:t>
            </w:r>
          </w:p>
        </w:tc>
        <w:tc>
          <w:tcPr>
            <w:tcW w:w="1361" w:type="dxa"/>
            <w:vAlign w:val="center"/>
          </w:tcPr>
          <w:p>
            <w:pPr>
              <w:pStyle w:val="12"/>
            </w:pPr>
            <w:r>
              <w:t>9.86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16.38</w:t>
            </w:r>
          </w:p>
        </w:tc>
        <w:tc>
          <w:tcPr>
            <w:tcW w:w="1361" w:type="dxa"/>
            <w:vAlign w:val="center"/>
          </w:tcPr>
          <w:p>
            <w:pPr>
              <w:pStyle w:val="12"/>
            </w:pPr>
            <w:r>
              <w:t>6.52</w:t>
            </w:r>
          </w:p>
        </w:tc>
        <w:tc>
          <w:tcPr>
            <w:tcW w:w="1361" w:type="dxa"/>
            <w:vAlign w:val="center"/>
          </w:tcPr>
          <w:p>
            <w:pPr>
              <w:pStyle w:val="12"/>
            </w:pPr>
            <w:r>
              <w:t>9.86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711隆尧县总工会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401.16</w:t>
            </w:r>
          </w:p>
        </w:tc>
        <w:tc>
          <w:tcPr>
            <w:tcW w:w="3402" w:type="dxa"/>
            <w:vAlign w:val="center"/>
          </w:tcPr>
          <w:p>
            <w:pPr>
              <w:pStyle w:val="13"/>
            </w:pPr>
            <w:r>
              <w:t>一、一般公共服务支出</w:t>
            </w:r>
          </w:p>
        </w:tc>
        <w:tc>
          <w:tcPr>
            <w:tcW w:w="1474" w:type="dxa"/>
            <w:vAlign w:val="center"/>
          </w:tcPr>
          <w:p>
            <w:pPr>
              <w:pStyle w:val="12"/>
            </w:pPr>
            <w:r>
              <w:t>348.32</w:t>
            </w:r>
          </w:p>
        </w:tc>
        <w:tc>
          <w:tcPr>
            <w:tcW w:w="1474" w:type="dxa"/>
            <w:vAlign w:val="center"/>
          </w:tcPr>
          <w:p>
            <w:pPr>
              <w:pStyle w:val="12"/>
            </w:pPr>
            <w:r>
              <w:t>348.32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26.65</w:t>
            </w:r>
          </w:p>
        </w:tc>
        <w:tc>
          <w:tcPr>
            <w:tcW w:w="1474" w:type="dxa"/>
            <w:vAlign w:val="center"/>
          </w:tcPr>
          <w:p>
            <w:pPr>
              <w:pStyle w:val="12"/>
            </w:pPr>
            <w:r>
              <w:t>26.65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9.81</w:t>
            </w:r>
          </w:p>
        </w:tc>
        <w:tc>
          <w:tcPr>
            <w:tcW w:w="1474" w:type="dxa"/>
            <w:vAlign w:val="center"/>
          </w:tcPr>
          <w:p>
            <w:pPr>
              <w:pStyle w:val="12"/>
            </w:pPr>
            <w:r>
              <w:t>9.81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16.38</w:t>
            </w:r>
          </w:p>
        </w:tc>
        <w:tc>
          <w:tcPr>
            <w:tcW w:w="1474" w:type="dxa"/>
            <w:vAlign w:val="center"/>
          </w:tcPr>
          <w:p>
            <w:pPr>
              <w:pStyle w:val="12"/>
            </w:pPr>
            <w:r>
              <w:t>16.38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401.16</w:t>
            </w:r>
          </w:p>
        </w:tc>
        <w:tc>
          <w:tcPr>
            <w:tcW w:w="3402" w:type="dxa"/>
            <w:vAlign w:val="center"/>
          </w:tcPr>
          <w:p>
            <w:pPr>
              <w:pStyle w:val="15"/>
            </w:pPr>
            <w:r>
              <w:t>本年支出合计</w:t>
            </w:r>
          </w:p>
        </w:tc>
        <w:tc>
          <w:tcPr>
            <w:tcW w:w="1474" w:type="dxa"/>
            <w:vAlign w:val="center"/>
          </w:tcPr>
          <w:p>
            <w:pPr>
              <w:pStyle w:val="16"/>
            </w:pPr>
            <w:r>
              <w:t>401.16</w:t>
            </w:r>
          </w:p>
        </w:tc>
        <w:tc>
          <w:tcPr>
            <w:tcW w:w="1474" w:type="dxa"/>
            <w:vAlign w:val="center"/>
          </w:tcPr>
          <w:p>
            <w:pPr>
              <w:pStyle w:val="16"/>
            </w:pPr>
            <w:r>
              <w:t>401.16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401.16</w:t>
            </w:r>
          </w:p>
        </w:tc>
        <w:tc>
          <w:tcPr>
            <w:tcW w:w="3402" w:type="dxa"/>
            <w:vAlign w:val="center"/>
          </w:tcPr>
          <w:p>
            <w:pPr>
              <w:pStyle w:val="15"/>
            </w:pPr>
            <w:r>
              <w:t>支出总计</w:t>
            </w:r>
          </w:p>
        </w:tc>
        <w:tc>
          <w:tcPr>
            <w:tcW w:w="1474" w:type="dxa"/>
            <w:vAlign w:val="center"/>
          </w:tcPr>
          <w:p>
            <w:pPr>
              <w:pStyle w:val="16"/>
            </w:pPr>
            <w:r>
              <w:t>401.16</w:t>
            </w:r>
          </w:p>
        </w:tc>
        <w:tc>
          <w:tcPr>
            <w:tcW w:w="1474" w:type="dxa"/>
            <w:vAlign w:val="center"/>
          </w:tcPr>
          <w:p>
            <w:pPr>
              <w:pStyle w:val="16"/>
            </w:pPr>
            <w:r>
              <w:t>401.16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711隆尧县总工会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401.16</w:t>
            </w:r>
          </w:p>
        </w:tc>
        <w:tc>
          <w:tcPr>
            <w:tcW w:w="2551" w:type="dxa"/>
            <w:vAlign w:val="center"/>
          </w:tcPr>
          <w:p>
            <w:pPr>
              <w:pStyle w:val="16"/>
            </w:pPr>
            <w:r>
              <w:t>111.38</w:t>
            </w:r>
          </w:p>
        </w:tc>
        <w:tc>
          <w:tcPr>
            <w:tcW w:w="2551" w:type="dxa"/>
            <w:vAlign w:val="center"/>
          </w:tcPr>
          <w:p>
            <w:pPr>
              <w:pStyle w:val="16"/>
            </w:pPr>
            <w:r>
              <w:t>289.78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348.32</w:t>
            </w:r>
          </w:p>
        </w:tc>
        <w:tc>
          <w:tcPr>
            <w:tcW w:w="2551" w:type="dxa"/>
            <w:vAlign w:val="center"/>
          </w:tcPr>
          <w:p>
            <w:pPr>
              <w:pStyle w:val="12"/>
            </w:pPr>
            <w:r>
              <w:t>91.83</w:t>
            </w:r>
          </w:p>
        </w:tc>
        <w:tc>
          <w:tcPr>
            <w:tcW w:w="2551" w:type="dxa"/>
            <w:vAlign w:val="center"/>
          </w:tcPr>
          <w:p>
            <w:pPr>
              <w:pStyle w:val="12"/>
            </w:pPr>
            <w:r>
              <w:t>256.49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348.32</w:t>
            </w:r>
          </w:p>
        </w:tc>
        <w:tc>
          <w:tcPr>
            <w:tcW w:w="2551" w:type="dxa"/>
            <w:vAlign w:val="center"/>
          </w:tcPr>
          <w:p>
            <w:pPr>
              <w:pStyle w:val="12"/>
            </w:pPr>
            <w:r>
              <w:t>91.83</w:t>
            </w:r>
          </w:p>
        </w:tc>
        <w:tc>
          <w:tcPr>
            <w:tcW w:w="2551" w:type="dxa"/>
            <w:vAlign w:val="center"/>
          </w:tcPr>
          <w:p>
            <w:pPr>
              <w:pStyle w:val="12"/>
            </w:pPr>
            <w:r>
              <w:t>256.49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318.54</w:t>
            </w:r>
          </w:p>
        </w:tc>
        <w:tc>
          <w:tcPr>
            <w:tcW w:w="2551" w:type="dxa"/>
            <w:vAlign w:val="center"/>
          </w:tcPr>
          <w:p>
            <w:pPr>
              <w:pStyle w:val="12"/>
            </w:pPr>
            <w:r>
              <w:t>91.83</w:t>
            </w:r>
          </w:p>
        </w:tc>
        <w:tc>
          <w:tcPr>
            <w:tcW w:w="2551" w:type="dxa"/>
            <w:vAlign w:val="center"/>
          </w:tcPr>
          <w:p>
            <w:pPr>
              <w:pStyle w:val="12"/>
            </w:pPr>
            <w:r>
              <w:t>226.71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29.78</w:t>
            </w:r>
          </w:p>
        </w:tc>
        <w:tc>
          <w:tcPr>
            <w:tcW w:w="2551" w:type="dxa"/>
            <w:vAlign w:val="center"/>
          </w:tcPr>
          <w:p>
            <w:pPr>
              <w:pStyle w:val="12"/>
            </w:pPr>
          </w:p>
        </w:tc>
        <w:tc>
          <w:tcPr>
            <w:tcW w:w="2551" w:type="dxa"/>
            <w:vAlign w:val="center"/>
          </w:tcPr>
          <w:p>
            <w:pPr>
              <w:pStyle w:val="12"/>
            </w:pPr>
            <w:r>
              <w:t>29.78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26.65</w:t>
            </w:r>
          </w:p>
        </w:tc>
        <w:tc>
          <w:tcPr>
            <w:tcW w:w="2551" w:type="dxa"/>
            <w:vAlign w:val="center"/>
          </w:tcPr>
          <w:p>
            <w:pPr>
              <w:pStyle w:val="12"/>
            </w:pPr>
            <w:r>
              <w:t>8.98</w:t>
            </w:r>
          </w:p>
        </w:tc>
        <w:tc>
          <w:tcPr>
            <w:tcW w:w="2551" w:type="dxa"/>
            <w:vAlign w:val="center"/>
          </w:tcPr>
          <w:p>
            <w:pPr>
              <w:pStyle w:val="12"/>
            </w:pPr>
            <w:r>
              <w:t>17.67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26.65</w:t>
            </w:r>
          </w:p>
        </w:tc>
        <w:tc>
          <w:tcPr>
            <w:tcW w:w="2551" w:type="dxa"/>
            <w:vAlign w:val="center"/>
          </w:tcPr>
          <w:p>
            <w:pPr>
              <w:pStyle w:val="12"/>
            </w:pPr>
            <w:r>
              <w:t>8.98</w:t>
            </w:r>
          </w:p>
        </w:tc>
        <w:tc>
          <w:tcPr>
            <w:tcW w:w="2551" w:type="dxa"/>
            <w:vAlign w:val="center"/>
          </w:tcPr>
          <w:p>
            <w:pPr>
              <w:pStyle w:val="12"/>
            </w:pPr>
            <w:r>
              <w:t>17.67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20.76</w:t>
            </w:r>
          </w:p>
        </w:tc>
        <w:tc>
          <w:tcPr>
            <w:tcW w:w="2551" w:type="dxa"/>
            <w:vAlign w:val="center"/>
          </w:tcPr>
          <w:p>
            <w:pPr>
              <w:pStyle w:val="12"/>
            </w:pPr>
            <w:r>
              <w:t>8.98</w:t>
            </w:r>
          </w:p>
        </w:tc>
        <w:tc>
          <w:tcPr>
            <w:tcW w:w="2551" w:type="dxa"/>
            <w:vAlign w:val="center"/>
          </w:tcPr>
          <w:p>
            <w:pPr>
              <w:pStyle w:val="12"/>
            </w:pPr>
            <w:r>
              <w:t>11.78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5.89</w:t>
            </w:r>
          </w:p>
        </w:tc>
        <w:tc>
          <w:tcPr>
            <w:tcW w:w="2551" w:type="dxa"/>
            <w:vAlign w:val="center"/>
          </w:tcPr>
          <w:p>
            <w:pPr>
              <w:pStyle w:val="12"/>
            </w:pPr>
          </w:p>
        </w:tc>
        <w:tc>
          <w:tcPr>
            <w:tcW w:w="2551" w:type="dxa"/>
            <w:vAlign w:val="center"/>
          </w:tcPr>
          <w:p>
            <w:pPr>
              <w:pStyle w:val="12"/>
            </w:pPr>
            <w:r>
              <w:t>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9.81</w:t>
            </w:r>
          </w:p>
        </w:tc>
        <w:tc>
          <w:tcPr>
            <w:tcW w:w="2551" w:type="dxa"/>
            <w:vAlign w:val="center"/>
          </w:tcPr>
          <w:p>
            <w:pPr>
              <w:pStyle w:val="12"/>
            </w:pPr>
            <w:r>
              <w:t>4.04</w:t>
            </w:r>
          </w:p>
        </w:tc>
        <w:tc>
          <w:tcPr>
            <w:tcW w:w="2551" w:type="dxa"/>
            <w:vAlign w:val="center"/>
          </w:tcPr>
          <w:p>
            <w:pPr>
              <w:pStyle w:val="12"/>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9.81</w:t>
            </w:r>
          </w:p>
        </w:tc>
        <w:tc>
          <w:tcPr>
            <w:tcW w:w="2551" w:type="dxa"/>
            <w:vAlign w:val="center"/>
          </w:tcPr>
          <w:p>
            <w:pPr>
              <w:pStyle w:val="12"/>
            </w:pPr>
            <w:r>
              <w:t>4.04</w:t>
            </w:r>
          </w:p>
        </w:tc>
        <w:tc>
          <w:tcPr>
            <w:tcW w:w="2551" w:type="dxa"/>
            <w:vAlign w:val="center"/>
          </w:tcPr>
          <w:p>
            <w:pPr>
              <w:pStyle w:val="12"/>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9.81</w:t>
            </w:r>
          </w:p>
        </w:tc>
        <w:tc>
          <w:tcPr>
            <w:tcW w:w="2551" w:type="dxa"/>
            <w:vAlign w:val="center"/>
          </w:tcPr>
          <w:p>
            <w:pPr>
              <w:pStyle w:val="12"/>
            </w:pPr>
            <w:r>
              <w:t>4.04</w:t>
            </w:r>
          </w:p>
        </w:tc>
        <w:tc>
          <w:tcPr>
            <w:tcW w:w="2551" w:type="dxa"/>
            <w:vAlign w:val="center"/>
          </w:tcPr>
          <w:p>
            <w:pPr>
              <w:pStyle w:val="12"/>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16.38</w:t>
            </w:r>
          </w:p>
        </w:tc>
        <w:tc>
          <w:tcPr>
            <w:tcW w:w="2551" w:type="dxa"/>
            <w:vAlign w:val="center"/>
          </w:tcPr>
          <w:p>
            <w:pPr>
              <w:pStyle w:val="12"/>
            </w:pPr>
            <w:r>
              <w:t>6.52</w:t>
            </w:r>
          </w:p>
        </w:tc>
        <w:tc>
          <w:tcPr>
            <w:tcW w:w="2551" w:type="dxa"/>
            <w:vAlign w:val="center"/>
          </w:tcPr>
          <w:p>
            <w:pPr>
              <w:pStyle w:val="12"/>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16.38</w:t>
            </w:r>
          </w:p>
        </w:tc>
        <w:tc>
          <w:tcPr>
            <w:tcW w:w="2551" w:type="dxa"/>
            <w:vAlign w:val="center"/>
          </w:tcPr>
          <w:p>
            <w:pPr>
              <w:pStyle w:val="12"/>
            </w:pPr>
            <w:r>
              <w:t>6.52</w:t>
            </w:r>
          </w:p>
        </w:tc>
        <w:tc>
          <w:tcPr>
            <w:tcW w:w="2551" w:type="dxa"/>
            <w:vAlign w:val="center"/>
          </w:tcPr>
          <w:p>
            <w:pPr>
              <w:pStyle w:val="12"/>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16.38</w:t>
            </w:r>
          </w:p>
        </w:tc>
        <w:tc>
          <w:tcPr>
            <w:tcW w:w="2551" w:type="dxa"/>
            <w:vAlign w:val="center"/>
          </w:tcPr>
          <w:p>
            <w:pPr>
              <w:pStyle w:val="12"/>
            </w:pPr>
            <w:r>
              <w:t>6.52</w:t>
            </w:r>
          </w:p>
        </w:tc>
        <w:tc>
          <w:tcPr>
            <w:tcW w:w="2551" w:type="dxa"/>
            <w:vAlign w:val="center"/>
          </w:tcPr>
          <w:p>
            <w:pPr>
              <w:pStyle w:val="12"/>
            </w:pPr>
            <w:r>
              <w:t>9.86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711隆尧县总工会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111.38</w:t>
            </w:r>
          </w:p>
        </w:tc>
        <w:tc>
          <w:tcPr>
            <w:tcW w:w="2551" w:type="dxa"/>
            <w:vAlign w:val="center"/>
          </w:tcPr>
          <w:p>
            <w:pPr>
              <w:pStyle w:val="16"/>
            </w:pPr>
            <w:r>
              <w:t>106.98</w:t>
            </w:r>
          </w:p>
        </w:tc>
        <w:tc>
          <w:tcPr>
            <w:tcW w:w="2551" w:type="dxa"/>
            <w:vAlign w:val="center"/>
          </w:tcPr>
          <w:p>
            <w:pPr>
              <w:pStyle w:val="16"/>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85.54</w:t>
            </w:r>
          </w:p>
        </w:tc>
        <w:tc>
          <w:tcPr>
            <w:tcW w:w="2551" w:type="dxa"/>
            <w:vAlign w:val="center"/>
          </w:tcPr>
          <w:p>
            <w:pPr>
              <w:pStyle w:val="12"/>
            </w:pPr>
            <w:r>
              <w:t>85.54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38.52</w:t>
            </w:r>
          </w:p>
        </w:tc>
        <w:tc>
          <w:tcPr>
            <w:tcW w:w="2551" w:type="dxa"/>
            <w:vAlign w:val="center"/>
          </w:tcPr>
          <w:p>
            <w:pPr>
              <w:pStyle w:val="12"/>
            </w:pPr>
            <w:r>
              <w:t>38.52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17.25</w:t>
            </w:r>
          </w:p>
        </w:tc>
        <w:tc>
          <w:tcPr>
            <w:tcW w:w="2551" w:type="dxa"/>
            <w:vAlign w:val="center"/>
          </w:tcPr>
          <w:p>
            <w:pPr>
              <w:pStyle w:val="12"/>
            </w:pPr>
            <w:r>
              <w:t>17.25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8.98</w:t>
            </w:r>
          </w:p>
        </w:tc>
        <w:tc>
          <w:tcPr>
            <w:tcW w:w="2551" w:type="dxa"/>
            <w:vAlign w:val="center"/>
          </w:tcPr>
          <w:p>
            <w:pPr>
              <w:pStyle w:val="12"/>
            </w:pPr>
            <w:r>
              <w:t>8.98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4.04</w:t>
            </w:r>
          </w:p>
        </w:tc>
        <w:tc>
          <w:tcPr>
            <w:tcW w:w="2551" w:type="dxa"/>
            <w:vAlign w:val="center"/>
          </w:tcPr>
          <w:p>
            <w:pPr>
              <w:pStyle w:val="12"/>
            </w:pPr>
            <w:r>
              <w:t>4.04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0.22</w:t>
            </w:r>
          </w:p>
        </w:tc>
        <w:tc>
          <w:tcPr>
            <w:tcW w:w="2551" w:type="dxa"/>
            <w:vAlign w:val="center"/>
          </w:tcPr>
          <w:p>
            <w:pPr>
              <w:pStyle w:val="12"/>
            </w:pPr>
            <w:r>
              <w:t>0.22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6.52</w:t>
            </w:r>
          </w:p>
        </w:tc>
        <w:tc>
          <w:tcPr>
            <w:tcW w:w="2551" w:type="dxa"/>
            <w:vAlign w:val="center"/>
          </w:tcPr>
          <w:p>
            <w:pPr>
              <w:pStyle w:val="12"/>
            </w:pPr>
            <w:r>
              <w:t>6.52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21.44</w:t>
            </w:r>
          </w:p>
        </w:tc>
        <w:tc>
          <w:tcPr>
            <w:tcW w:w="2551" w:type="dxa"/>
            <w:vAlign w:val="center"/>
          </w:tcPr>
          <w:p>
            <w:pPr>
              <w:pStyle w:val="12"/>
            </w:pPr>
            <w:r>
              <w:t>21.44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21.08</w:t>
            </w:r>
          </w:p>
        </w:tc>
        <w:tc>
          <w:tcPr>
            <w:tcW w:w="2551" w:type="dxa"/>
            <w:vAlign w:val="center"/>
          </w:tcPr>
          <w:p>
            <w:pPr>
              <w:pStyle w:val="12"/>
            </w:pPr>
            <w:r>
              <w:t>21.08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0.36</w:t>
            </w:r>
          </w:p>
        </w:tc>
        <w:tc>
          <w:tcPr>
            <w:tcW w:w="2551" w:type="dxa"/>
            <w:vAlign w:val="center"/>
          </w:tcPr>
          <w:p>
            <w:pPr>
              <w:pStyle w:val="12"/>
            </w:pPr>
            <w:r>
              <w:t>0.36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711隆尧县总工会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711隆尧县总工会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711隆尧县总工会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隆尧县总工会2026年部门预算信息公开情况说明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隆尧县总工会2026年部门预算信息公开情况说明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按照《中华人民共和国预算法》、《地方预决算公开操作规程》和《关于进一步推进预算公开工作的实施意见》规定，现将隆尧县总工会2026年部门预算公开如下：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根据《隆尧县总工会职能配置、内设机构和人员编制规定》，隆尧县总工会的主要职责是：</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隆尧县总工会是全县各级地方工会和产业工会地方组织的领导机关，由中共隆尧县委和邢台市总工会直接领导。依据《中华人民共和国工会法》和《中国工会章程》的规定，县总工会机关的主要任务是：</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（一）根据党的基本理论、基本路线和基本纲领，遵照全国总工会、省总工会和市总工会确定的工会工作指导方针和任务，围绕中心，服务大局，指导全县工会工作。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（二）贯彻执行全国总工会、省总工会、市总工会和县总工会代表大会的决议，依照法律和章程，组织和指导全县各级工会履行工会</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组织、引导、服务、维护</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等社会职能，开展工会各项业务工作。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三）对职工最关心、最直接、最现实的利益问题认真调查研究，及时向县委、县人民政府和上级工会反映职工的呼声、愿望和诉求，并提出意见和建议；参与涉及职工切身利益的有关政策、措施和制度的制定；组织开展扶贫帮困、</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送温暖</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双联</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和金秋助学工作；对侵犯职工合法权益的重大事件进行调查并提出处理意见，参与职工重大的伤亡事故的调查处理。</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（四）研究制订工会干部管理制度和培训规划，配合上级工会做好工会领导干部的培训工作；负责主管范围内的各级工会委员会选举结果的审查批准工作。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（五）组织职工依法行使民主权利，发挥主人翁作用。指导基层工会组织开展以职工代表大会为基本形式的民主管理、民主监督工作和厂务公开、政务公开工作；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六）参与劳动关系协调工作，努力推动《中华人民共和国劳动法》和《中华人民共和国劳动合同法》等与职工劳动权益关系密切的法律法规贯彻实施；建立健全维护包括农民工在内的职工劳动权益平等协商集体合同和工资集体协商制度；在依法维护企事业单位整体利益的同时，依法维护工会和职工合法权益。</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七）动员和组织全县职工积极参加社会主义现代化建设，指导基层工会开展社会主义劳动竞赛、合理化建议、节能减排、技术创新和技术协作等工作；会同有关部门共同做好劳动模范和先进工作者的培养、推荐、评选、表彰、管理和服务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八）负责指导全县各级工会加强对职工进行爱国主义、集体主义、社会主义教育和民主、法制、纪律教育以及科学、文化、技术教育，组织职工开展文体活动，不断提高职工的思想道德素质、技术技能素质和科学文化素质，培养和建设有理想、有道德、有文化、有纪律的职工队伍。</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（九）负责工会经费的收缴、管理、使用、审查和审计工作；指导各级工会加强财产管理，兴办工会实业，确保工会资产保值增值。</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（十）指导和管理全县各级工会女职工工作，组织女职工开展适合自身特点的活动，依法维护女职工特殊权益和合法权益，</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（十一）负责全县工会组织的涉外工作。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（十二）承担县委、县人民政府和上级工会交办的其他工作。</w:t>
      </w:r>
    </w:p>
    <w:p>
      <w:pPr>
        <w:pStyle w:val="26"/>
        <w:widowControl/>
        <w:rPr>
          <w:rFonts w:ascii="方正楷体_GBK" w:hAnsi="方正楷体_GBK" w:eastAsia="方正楷体_GBK" w:cs="方正楷体_GBK"/>
          <w:b/>
          <w:color w:val="000000"/>
          <w:sz w:val="32"/>
        </w:rPr>
      </w:pPr>
      <w:r>
        <w:rPr>
          <w:rFonts w:hint="eastAsia" w:ascii="Times New Roman" w:hAnsi="Times New Roman" w:eastAsia="方正仿宋_GBK" w:cs="Times New Roman"/>
          <w:kern w:val="0"/>
          <w:sz w:val="28"/>
          <w:szCs w:val="24"/>
          <w:lang w:val="uk" w:eastAsia="uk-UA" w:bidi="ar-SA"/>
        </w:rPr>
        <w:t>隆尧县总工会作为财政预</w:t>
      </w:r>
      <w:r>
        <w:rPr>
          <w:rFonts w:hint="eastAsia" w:eastAsia="方正仿宋_GBK" w:cs="Times New Roman"/>
          <w:kern w:val="0"/>
          <w:sz w:val="28"/>
          <w:szCs w:val="24"/>
          <w:lang w:val="en-US" w:eastAsia="zh-CN" w:bidi="ar-SA"/>
        </w:rPr>
        <w:t>算</w:t>
      </w:r>
      <w:r>
        <w:rPr>
          <w:rFonts w:hint="eastAsia" w:ascii="Times New Roman" w:hAnsi="Times New Roman" w:eastAsia="方正仿宋_GBK" w:cs="Times New Roman"/>
          <w:kern w:val="0"/>
          <w:sz w:val="28"/>
          <w:szCs w:val="24"/>
          <w:lang w:val="uk" w:eastAsia="uk-UA" w:bidi="ar-SA"/>
        </w:rPr>
        <w:t>单位。机关内设办公室、财务部、组织宣教部、经济保障部</w:t>
      </w:r>
      <w:r>
        <w:rPr>
          <w:rFonts w:hint="default" w:ascii="Times New Roman" w:hAnsi="Times New Roman" w:eastAsia="方正仿宋_GBK" w:cs="Times New Roman"/>
          <w:kern w:val="0"/>
          <w:sz w:val="28"/>
          <w:szCs w:val="24"/>
          <w:lang w:val="en-US" w:eastAsia="uk-UA" w:bidi="ar-SA"/>
        </w:rPr>
        <w:t>4</w:t>
      </w:r>
      <w:r>
        <w:rPr>
          <w:rFonts w:hint="eastAsia" w:ascii="Times New Roman" w:hAnsi="Times New Roman" w:eastAsia="方正仿宋_GBK" w:cs="Times New Roman"/>
          <w:kern w:val="0"/>
          <w:sz w:val="28"/>
          <w:szCs w:val="24"/>
          <w:lang w:val="uk" w:eastAsia="uk-UA" w:bidi="ar-SA"/>
        </w:rPr>
        <w:t>个部室。县总工会现有行政编制</w:t>
      </w:r>
      <w:r>
        <w:rPr>
          <w:rFonts w:hint="default" w:ascii="Times New Roman" w:hAnsi="Times New Roman" w:eastAsia="方正仿宋_GBK" w:cs="Times New Roman"/>
          <w:kern w:val="0"/>
          <w:sz w:val="28"/>
          <w:szCs w:val="24"/>
          <w:lang w:val="en-US" w:eastAsia="uk-UA" w:bidi="ar-SA"/>
        </w:rPr>
        <w:t>4</w:t>
      </w:r>
      <w:r>
        <w:rPr>
          <w:rFonts w:hint="eastAsia" w:ascii="Times New Roman" w:hAnsi="Times New Roman" w:eastAsia="方正仿宋_GBK" w:cs="Times New Roman"/>
          <w:kern w:val="0"/>
          <w:sz w:val="28"/>
          <w:szCs w:val="24"/>
          <w:lang w:val="uk" w:eastAsia="uk-UA" w:bidi="ar-SA"/>
        </w:rPr>
        <w:t>个，实有人数</w:t>
      </w:r>
      <w:r>
        <w:rPr>
          <w:rFonts w:hint="eastAsia" w:ascii="Times New Roman" w:hAnsi="Times New Roman" w:eastAsia="方正仿宋_GBK" w:cs="Times New Roman"/>
          <w:kern w:val="0"/>
          <w:sz w:val="28"/>
          <w:szCs w:val="24"/>
          <w:lang w:val="en-US" w:eastAsia="zh-CN" w:bidi="ar-SA"/>
        </w:rPr>
        <w:t>6</w:t>
      </w:r>
      <w:r>
        <w:rPr>
          <w:rFonts w:hint="eastAsia" w:ascii="Times New Roman" w:hAnsi="Times New Roman" w:eastAsia="方正仿宋_GBK" w:cs="Times New Roman"/>
          <w:kern w:val="0"/>
          <w:sz w:val="28"/>
          <w:szCs w:val="24"/>
          <w:lang w:val="uk" w:eastAsia="uk-UA" w:bidi="ar-SA"/>
        </w:rPr>
        <w:t>人，事业编制</w:t>
      </w:r>
      <w:r>
        <w:rPr>
          <w:rFonts w:hint="eastAsia" w:ascii="Times New Roman" w:hAnsi="Times New Roman" w:eastAsia="方正仿宋_GBK" w:cs="Times New Roman"/>
          <w:kern w:val="0"/>
          <w:sz w:val="28"/>
          <w:szCs w:val="24"/>
          <w:lang w:val="en-US" w:eastAsia="zh-CN" w:bidi="ar-SA"/>
        </w:rPr>
        <w:t>10个</w:t>
      </w:r>
      <w:r>
        <w:rPr>
          <w:rFonts w:hint="eastAsia" w:ascii="Times New Roman" w:hAnsi="Times New Roman" w:eastAsia="方正仿宋_GBK" w:cs="Times New Roman"/>
          <w:kern w:val="0"/>
          <w:sz w:val="28"/>
          <w:szCs w:val="24"/>
          <w:lang w:val="uk" w:eastAsia="uk-UA" w:bidi="ar-SA"/>
        </w:rPr>
        <w:t>，实有人数</w:t>
      </w:r>
      <w:r>
        <w:rPr>
          <w:rFonts w:hint="default" w:ascii="Times New Roman" w:hAnsi="Times New Roman" w:eastAsia="方正仿宋_GBK" w:cs="Times New Roman"/>
          <w:kern w:val="0"/>
          <w:sz w:val="28"/>
          <w:szCs w:val="24"/>
          <w:lang w:val="en-US" w:eastAsia="uk-UA" w:bidi="ar-SA"/>
        </w:rPr>
        <w:t>1</w:t>
      </w:r>
      <w:r>
        <w:rPr>
          <w:rFonts w:hint="default" w:ascii="Times New Roman" w:hAnsi="Times New Roman" w:eastAsia="方正仿宋_GBK" w:cs="Times New Roman"/>
          <w:kern w:val="0"/>
          <w:sz w:val="28"/>
          <w:szCs w:val="24"/>
          <w:lang w:val="en-US" w:eastAsia="zh-CN" w:bidi="ar-SA"/>
        </w:rPr>
        <w:t>0</w:t>
      </w:r>
      <w:r>
        <w:rPr>
          <w:rFonts w:hint="eastAsia" w:ascii="Times New Roman" w:hAnsi="Times New Roman" w:eastAsia="方正仿宋_GBK" w:cs="Times New Roman"/>
          <w:kern w:val="0"/>
          <w:sz w:val="28"/>
          <w:szCs w:val="24"/>
          <w:lang w:val="en-US" w:eastAsia="zh-CN" w:bidi="ar-SA"/>
        </w:rPr>
        <w:t>人。</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隆尧县总工会本级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按照预算管理有关规定，目前我县部门预算的编制实行综合预算管理，即全部收入和支出都反映在预算中。</w:t>
      </w:r>
    </w:p>
    <w:p>
      <w:pPr>
        <w:pStyle w:val="19"/>
      </w:pPr>
      <w:r>
        <w:t>1、收入说明</w:t>
      </w:r>
    </w:p>
    <w:p>
      <w:pPr>
        <w:pStyle w:val="19"/>
      </w:pPr>
      <w:r>
        <w:t>反映本部门当年全部收入。202</w:t>
      </w:r>
      <w:r>
        <w:rPr>
          <w:rFonts w:hint="eastAsia"/>
          <w:lang w:val="en-US" w:eastAsia="zh-CN"/>
        </w:rPr>
        <w:t>6</w:t>
      </w:r>
      <w:r>
        <w:t>年预算收入401.16万元，其中：一般公共预算收入401.16万元，基金预算收入0万元，国有资本经营预算收入0万元，财政专户核拨收入0万元，单位资金收入0万元，上年结转结余0万元。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收支预算总表支出栏、基本支出表、项目支出表按经济分类和支出功能分类科目编制，反映河北省财政厅年度部门预算中支出预算的总体情况。</w:t>
      </w:r>
      <w:r>
        <w:rPr>
          <w:rFonts w:hint="eastAsia"/>
          <w:lang w:eastAsia="zh-CN"/>
        </w:rPr>
        <w:t>2026</w:t>
      </w:r>
      <w:r>
        <w:t>年支出预算401.16万元，其中基本支出111.38万元，包括人员经费106.98万元和日常公用经费4.40万元；项目支出289.78万元，主要为</w:t>
      </w:r>
      <w:r>
        <w:rPr>
          <w:rFonts w:ascii="方正仿宋_GBK" w:hAnsi="方正仿宋_GBK" w:eastAsia="方正仿宋_GBK" w:cs="方正仿宋_GBK"/>
          <w:color w:val="000000"/>
          <w:sz w:val="28"/>
        </w:rPr>
        <w:t>工会经费（工会日常工作经费）</w:t>
      </w:r>
      <w:r>
        <w:rPr>
          <w:rFonts w:hint="eastAsia" w:ascii="方正仿宋_GBK" w:hAnsi="方正仿宋_GBK" w:cs="方正仿宋_GBK"/>
          <w:color w:val="000000"/>
          <w:sz w:val="28"/>
          <w:lang w:eastAsia="zh-CN"/>
        </w:rPr>
        <w:t>、</w:t>
      </w:r>
      <w:r>
        <w:rPr>
          <w:rFonts w:ascii="方正仿宋_GBK" w:hAnsi="方正仿宋_GBK" w:eastAsia="方正仿宋_GBK" w:cs="方正仿宋_GBK"/>
          <w:color w:val="000000"/>
          <w:sz w:val="28"/>
        </w:rPr>
        <w:t>工会经费（上解市总工会经费）</w:t>
      </w:r>
      <w:r>
        <w:rPr>
          <w:rFonts w:hint="eastAsia"/>
          <w:lang w:eastAsia="zh-CN"/>
        </w:rPr>
        <w:t>、</w:t>
      </w:r>
      <w:r>
        <w:rPr>
          <w:rFonts w:ascii="方正仿宋_GBK" w:hAnsi="方正仿宋_GBK" w:eastAsia="方正仿宋_GBK" w:cs="方正仿宋_GBK"/>
          <w:color w:val="000000"/>
          <w:sz w:val="28"/>
        </w:rPr>
        <w:t>冀财行【</w:t>
      </w:r>
      <w:r>
        <w:rPr>
          <w:rFonts w:hint="eastAsia" w:ascii="方正仿宋_GBK" w:hAnsi="方正仿宋_GBK" w:eastAsia="方正仿宋_GBK" w:cs="方正仿宋_GBK"/>
          <w:color w:val="000000"/>
          <w:sz w:val="28"/>
          <w:lang w:eastAsia="zh-CN"/>
        </w:rPr>
        <w:t>2026</w:t>
      </w:r>
      <w:r>
        <w:rPr>
          <w:rFonts w:ascii="方正仿宋_GBK" w:hAnsi="方正仿宋_GBK" w:eastAsia="方正仿宋_GBK" w:cs="方正仿宋_GBK"/>
          <w:color w:val="000000"/>
          <w:sz w:val="28"/>
        </w:rPr>
        <w:t>】100号关于提前下达2026年省级困难职工及劳模帮扶救助专项资金</w:t>
      </w:r>
      <w:r>
        <w:rPr>
          <w:rFonts w:hint="eastAsia"/>
          <w:lang w:eastAsia="zh-CN"/>
        </w:rPr>
        <w:t>、</w:t>
      </w:r>
      <w:r>
        <w:rPr>
          <w:rFonts w:ascii="方正仿宋_GBK" w:hAnsi="方正仿宋_GBK" w:eastAsia="方正仿宋_GBK" w:cs="方正仿宋_GBK"/>
          <w:color w:val="000000"/>
          <w:sz w:val="28"/>
        </w:rPr>
        <w:t>劳务派遣人员</w:t>
      </w:r>
      <w:r>
        <w:rPr>
          <w:rFonts w:hint="eastAsia" w:ascii="方正仿宋_GBK" w:hAnsi="方正仿宋_GBK" w:cs="方正仿宋_GBK"/>
          <w:color w:val="000000"/>
          <w:sz w:val="28"/>
          <w:lang w:eastAsia="zh-CN"/>
        </w:rPr>
        <w:t>、</w:t>
      </w:r>
      <w:r>
        <w:rPr>
          <w:rFonts w:ascii="方正仿宋_GBK" w:hAnsi="方正仿宋_GBK" w:eastAsia="方正仿宋_GBK" w:cs="方正仿宋_GBK"/>
          <w:color w:val="000000"/>
          <w:sz w:val="28"/>
        </w:rPr>
        <w:t>退役军人公益岗</w:t>
      </w:r>
      <w:r>
        <w:rPr>
          <w:rFonts w:hint="eastAsia" w:ascii="方正仿宋_GBK" w:hAnsi="方正仿宋_GBK" w:cs="方正仿宋_GBK"/>
          <w:color w:val="000000"/>
          <w:sz w:val="28"/>
          <w:lang w:eastAsia="zh-CN"/>
        </w:rPr>
        <w:t>、</w:t>
      </w:r>
      <w:r>
        <w:rPr>
          <w:rFonts w:hint="eastAsia" w:ascii="方正仿宋_GBK" w:hAnsi="方正仿宋_GBK" w:cs="方正仿宋_GBK"/>
          <w:color w:val="000000"/>
          <w:sz w:val="28"/>
          <w:lang w:val="en-US" w:eastAsia="zh-CN"/>
        </w:rPr>
        <w:t>自收自支人员</w:t>
      </w:r>
      <w:r>
        <w:t>等。</w:t>
      </w:r>
    </w:p>
    <w:p>
      <w:pPr>
        <w:pStyle w:val="19"/>
      </w:pPr>
      <w:r>
        <w:t>3、比上年增减情况</w:t>
      </w:r>
    </w:p>
    <w:p>
      <w:pPr>
        <w:pStyle w:val="19"/>
      </w:pPr>
      <w:r>
        <w:rPr>
          <w:rFonts w:hint="eastAsia"/>
          <w:lang w:eastAsia="zh-CN"/>
        </w:rPr>
        <w:t>2026</w:t>
      </w:r>
      <w:r>
        <w:t>年预算收支安排401.16万元，较202</w:t>
      </w:r>
      <w:r>
        <w:rPr>
          <w:rFonts w:hint="eastAsia"/>
          <w:lang w:val="en-US" w:eastAsia="zh-CN"/>
        </w:rPr>
        <w:t>5</w:t>
      </w:r>
      <w:r>
        <w:t>年预算</w:t>
      </w:r>
      <w:r>
        <w:rPr>
          <w:rFonts w:hint="eastAsia"/>
          <w:lang w:val="en-US" w:eastAsia="zh-CN"/>
        </w:rPr>
        <w:t>增加14.7</w:t>
      </w:r>
      <w:r>
        <w:t>万元，主要</w:t>
      </w:r>
      <w:r>
        <w:rPr>
          <w:rFonts w:hint="eastAsia"/>
          <w:lang w:val="en-US" w:eastAsia="zh-CN"/>
        </w:rPr>
        <w:t>增加了劳务派遣</w:t>
      </w:r>
      <w:r>
        <w:t>人员支出。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lang w:eastAsia="zh-CN"/>
        </w:rPr>
        <w:t>2026</w:t>
      </w:r>
      <w:r>
        <w:t>年，我部门运行经费共计安排4.</w:t>
      </w:r>
      <w:r>
        <w:rPr>
          <w:rFonts w:hint="eastAsia"/>
          <w:lang w:val="en-US" w:eastAsia="zh-CN"/>
        </w:rPr>
        <w:t>40</w:t>
      </w:r>
      <w:r>
        <w:t>万元，主要用于公务交通补贴。</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hint="eastAsia"/>
          <w:lang w:eastAsia="zh-CN"/>
        </w:rPr>
        <w:t>2026</w:t>
      </w:r>
      <w:r>
        <w:t>年，我部门财政拨款“三公”经费预算安排0万元，其中因公出国（境）费0万元；公务用车购置及运维费0万元（其中：公务用车购置费为0万元，公务用车运行维护费0万元)；公务接待费0万元。与202</w:t>
      </w:r>
      <w:r>
        <w:rPr>
          <w:rFonts w:hint="eastAsia"/>
          <w:lang w:val="en-US" w:eastAsia="zh-CN"/>
        </w:rPr>
        <w:t>5</w:t>
      </w:r>
      <w:r>
        <w:t>年相比持平，无变化。</w:t>
      </w:r>
    </w:p>
    <w:p>
      <w:pPr>
        <w:pStyle w:val="21"/>
        <w:rPr>
          <w:rFonts w:hint="eastAsia"/>
          <w:lang w:eastAsia="zh-CN"/>
        </w:rPr>
      </w:pPr>
      <w:bookmarkStart w:id="13" w:name="_Toc_3_3_0000000014"/>
      <w:r>
        <w:rPr>
          <w:rFonts w:hint="eastAsia" w:ascii="黑体" w:hAnsi="黑体" w:eastAsia="黑体" w:cs="黑体"/>
          <w:color w:val="000000"/>
          <w:sz w:val="32"/>
          <w:lang w:val="en-US" w:eastAsia="zh-CN"/>
        </w:rPr>
        <w:t>五</w:t>
      </w:r>
      <w:r>
        <w:rPr>
          <w:rFonts w:ascii="黑体" w:hAnsi="黑体" w:eastAsia="黑体" w:cs="黑体"/>
          <w:color w:val="000000"/>
          <w:sz w:val="32"/>
        </w:rPr>
        <w:t>、财政拨款“</w:t>
      </w:r>
      <w:r>
        <w:rPr>
          <w:rFonts w:hint="eastAsia" w:ascii="黑体" w:hAnsi="黑体" w:eastAsia="黑体" w:cs="黑体"/>
          <w:color w:val="000000"/>
          <w:sz w:val="32"/>
          <w:lang w:val="en-US" w:eastAsia="zh-CN"/>
        </w:rPr>
        <w:t>委托业务费</w:t>
      </w:r>
      <w:r>
        <w:rPr>
          <w:rFonts w:ascii="黑体" w:hAnsi="黑体" w:eastAsia="黑体" w:cs="黑体"/>
          <w:color w:val="000000"/>
          <w:sz w:val="32"/>
        </w:rPr>
        <w:t>”经费预算情况及增减变化原因</w:t>
      </w:r>
    </w:p>
    <w:p>
      <w:pPr>
        <w:pStyle w:val="21"/>
        <w:rPr>
          <w:rFonts w:ascii="黑体" w:hAnsi="黑体" w:eastAsia="黑体" w:cs="黑体"/>
          <w:color w:val="000000"/>
          <w:sz w:val="32"/>
        </w:rPr>
      </w:pPr>
      <w:r>
        <w:rPr>
          <w:rFonts w:hint="eastAsia"/>
          <w:lang w:eastAsia="zh-CN"/>
        </w:rPr>
        <w:t>2026</w:t>
      </w:r>
      <w:r>
        <w:t>年，我</w:t>
      </w:r>
      <w:r>
        <w:rPr>
          <w:rFonts w:hint="eastAsia"/>
          <w:lang w:val="en-US" w:eastAsia="zh-CN"/>
        </w:rPr>
        <w:t>部门</w:t>
      </w:r>
      <w:r>
        <w:t>财政拨款</w:t>
      </w:r>
      <w:r>
        <w:rPr>
          <w:rFonts w:hint="eastAsia"/>
          <w:lang w:eastAsia="zh-CN"/>
        </w:rPr>
        <w:t>“</w:t>
      </w:r>
      <w:r>
        <w:rPr>
          <w:rFonts w:hint="eastAsia"/>
          <w:lang w:val="en-US" w:eastAsia="zh-CN"/>
        </w:rPr>
        <w:t>委托业务费</w:t>
      </w:r>
      <w:r>
        <w:t>”经费预算安排</w:t>
      </w:r>
      <w:r>
        <w:rPr>
          <w:rFonts w:hint="eastAsia"/>
          <w:lang w:val="en-US" w:eastAsia="zh-CN"/>
        </w:rPr>
        <w:t>5</w:t>
      </w:r>
      <w:r>
        <w:t>万元</w:t>
      </w:r>
      <w:r>
        <w:rPr>
          <w:rFonts w:hint="eastAsia"/>
          <w:lang w:eastAsia="zh-CN"/>
        </w:rPr>
        <w:t>，</w:t>
      </w:r>
      <w:r>
        <w:rPr>
          <w:rFonts w:hint="eastAsia"/>
          <w:lang w:val="en-US" w:eastAsia="zh-CN"/>
        </w:rPr>
        <w:t>主要作为县总工会法律顾问参与工会业务相关的法律服务等业务</w:t>
      </w:r>
      <w:r>
        <w:t>。与202</w:t>
      </w:r>
      <w:r>
        <w:rPr>
          <w:rFonts w:hint="eastAsia"/>
          <w:lang w:val="en-US" w:eastAsia="zh-CN"/>
        </w:rPr>
        <w:t>5</w:t>
      </w:r>
      <w:r>
        <w:t>年相比持平，无变化。</w:t>
      </w:r>
    </w:p>
    <w:p>
      <w:pPr>
        <w:spacing w:before="10" w:after="10" w:line="360" w:lineRule="auto"/>
        <w:ind w:firstLine="640"/>
        <w:jc w:val="left"/>
        <w:outlineLvl w:val="2"/>
      </w:pPr>
      <w:r>
        <w:rPr>
          <w:rFonts w:hint="eastAsia" w:ascii="黑体" w:hAnsi="黑体" w:eastAsia="黑体" w:cs="黑体"/>
          <w:color w:val="000000"/>
          <w:sz w:val="32"/>
          <w:lang w:val="en-US" w:eastAsia="zh-CN"/>
        </w:rPr>
        <w:t>六</w:t>
      </w:r>
      <w:r>
        <w:rPr>
          <w:rFonts w:ascii="黑体" w:hAnsi="黑体" w:eastAsia="黑体" w:cs="黑体"/>
          <w:color w:val="000000"/>
          <w:sz w:val="32"/>
        </w:rPr>
        <w:t>、部门整体绩效目标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隆尧县总工会贯彻执行国家财税方针政策，按照工会的参与、维护、建设、教育等四能职能，遵 照《工会法》及其他法规、政策开展好工会工作。</w:t>
      </w:r>
    </w:p>
    <w:p>
      <w:pPr>
        <w:pStyle w:val="22"/>
      </w:pPr>
      <w:r>
        <w:rPr>
          <w:rFonts w:hint="eastAsia"/>
          <w:lang w:val="en-US" w:eastAsia="zh-CN"/>
        </w:rPr>
        <w:t>1</w:t>
      </w:r>
      <w:r>
        <w:t xml:space="preserve">、组织联系职工群众的职能：  工会组织是历史上形成的工人群众最容易接受的一种组织形式。工人阶级要实现自己的历史使命,必须通过工会使工人阶级作为一种阶级组织起来。在社会主义条件下,工会仍然作为工人阶级的一种重要的组织形式继续存在着。工会组织联系职工群众的职能,实质是通过工会最广泛的把职工群众组织起来,建立起党和职工群众、国家和职工群众之间的联系:通过工会的日常工作,不断地把党的纲领、任务和政策同职工群众的意愿和要求紧密结合起来,成为职工群众的自觉行动,从而使工会运动同实现工人阶级历史使命结合起来。 </w:t>
      </w:r>
    </w:p>
    <w:p>
      <w:pPr>
        <w:pStyle w:val="22"/>
      </w:pPr>
      <w:r>
        <w:rPr>
          <w:rFonts w:hint="eastAsia"/>
          <w:lang w:val="en-US" w:eastAsia="zh-CN"/>
        </w:rPr>
        <w:t>2</w:t>
      </w:r>
      <w:r>
        <w:t xml:space="preserve">、保护职工群众利益的职能：    </w:t>
      </w:r>
    </w:p>
    <w:p>
      <w:pPr>
        <w:pStyle w:val="22"/>
      </w:pPr>
      <w:r>
        <w:t>工会本来就是工人群众自愿联合起来维护自己利益的组织,工人阶级成为自己国家的领导阶级之后,工会的保护职能依然存在,在社会主义条件下,工会为了密切联系群众,必须履行保护职工利益的职责,要通过自己的活动,坚决维护职工的合法利益,切实为职工多办事、办好事</w:t>
      </w:r>
      <w:r>
        <w:rPr>
          <w:rFonts w:hint="eastAsia"/>
          <w:lang w:eastAsia="zh-CN"/>
        </w:rPr>
        <w:t>；</w:t>
      </w:r>
      <w:r>
        <w:t>同时,工会作为国家领导阶级的群众组织,必须承担保护自己国家的义务,要教育职工提高对国家、集体、个人三者利益一致的认识,自觉地以个人利益服从国家和集体利益,眼前利益服从长远利益。</w:t>
      </w:r>
    </w:p>
    <w:p>
      <w:pPr>
        <w:pStyle w:val="22"/>
      </w:pPr>
      <w:r>
        <w:rPr>
          <w:rFonts w:hint="eastAsia"/>
          <w:lang w:val="en-US" w:eastAsia="zh-CN"/>
        </w:rPr>
        <w:t>3</w:t>
      </w:r>
      <w:r>
        <w:t xml:space="preserve">、教育职工群众的职能：    </w:t>
      </w:r>
    </w:p>
    <w:p>
      <w:pPr>
        <w:pStyle w:val="22"/>
      </w:pPr>
      <w:r>
        <w:t>教育职工群众认识工人阶级在新时期的地位和肩负的历史责任,不断提高他们的思想政治素质和科学文化素质,发挥工人阶级在社会主义现代化建设中的主导作用,是工会当前最重要的职责。</w:t>
      </w:r>
    </w:p>
    <w:p>
      <w:pPr>
        <w:pStyle w:val="22"/>
      </w:pPr>
      <w:r>
        <w:rPr>
          <w:rFonts w:hint="eastAsia"/>
          <w:lang w:val="en-US" w:eastAsia="zh-CN"/>
        </w:rPr>
        <w:t>4</w:t>
      </w:r>
      <w:r>
        <w:t xml:space="preserve">、代表和吸引职工群众参与国家建设和管理的职能： </w:t>
      </w:r>
    </w:p>
    <w:p>
      <w:pPr>
        <w:pStyle w:val="22"/>
      </w:pPr>
      <w:r>
        <w:t>工会参与国家建设和管理,主要通过自己的活动,组织吸引职工参与管理，增强职工主人翁责任感,发挥职工建设社会主义的积极性和创造性。</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202</w:t>
      </w:r>
      <w:r>
        <w:rPr>
          <w:rFonts w:hint="eastAsia"/>
          <w:lang w:val="en-US" w:eastAsia="zh-CN"/>
        </w:rPr>
        <w:t>6</w:t>
      </w:r>
      <w:r>
        <w:t>年隆尧县总工会工作的总体思路是：以习近平新时代中国特色社会主义思想为指导，全面学习贯彻落实党的二十大精神，认真贯彻落实习近平总书记关于工人阶级和工会工作的重要论述，深刻领会“两个确立”的决定性意义，增强“四个意识”、坚定“四个自信”、做到“两个维护”。以集中开展“县级工会加强年”专项工作为载体，以学习宣传贯彻党的二十大精神为主线，加强职工思想政治引领，深入开展建会入会集中行动，进一步强化服务阵地建设，切实加强基层工会建设，充分发挥桥梁纽带作用，团结动员全县广大职工建功新时代、奋进新征程。</w:t>
      </w:r>
    </w:p>
    <w:p>
      <w:pPr>
        <w:pStyle w:val="23"/>
      </w:pPr>
      <w:r>
        <w:t>1、坚持工会工作正确政治方向。围绕迎接和学习宣传贯彻党的二十大这条主线，加强职工思想政治引领，引导广大职工听党话、跟党走。组织开展“中国梦·劳动美”“劳动创造幸福”等系列主题宣传教育活动，引导广大职工践行社会主义核心价值观。落实新时代党的建设总要求，以党的政治建设为统领，全面提升县总工会党的建设质量。</w:t>
      </w:r>
    </w:p>
    <w:p>
      <w:pPr>
        <w:pStyle w:val="23"/>
      </w:pPr>
      <w:r>
        <w:t>2、深入开展建会入会集中行动。扩大工会组织覆盖和会员发展，不断夯实基层组织基础。开展非公有制企业和社会组织工会组建工作，推进区域性、行业性工会联合会建设。通过“重点建、行业建、兜底建”模式，深入推进新就业形态劳动者建会入会，把新就业形态劳动者组织起来、吸引过来。深入基层、深入一线，加强乡镇、开发区工会建设，推进“小三级”工会组织建设。开展好职工“大学习”活动，加强工会干部职工队伍建设。</w:t>
      </w:r>
    </w:p>
    <w:p>
      <w:pPr>
        <w:pStyle w:val="23"/>
      </w:pPr>
      <w:r>
        <w:t>3、切实加强服务阵地建设。进一步加强县职工服务中心建设，不断扩大服务范围、完善服务职能、简化办事程序，擦亮职工服务中心的品牌。推进职工文化阵地建设，充分利用劳动广场、职工文体活动基地等阵地，组织开展形式多样的宣传、教育、文体等活动。加快智慧工会建设，建设好网上工会。借助县融媒体，运用微信公众号、小程序等载体，打造线上线下服务综合体。</w:t>
      </w:r>
    </w:p>
    <w:p>
      <w:pPr>
        <w:pStyle w:val="23"/>
      </w:pPr>
      <w:r>
        <w:t>4、充分发挥桥梁纽带作用。坚持党建带工建，充分发挥联席会议制度的平台作用，解决一批党政所需、职工所盼的急难问题。探索推动劳动争议多元化解，引导职工依法理性维权，切实维护劳动领域政治安全。聚焦主责主业，团结引领广大职工在推动县域经济高质量发展中充分发挥主力军作用。助力落实“六稳”“六保”任务，通过各种形式的培训、招聘活动等措施，做好工会就业服务工作。做强做细帮扶、送温暖、金秋助学、职工医疗互助、户外劳动者驿站、会聚良缘等工会工作品牌，进一步增强职工的获得感幸福感安全感。</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1、深入调研，夯实工作基础。深入基层开展专题调研，</w:t>
      </w:r>
    </w:p>
    <w:p>
      <w:pPr>
        <w:pStyle w:val="24"/>
      </w:pPr>
      <w:r>
        <w:t>明确调研走访重点，了解基层工会情况和困难问题，特别是企业所需所盼。坚持以效为准，对收集到的意见建议，认真梳理汇总，找准问题症结，积极主动研究解决思路，分领域形成调研成果，切实转化为工作举措。</w:t>
      </w:r>
    </w:p>
    <w:p>
      <w:pPr>
        <w:pStyle w:val="24"/>
      </w:pPr>
      <w:r>
        <w:t>2、广泛宣传，营造浓厚氛围。充分发挥工会宣传阵地作用，利用公众号和新媒体平台，宣传一线职工先进事迹、榜样典型等优秀内容的宣传工作。积极发挥工会大学校作用，建立健全职工思想政治引领体系，筑牢职工参与社会治理的思想基础。</w:t>
      </w:r>
    </w:p>
    <w:p>
      <w:pPr>
        <w:pStyle w:val="24"/>
      </w:pPr>
      <w:r>
        <w:t>3、强化“小三级”工会组建，强化基层基础。坚持“党建带工建、工建服务党建”，打造一批职工之家（职工小家）示范点和培育点。深入开展“六有”工会创建工作，加大乡镇、园区总工会建设力度，推进基层工会组织规范化建设，增强基层工会活力。</w:t>
      </w:r>
    </w:p>
    <w:p>
      <w:pPr>
        <w:pStyle w:val="24"/>
      </w:pPr>
      <w:r>
        <w:t>4、做实困难职工解困脱困工作。开展困难职工“解困脱困集中攻坚行动”，针对建档困难职工家庭特点，找准致困原因，做到帮扶对象家庭情况清、致贫原因清、就业技能清、帮扶需求清。</w:t>
      </w:r>
    </w:p>
    <w:p>
      <w:pPr>
        <w:pStyle w:val="24"/>
      </w:pPr>
      <w:r>
        <w:t>5、健全职工保障体系。深化推进政府与工会联席会议制度，推动全县乡镇总工会普遍健全政府与同级工会联席会议制度，并就推动产业工人队伍建设改革、加强职工教育培训、构建和谐劳动关系等涉及职工切身利益的事项形成议题并予以落实，切实发挥联席会议制度的功能作用。</w:t>
      </w:r>
    </w:p>
    <w:p>
      <w:pPr>
        <w:pStyle w:val="24"/>
      </w:pPr>
      <w:r>
        <w:t>6、以劳动竞赛促进人才技能提升。广泛开展隆尧县推进重点项目建设劳动竞赛活动。利用新媒体展播的形式，展示职工技术创新成果。发挥创新工作室在企业的创新作用，带动广大职工钻研技术，攻克技术难关。</w:t>
      </w:r>
    </w:p>
    <w:p>
      <w:pPr>
        <w:pStyle w:val="24"/>
      </w:pPr>
      <w:r>
        <w:t>7、完善制度建设。制定完善预算绩效管理制度、资金管理办法、工作保障制度等，为全年预算绩效目标的实现奠定制度基础。</w:t>
      </w:r>
    </w:p>
    <w:p>
      <w:pPr>
        <w:pStyle w:val="24"/>
      </w:pPr>
      <w:r>
        <w:t>8、加强支出管理。通过优化支出结构，编细编实预算等多种措施，确保支出进度达标。</w:t>
      </w:r>
    </w:p>
    <w:p>
      <w:pPr>
        <w:pStyle w:val="24"/>
      </w:pPr>
      <w:r>
        <w:t>9、加强绩效运行监控。开展绩效运行监控，发现问题及时采取措施，确保绩效目标如期保质实现。</w:t>
      </w:r>
    </w:p>
    <w:p>
      <w:pPr>
        <w:pStyle w:val="24"/>
      </w:pPr>
      <w:r>
        <w:t>10、做好绩效自评。开展上年度部门预算绩效自评和重点评价工作，对评价中发现的问题及时整改，调整优化支出结构，提高财政资金使用效益。</w:t>
      </w:r>
    </w:p>
    <w:p>
      <w:pPr>
        <w:pStyle w:val="24"/>
      </w:pPr>
      <w:r>
        <w:t>11、规范财务资产管理。完善财务管理制度，严格审批程序，加强固定资产登记、使用和报废处置管理，做到支出合理，物尽其用。</w:t>
      </w:r>
    </w:p>
    <w:p>
      <w:pPr>
        <w:pStyle w:val="24"/>
      </w:pPr>
      <w:r>
        <w:t>12、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rPr>
          <w:rFonts w:hint="eastAsia" w:eastAsia="方正仿宋_GBK"/>
          <w:lang w:eastAsia="zh-CN"/>
        </w:rPr>
        <w:sectPr>
          <w:pgSz w:w="16840" w:h="11900" w:orient="landscape"/>
          <w:pgMar w:top="1361" w:right="1020" w:bottom="1361" w:left="1020" w:header="720" w:footer="720" w:gutter="0"/>
          <w:cols w:space="720" w:num="1"/>
        </w:sectPr>
      </w:pPr>
      <w:r>
        <w:t>13、加强宣传培训调研等。加强人员培训，提高本部门职工业务素质；加强调研，提出优化财政资金配置、提高资金使用效益的意见；加大宣传力度，强化预算绩效管理意识，促进预算绩效管理水平进一步提升</w:t>
      </w:r>
      <w:r>
        <w:rPr>
          <w:rFonts w:hint="eastAsia"/>
          <w:lang w:eastAsia="zh-CN"/>
        </w:rPr>
        <w:t>。</w:t>
      </w:r>
    </w:p>
    <w:p>
      <w:p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val="en-US" w:eastAsia="zh-CN"/>
        </w:rPr>
        <w:t>七</w:t>
      </w:r>
      <w:r>
        <w:rPr>
          <w:rFonts w:ascii="黑体" w:hAnsi="黑体" w:eastAsia="黑体" w:cs="黑体"/>
          <w:color w:val="000000"/>
          <w:sz w:val="32"/>
        </w:rPr>
        <w:t>、部门主管专项资金预算安排情况及绩效目标</w:t>
      </w:r>
      <w:bookmarkEnd w:id="14"/>
    </w:p>
    <w:p>
      <w:pPr>
        <w:spacing w:before="10" w:after="10" w:line="360" w:lineRule="auto"/>
        <w:jc w:val="left"/>
        <w:outlineLvl w:val="2"/>
        <w:rPr>
          <w:rFonts w:ascii="黑体" w:hAnsi="黑体" w:eastAsia="黑体" w:cs="黑体"/>
          <w:color w:val="000000"/>
          <w:sz w:val="32"/>
        </w:rPr>
      </w:pPr>
    </w:p>
    <w:p>
      <w:pPr>
        <w:keepNext w:val="0"/>
        <w:keepLines w:val="0"/>
        <w:widowControl/>
        <w:suppressLineNumbers w:val="0"/>
        <w:spacing w:before="0" w:beforeAutospacing="0" w:after="0" w:afterAutospacing="0"/>
        <w:ind w:left="0" w:right="0" w:firstLine="1400" w:firstLineChars="500"/>
        <w:jc w:val="left"/>
        <w:rPr>
          <w:sz w:val="28"/>
          <w:szCs w:val="28"/>
        </w:rPr>
      </w:pPr>
      <w:r>
        <w:rPr>
          <w:rFonts w:hint="eastAsia" w:ascii="方正仿宋_GBK" w:hAnsi="方正仿宋_GBK" w:eastAsia="方正仿宋_GBK" w:cs="方正仿宋_GBK"/>
          <w:kern w:val="0"/>
          <w:sz w:val="28"/>
          <w:szCs w:val="28"/>
          <w:lang w:val="uk" w:eastAsia="zh-CN" w:bidi="ar"/>
        </w:rPr>
        <w:t>无专项资金。</w:t>
      </w:r>
    </w:p>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val="en-US" w:eastAsia="zh-CN"/>
        </w:rPr>
        <w:t>八</w:t>
      </w:r>
      <w:r>
        <w:rPr>
          <w:rFonts w:ascii="黑体" w:hAnsi="黑体" w:eastAsia="黑体" w:cs="黑体"/>
          <w:color w:val="000000"/>
          <w:sz w:val="32"/>
        </w:rPr>
        <w:t>、部门项目预算安排情况及绩效目标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1、工会经费（工会日常工作经费）绩效目标表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13052526P00003910233H</w:t>
            </w:r>
          </w:p>
        </w:tc>
        <w:tc>
          <w:tcPr>
            <w:tcW w:w="2835" w:type="dxa"/>
            <w:vAlign w:val="center"/>
          </w:tcPr>
          <w:p>
            <w:pPr>
              <w:pStyle w:val="11"/>
            </w:pPr>
            <w:r>
              <w:t>项目名称</w:t>
            </w:r>
          </w:p>
        </w:tc>
        <w:tc>
          <w:tcPr>
            <w:tcW w:w="6095" w:type="dxa"/>
            <w:gridSpan w:val="3"/>
            <w:vAlign w:val="center"/>
          </w:tcPr>
          <w:p>
            <w:pPr>
              <w:pStyle w:val="13"/>
            </w:pPr>
            <w:r>
              <w:t>工会经费（工会日常工作经费）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44.28</w:t>
            </w:r>
          </w:p>
        </w:tc>
        <w:tc>
          <w:tcPr>
            <w:tcW w:w="2835" w:type="dxa"/>
            <w:vAlign w:val="center"/>
          </w:tcPr>
          <w:p>
            <w:pPr>
              <w:pStyle w:val="11"/>
            </w:pPr>
            <w:r>
              <w:t>其中：财政    资金</w:t>
            </w:r>
          </w:p>
        </w:tc>
        <w:tc>
          <w:tcPr>
            <w:tcW w:w="2551" w:type="dxa"/>
            <w:vAlign w:val="center"/>
          </w:tcPr>
          <w:p>
            <w:pPr>
              <w:pStyle w:val="13"/>
            </w:pPr>
            <w:r>
              <w:t>44.28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为保障机构正常运转、完成日常工作任务所需的日常公用支出。</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1.运用工会经费组织职工开展活动，为职工提供服务，维护职工合法权益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工会业务开展数量</w:t>
            </w:r>
          </w:p>
        </w:tc>
        <w:tc>
          <w:tcPr>
            <w:tcW w:w="5386" w:type="dxa"/>
            <w:vAlign w:val="center"/>
          </w:tcPr>
          <w:p>
            <w:pPr>
              <w:pStyle w:val="13"/>
            </w:pPr>
            <w:r>
              <w:t>开展数量达到年初计划</w:t>
            </w:r>
          </w:p>
        </w:tc>
        <w:tc>
          <w:tcPr>
            <w:tcW w:w="2268" w:type="dxa"/>
            <w:vAlign w:val="center"/>
          </w:tcPr>
          <w:p>
            <w:pPr>
              <w:pStyle w:val="13"/>
            </w:pPr>
            <w:r>
              <w:t>≥20百分比</w:t>
            </w:r>
          </w:p>
        </w:tc>
        <w:tc>
          <w:tcPr>
            <w:tcW w:w="1276" w:type="dxa"/>
            <w:vAlign w:val="center"/>
          </w:tcPr>
          <w:p>
            <w:pPr>
              <w:pStyle w:val="13"/>
            </w:pPr>
            <w:r>
              <w:t>《工会法》《河北省总工会县级以上工会经费支出管理实施细则》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工会业务开展质量</w:t>
            </w:r>
          </w:p>
        </w:tc>
        <w:tc>
          <w:tcPr>
            <w:tcW w:w="5386" w:type="dxa"/>
            <w:vAlign w:val="center"/>
          </w:tcPr>
          <w:p>
            <w:pPr>
              <w:pStyle w:val="13"/>
            </w:pPr>
            <w:r>
              <w:t>按照年初计划保质保量完成</w:t>
            </w:r>
          </w:p>
        </w:tc>
        <w:tc>
          <w:tcPr>
            <w:tcW w:w="2268" w:type="dxa"/>
            <w:vAlign w:val="center"/>
          </w:tcPr>
          <w:p>
            <w:pPr>
              <w:pStyle w:val="13"/>
            </w:pPr>
            <w:r>
              <w:t>≥10百分比</w:t>
            </w:r>
          </w:p>
        </w:tc>
        <w:tc>
          <w:tcPr>
            <w:tcW w:w="1276" w:type="dxa"/>
            <w:vAlign w:val="center"/>
          </w:tcPr>
          <w:p>
            <w:pPr>
              <w:pStyle w:val="13"/>
            </w:pPr>
            <w:r>
              <w:t>《工会法》《河北省总工会县级以上工会经费支出管理实施细则》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工会业务开展时间</w:t>
            </w:r>
          </w:p>
        </w:tc>
        <w:tc>
          <w:tcPr>
            <w:tcW w:w="5386" w:type="dxa"/>
            <w:vAlign w:val="center"/>
          </w:tcPr>
          <w:p>
            <w:pPr>
              <w:pStyle w:val="13"/>
            </w:pPr>
            <w:r>
              <w:t>按照年初计划按时开展</w:t>
            </w:r>
          </w:p>
        </w:tc>
        <w:tc>
          <w:tcPr>
            <w:tcW w:w="2268" w:type="dxa"/>
            <w:vAlign w:val="center"/>
          </w:tcPr>
          <w:p>
            <w:pPr>
              <w:pStyle w:val="13"/>
            </w:pPr>
            <w:r>
              <w:t>≥10百分比</w:t>
            </w:r>
          </w:p>
        </w:tc>
        <w:tc>
          <w:tcPr>
            <w:tcW w:w="1276" w:type="dxa"/>
            <w:vAlign w:val="center"/>
          </w:tcPr>
          <w:p>
            <w:pPr>
              <w:pStyle w:val="13"/>
            </w:pPr>
            <w:r>
              <w:t>《工会法》《河北省总工会县级以上工会经费支出管理实施细则》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工会业务开展成本</w:t>
            </w:r>
          </w:p>
        </w:tc>
        <w:tc>
          <w:tcPr>
            <w:tcW w:w="5386" w:type="dxa"/>
            <w:vAlign w:val="center"/>
          </w:tcPr>
          <w:p>
            <w:pPr>
              <w:pStyle w:val="13"/>
            </w:pPr>
            <w:r>
              <w:t>每项工作开展的经费支出不超预算</w:t>
            </w:r>
          </w:p>
        </w:tc>
        <w:tc>
          <w:tcPr>
            <w:tcW w:w="2268" w:type="dxa"/>
            <w:vAlign w:val="center"/>
          </w:tcPr>
          <w:p>
            <w:pPr>
              <w:pStyle w:val="13"/>
            </w:pPr>
            <w:r>
              <w:t>≥10百分比</w:t>
            </w:r>
          </w:p>
        </w:tc>
        <w:tc>
          <w:tcPr>
            <w:tcW w:w="1276" w:type="dxa"/>
            <w:vAlign w:val="center"/>
          </w:tcPr>
          <w:p>
            <w:pPr>
              <w:pStyle w:val="13"/>
            </w:pPr>
            <w:r>
              <w:t>《工会法》《河北省总工会县级以上工会经费支出管理实施细则》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社会满意度</w:t>
            </w:r>
          </w:p>
        </w:tc>
        <w:tc>
          <w:tcPr>
            <w:tcW w:w="5386" w:type="dxa"/>
            <w:vAlign w:val="center"/>
          </w:tcPr>
          <w:p>
            <w:pPr>
              <w:pStyle w:val="13"/>
            </w:pPr>
            <w:r>
              <w:t>通过工会业务开展，增强基层工会活力，加强基层工会组织建设</w:t>
            </w:r>
          </w:p>
        </w:tc>
        <w:tc>
          <w:tcPr>
            <w:tcW w:w="2268" w:type="dxa"/>
            <w:vAlign w:val="center"/>
          </w:tcPr>
          <w:p>
            <w:pPr>
              <w:pStyle w:val="13"/>
            </w:pPr>
            <w:r>
              <w:t>≥30百分比</w:t>
            </w:r>
          </w:p>
        </w:tc>
        <w:tc>
          <w:tcPr>
            <w:tcW w:w="1276" w:type="dxa"/>
            <w:vAlign w:val="center"/>
          </w:tcPr>
          <w:p>
            <w:pPr>
              <w:pStyle w:val="13"/>
            </w:pPr>
            <w:r>
              <w:t>《工会法》《河北省总工会县级以上工会经费支出管理实施细则》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年度工作得到职工满意度</w:t>
            </w:r>
          </w:p>
        </w:tc>
        <w:tc>
          <w:tcPr>
            <w:tcW w:w="2268" w:type="dxa"/>
            <w:vAlign w:val="center"/>
          </w:tcPr>
          <w:p>
            <w:pPr>
              <w:pStyle w:val="13"/>
            </w:pPr>
            <w:r>
              <w:t>≥20百分比</w:t>
            </w:r>
          </w:p>
        </w:tc>
        <w:tc>
          <w:tcPr>
            <w:tcW w:w="1276" w:type="dxa"/>
            <w:vAlign w:val="center"/>
          </w:tcPr>
          <w:p>
            <w:pPr>
              <w:pStyle w:val="13"/>
            </w:pPr>
            <w:r>
              <w:t>《工会法》《河北省总工会县级以上工会经费支出管理实施细则》</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2、工会经费（上解市总工会经费）绩效目标表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13052526P00003910235Q</w:t>
            </w:r>
          </w:p>
        </w:tc>
        <w:tc>
          <w:tcPr>
            <w:tcW w:w="2835" w:type="dxa"/>
            <w:vAlign w:val="center"/>
          </w:tcPr>
          <w:p>
            <w:pPr>
              <w:pStyle w:val="11"/>
            </w:pPr>
            <w:r>
              <w:t>项目名称</w:t>
            </w:r>
          </w:p>
        </w:tc>
        <w:tc>
          <w:tcPr>
            <w:tcW w:w="6095" w:type="dxa"/>
            <w:gridSpan w:val="3"/>
            <w:vAlign w:val="center"/>
          </w:tcPr>
          <w:p>
            <w:pPr>
              <w:pStyle w:val="13"/>
            </w:pPr>
            <w:r>
              <w:t>工会经费（上解市总工会经费）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96.54</w:t>
            </w:r>
          </w:p>
        </w:tc>
        <w:tc>
          <w:tcPr>
            <w:tcW w:w="2835" w:type="dxa"/>
            <w:vAlign w:val="center"/>
          </w:tcPr>
          <w:p>
            <w:pPr>
              <w:pStyle w:val="11"/>
            </w:pPr>
            <w:r>
              <w:t>其中：财政    资金</w:t>
            </w:r>
          </w:p>
        </w:tc>
        <w:tc>
          <w:tcPr>
            <w:tcW w:w="2551" w:type="dxa"/>
            <w:vAlign w:val="center"/>
          </w:tcPr>
          <w:p>
            <w:pPr>
              <w:pStyle w:val="13"/>
            </w:pPr>
            <w:r>
              <w:t>96.54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按照《河北省总工会关于工会财务管理体制和经费分成的补充规定》，及时足额上解市总工会经费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1.按照《河北省总工会关于工会财务管理体制和经费分成的补充规定》，及时足额上解市总工会经费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上解市总工会经费总支出</w:t>
            </w:r>
          </w:p>
        </w:tc>
        <w:tc>
          <w:tcPr>
            <w:tcW w:w="5386" w:type="dxa"/>
            <w:vAlign w:val="center"/>
          </w:tcPr>
          <w:p>
            <w:pPr>
              <w:pStyle w:val="13"/>
            </w:pPr>
            <w:r>
              <w:t>年度总支出96.54</w:t>
            </w:r>
          </w:p>
        </w:tc>
        <w:tc>
          <w:tcPr>
            <w:tcW w:w="2268" w:type="dxa"/>
            <w:vAlign w:val="center"/>
          </w:tcPr>
          <w:p>
            <w:pPr>
              <w:pStyle w:val="13"/>
            </w:pPr>
            <w:r>
              <w:t>≥20百分比</w:t>
            </w:r>
          </w:p>
        </w:tc>
        <w:tc>
          <w:tcPr>
            <w:tcW w:w="1276" w:type="dxa"/>
            <w:vAlign w:val="center"/>
          </w:tcPr>
          <w:p>
            <w:pPr>
              <w:pStyle w:val="13"/>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上解市总工会经费支出率</w:t>
            </w:r>
          </w:p>
        </w:tc>
        <w:tc>
          <w:tcPr>
            <w:tcW w:w="5386" w:type="dxa"/>
            <w:vAlign w:val="center"/>
          </w:tcPr>
          <w:p>
            <w:pPr>
              <w:pStyle w:val="13"/>
            </w:pPr>
            <w:r>
              <w:t>保质保量完成支出</w:t>
            </w:r>
          </w:p>
        </w:tc>
        <w:tc>
          <w:tcPr>
            <w:tcW w:w="2268" w:type="dxa"/>
            <w:vAlign w:val="center"/>
          </w:tcPr>
          <w:p>
            <w:pPr>
              <w:pStyle w:val="13"/>
            </w:pPr>
            <w:r>
              <w:t>≥10百分比</w:t>
            </w:r>
          </w:p>
        </w:tc>
        <w:tc>
          <w:tcPr>
            <w:tcW w:w="1276" w:type="dxa"/>
            <w:vAlign w:val="center"/>
          </w:tcPr>
          <w:p>
            <w:pPr>
              <w:pStyle w:val="13"/>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上解市总工会经费支出计划</w:t>
            </w:r>
          </w:p>
        </w:tc>
        <w:tc>
          <w:tcPr>
            <w:tcW w:w="5386" w:type="dxa"/>
            <w:vAlign w:val="center"/>
          </w:tcPr>
          <w:p>
            <w:pPr>
              <w:pStyle w:val="13"/>
            </w:pPr>
            <w:r>
              <w:t>按季度完成支出比例</w:t>
            </w:r>
          </w:p>
        </w:tc>
        <w:tc>
          <w:tcPr>
            <w:tcW w:w="2268" w:type="dxa"/>
            <w:vAlign w:val="center"/>
          </w:tcPr>
          <w:p>
            <w:pPr>
              <w:pStyle w:val="13"/>
            </w:pPr>
            <w:r>
              <w:t>≥10百分比</w:t>
            </w:r>
          </w:p>
        </w:tc>
        <w:tc>
          <w:tcPr>
            <w:tcW w:w="1276" w:type="dxa"/>
            <w:vAlign w:val="center"/>
          </w:tcPr>
          <w:p>
            <w:pPr>
              <w:pStyle w:val="13"/>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上解市总工会经费支出总额</w:t>
            </w:r>
          </w:p>
        </w:tc>
        <w:tc>
          <w:tcPr>
            <w:tcW w:w="5386" w:type="dxa"/>
            <w:vAlign w:val="center"/>
          </w:tcPr>
          <w:p>
            <w:pPr>
              <w:pStyle w:val="13"/>
            </w:pPr>
            <w:r>
              <w:t>按计划完成支出</w:t>
            </w:r>
          </w:p>
        </w:tc>
        <w:tc>
          <w:tcPr>
            <w:tcW w:w="2268" w:type="dxa"/>
            <w:vAlign w:val="center"/>
          </w:tcPr>
          <w:p>
            <w:pPr>
              <w:pStyle w:val="13"/>
            </w:pPr>
            <w:r>
              <w:t>≥10百分比</w:t>
            </w:r>
          </w:p>
        </w:tc>
        <w:tc>
          <w:tcPr>
            <w:tcW w:w="1276" w:type="dxa"/>
            <w:vAlign w:val="center"/>
          </w:tcPr>
          <w:p>
            <w:pPr>
              <w:pStyle w:val="13"/>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社会满意度</w:t>
            </w:r>
          </w:p>
        </w:tc>
        <w:tc>
          <w:tcPr>
            <w:tcW w:w="5386" w:type="dxa"/>
            <w:vAlign w:val="center"/>
          </w:tcPr>
          <w:p>
            <w:pPr>
              <w:pStyle w:val="13"/>
            </w:pPr>
            <w:r>
              <w:t>及时足额上解市总工会经费、保障工运事业正常有效开展</w:t>
            </w:r>
          </w:p>
        </w:tc>
        <w:tc>
          <w:tcPr>
            <w:tcW w:w="2268" w:type="dxa"/>
            <w:vAlign w:val="center"/>
          </w:tcPr>
          <w:p>
            <w:pPr>
              <w:pStyle w:val="13"/>
            </w:pPr>
            <w:r>
              <w:t>≥30百分比</w:t>
            </w:r>
          </w:p>
        </w:tc>
        <w:tc>
          <w:tcPr>
            <w:tcW w:w="1276" w:type="dxa"/>
            <w:vAlign w:val="center"/>
          </w:tcPr>
          <w:p>
            <w:pPr>
              <w:pStyle w:val="13"/>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年度工作得到职工满意</w:t>
            </w:r>
          </w:p>
        </w:tc>
        <w:tc>
          <w:tcPr>
            <w:tcW w:w="2268" w:type="dxa"/>
            <w:vAlign w:val="center"/>
          </w:tcPr>
          <w:p>
            <w:pPr>
              <w:pStyle w:val="13"/>
            </w:pPr>
            <w:r>
              <w:t>≥20百分比</w:t>
            </w:r>
          </w:p>
        </w:tc>
        <w:tc>
          <w:tcPr>
            <w:tcW w:w="1276" w:type="dxa"/>
            <w:vAlign w:val="center"/>
          </w:tcPr>
          <w:p>
            <w:pPr>
              <w:pStyle w:val="13"/>
            </w:pPr>
            <w:r>
              <w:t>《河北省总工会关于工会财务管理体制和经费分成的补充规定》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3、冀财行【</w:t>
      </w:r>
      <w:r>
        <w:rPr>
          <w:rFonts w:hint="eastAsia" w:ascii="方正仿宋_GBK" w:hAnsi="方正仿宋_GBK" w:eastAsia="方正仿宋_GBK" w:cs="方正仿宋_GBK"/>
          <w:color w:val="000000"/>
          <w:sz w:val="28"/>
          <w:lang w:eastAsia="zh-CN"/>
        </w:rPr>
        <w:t>2026</w:t>
      </w:r>
      <w:r>
        <w:rPr>
          <w:rFonts w:ascii="方正仿宋_GBK" w:hAnsi="方正仿宋_GBK" w:eastAsia="方正仿宋_GBK" w:cs="方正仿宋_GBK"/>
          <w:color w:val="000000"/>
          <w:sz w:val="28"/>
        </w:rPr>
        <w:t>】100号关于提前下达2026年省级困难职工及劳模帮扶救助专项资金绩效目标表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13052526P000032100047</w:t>
            </w:r>
          </w:p>
        </w:tc>
        <w:tc>
          <w:tcPr>
            <w:tcW w:w="2835" w:type="dxa"/>
            <w:vAlign w:val="center"/>
          </w:tcPr>
          <w:p>
            <w:pPr>
              <w:pStyle w:val="11"/>
            </w:pPr>
            <w:r>
              <w:t>项目名称</w:t>
            </w:r>
          </w:p>
        </w:tc>
        <w:tc>
          <w:tcPr>
            <w:tcW w:w="6095" w:type="dxa"/>
            <w:gridSpan w:val="3"/>
            <w:vAlign w:val="center"/>
          </w:tcPr>
          <w:p>
            <w:pPr>
              <w:pStyle w:val="13"/>
            </w:pPr>
            <w:r>
              <w:t>冀财行【</w:t>
            </w:r>
            <w:r>
              <w:rPr>
                <w:rFonts w:hint="eastAsia"/>
                <w:lang w:eastAsia="zh-CN"/>
              </w:rPr>
              <w:t>2026</w:t>
            </w:r>
            <w:r>
              <w:t>】100号关于提前下达2026年省级困难职工及劳模帮扶救助专项资金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10.39</w:t>
            </w:r>
          </w:p>
        </w:tc>
        <w:tc>
          <w:tcPr>
            <w:tcW w:w="2835" w:type="dxa"/>
            <w:vAlign w:val="center"/>
          </w:tcPr>
          <w:p>
            <w:pPr>
              <w:pStyle w:val="11"/>
            </w:pPr>
            <w:r>
              <w:t>其中：财政    资金</w:t>
            </w:r>
          </w:p>
        </w:tc>
        <w:tc>
          <w:tcPr>
            <w:tcW w:w="2551" w:type="dxa"/>
            <w:vAlign w:val="center"/>
          </w:tcPr>
          <w:p>
            <w:pPr>
              <w:pStyle w:val="13"/>
            </w:pPr>
            <w:r>
              <w:t>10.39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困难职工及劳模帮扶救助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1.完成困难职工及劳模帮扶救助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困难职工帮扶救助人数</w:t>
            </w:r>
          </w:p>
        </w:tc>
        <w:tc>
          <w:tcPr>
            <w:tcW w:w="5386" w:type="dxa"/>
            <w:vAlign w:val="center"/>
          </w:tcPr>
          <w:p>
            <w:pPr>
              <w:pStyle w:val="13"/>
            </w:pPr>
            <w:r>
              <w:t>按建档人数实施救助</w:t>
            </w:r>
          </w:p>
        </w:tc>
        <w:tc>
          <w:tcPr>
            <w:tcW w:w="2268" w:type="dxa"/>
            <w:vAlign w:val="center"/>
          </w:tcPr>
          <w:p>
            <w:pPr>
              <w:pStyle w:val="13"/>
            </w:pPr>
            <w:r>
              <w:t>≥20按建档人数实施救助</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保质保量完成</w:t>
            </w:r>
          </w:p>
        </w:tc>
        <w:tc>
          <w:tcPr>
            <w:tcW w:w="5386" w:type="dxa"/>
            <w:vAlign w:val="center"/>
          </w:tcPr>
          <w:p>
            <w:pPr>
              <w:pStyle w:val="13"/>
            </w:pPr>
            <w:r>
              <w:t>及时足额救助</w:t>
            </w:r>
          </w:p>
        </w:tc>
        <w:tc>
          <w:tcPr>
            <w:tcW w:w="2268" w:type="dxa"/>
            <w:vAlign w:val="center"/>
          </w:tcPr>
          <w:p>
            <w:pPr>
              <w:pStyle w:val="13"/>
            </w:pPr>
            <w:r>
              <w:t>≥10保质保量完成</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及时救助</w:t>
            </w:r>
          </w:p>
        </w:tc>
        <w:tc>
          <w:tcPr>
            <w:tcW w:w="5386" w:type="dxa"/>
            <w:vAlign w:val="center"/>
          </w:tcPr>
          <w:p>
            <w:pPr>
              <w:pStyle w:val="13"/>
            </w:pPr>
            <w:r>
              <w:t>按照年初计划及时救助</w:t>
            </w:r>
          </w:p>
        </w:tc>
        <w:tc>
          <w:tcPr>
            <w:tcW w:w="2268" w:type="dxa"/>
            <w:vAlign w:val="center"/>
          </w:tcPr>
          <w:p>
            <w:pPr>
              <w:pStyle w:val="13"/>
            </w:pPr>
            <w:r>
              <w:t>≥10及时救助</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预算金额</w:t>
            </w:r>
          </w:p>
        </w:tc>
        <w:tc>
          <w:tcPr>
            <w:tcW w:w="5386" w:type="dxa"/>
            <w:vAlign w:val="center"/>
          </w:tcPr>
          <w:p>
            <w:pPr>
              <w:pStyle w:val="13"/>
            </w:pPr>
            <w:r>
              <w:t>预算金额</w:t>
            </w:r>
          </w:p>
        </w:tc>
        <w:tc>
          <w:tcPr>
            <w:tcW w:w="2268" w:type="dxa"/>
            <w:vAlign w:val="center"/>
          </w:tcPr>
          <w:p>
            <w:pPr>
              <w:pStyle w:val="13"/>
            </w:pPr>
            <w:r>
              <w:t>≥10不超预算金额</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职工生活状况</w:t>
            </w:r>
          </w:p>
        </w:tc>
        <w:tc>
          <w:tcPr>
            <w:tcW w:w="5386" w:type="dxa"/>
            <w:vAlign w:val="center"/>
          </w:tcPr>
          <w:p>
            <w:pPr>
              <w:pStyle w:val="13"/>
            </w:pPr>
            <w:r>
              <w:t>入户走访或电话回访收集职工反馈意见</w:t>
            </w:r>
          </w:p>
        </w:tc>
        <w:tc>
          <w:tcPr>
            <w:tcW w:w="2268" w:type="dxa"/>
            <w:vAlign w:val="center"/>
          </w:tcPr>
          <w:p>
            <w:pPr>
              <w:pStyle w:val="13"/>
            </w:pPr>
            <w:r>
              <w:t>≥30百分率</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受助困难职工满意度</w:t>
            </w:r>
          </w:p>
        </w:tc>
        <w:tc>
          <w:tcPr>
            <w:tcW w:w="5386" w:type="dxa"/>
            <w:vAlign w:val="center"/>
          </w:tcPr>
          <w:p>
            <w:pPr>
              <w:pStyle w:val="13"/>
            </w:pPr>
            <w:r>
              <w:t>受助困难职工对工会帮扶救助工作的满意度</w:t>
            </w:r>
          </w:p>
        </w:tc>
        <w:tc>
          <w:tcPr>
            <w:tcW w:w="2268" w:type="dxa"/>
            <w:vAlign w:val="center"/>
          </w:tcPr>
          <w:p>
            <w:pPr>
              <w:pStyle w:val="13"/>
            </w:pPr>
            <w:r>
              <w:t>≥20百分率</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13052526P000003100099</w:t>
            </w:r>
          </w:p>
        </w:tc>
        <w:tc>
          <w:tcPr>
            <w:tcW w:w="2835" w:type="dxa"/>
            <w:vAlign w:val="center"/>
          </w:tcPr>
          <w:p>
            <w:pPr>
              <w:pStyle w:val="11"/>
            </w:pPr>
            <w:r>
              <w:t>项目名称</w:t>
            </w:r>
          </w:p>
        </w:tc>
        <w:tc>
          <w:tcPr>
            <w:tcW w:w="6095" w:type="dxa"/>
            <w:gridSpan w:val="3"/>
            <w:vAlign w:val="center"/>
          </w:tcPr>
          <w:p>
            <w:pPr>
              <w:pStyle w:val="13"/>
            </w:pPr>
            <w:r>
              <w:t>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15.35</w:t>
            </w:r>
          </w:p>
        </w:tc>
        <w:tc>
          <w:tcPr>
            <w:tcW w:w="2835" w:type="dxa"/>
            <w:vAlign w:val="center"/>
          </w:tcPr>
          <w:p>
            <w:pPr>
              <w:pStyle w:val="11"/>
            </w:pPr>
            <w:r>
              <w:t>其中：财政    资金</w:t>
            </w:r>
          </w:p>
        </w:tc>
        <w:tc>
          <w:tcPr>
            <w:tcW w:w="2551" w:type="dxa"/>
            <w:vAlign w:val="center"/>
          </w:tcPr>
          <w:p>
            <w:pPr>
              <w:pStyle w:val="13"/>
            </w:pPr>
            <w:r>
              <w:t>15.35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保障劳务派遣社工岗工作人员工资及时足额发放</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1.保障劳务派遣社工岗工作人员工资及时足额发放</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社工岗工资支出人数</w:t>
            </w:r>
          </w:p>
        </w:tc>
        <w:tc>
          <w:tcPr>
            <w:tcW w:w="5386" w:type="dxa"/>
            <w:vAlign w:val="center"/>
          </w:tcPr>
          <w:p>
            <w:pPr>
              <w:pStyle w:val="13"/>
            </w:pPr>
            <w:r>
              <w:t>保障所有人员工资</w:t>
            </w:r>
          </w:p>
        </w:tc>
        <w:tc>
          <w:tcPr>
            <w:tcW w:w="2268" w:type="dxa"/>
            <w:vAlign w:val="center"/>
          </w:tcPr>
          <w:p>
            <w:pPr>
              <w:pStyle w:val="13"/>
            </w:pPr>
            <w:r>
              <w:t>≥20</w:t>
            </w:r>
          </w:p>
        </w:tc>
        <w:tc>
          <w:tcPr>
            <w:tcW w:w="1276" w:type="dxa"/>
            <w:vAlign w:val="center"/>
          </w:tcPr>
          <w:p>
            <w:pPr>
              <w:pStyle w:val="13"/>
            </w:pPr>
            <w:r>
              <w:t>关于印发《河北省工会社会工作岗位管理办法》的通知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足额按工资表发放</w:t>
            </w:r>
          </w:p>
        </w:tc>
        <w:tc>
          <w:tcPr>
            <w:tcW w:w="5386" w:type="dxa"/>
            <w:vAlign w:val="center"/>
          </w:tcPr>
          <w:p>
            <w:pPr>
              <w:pStyle w:val="13"/>
            </w:pPr>
            <w:r>
              <w:t>保质保量完成支出</w:t>
            </w:r>
          </w:p>
        </w:tc>
        <w:tc>
          <w:tcPr>
            <w:tcW w:w="2268" w:type="dxa"/>
            <w:vAlign w:val="center"/>
          </w:tcPr>
          <w:p>
            <w:pPr>
              <w:pStyle w:val="13"/>
            </w:pPr>
            <w:r>
              <w:t>≥10</w:t>
            </w:r>
          </w:p>
        </w:tc>
        <w:tc>
          <w:tcPr>
            <w:tcW w:w="1276" w:type="dxa"/>
            <w:vAlign w:val="center"/>
          </w:tcPr>
          <w:p>
            <w:pPr>
              <w:pStyle w:val="13"/>
            </w:pPr>
            <w:r>
              <w:t>关于印发《河北省工会社会工作岗位管理办法》的通知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工资支出及时发放</w:t>
            </w:r>
          </w:p>
        </w:tc>
        <w:tc>
          <w:tcPr>
            <w:tcW w:w="5386" w:type="dxa"/>
            <w:vAlign w:val="center"/>
          </w:tcPr>
          <w:p>
            <w:pPr>
              <w:pStyle w:val="13"/>
            </w:pPr>
            <w:r>
              <w:t>按月及时发放</w:t>
            </w:r>
          </w:p>
        </w:tc>
        <w:tc>
          <w:tcPr>
            <w:tcW w:w="2268" w:type="dxa"/>
            <w:vAlign w:val="center"/>
          </w:tcPr>
          <w:p>
            <w:pPr>
              <w:pStyle w:val="13"/>
            </w:pPr>
            <w:r>
              <w:t>≥10</w:t>
            </w:r>
          </w:p>
        </w:tc>
        <w:tc>
          <w:tcPr>
            <w:tcW w:w="1276" w:type="dxa"/>
            <w:vAlign w:val="center"/>
          </w:tcPr>
          <w:p>
            <w:pPr>
              <w:pStyle w:val="13"/>
            </w:pPr>
            <w:r>
              <w:t>关于印发《河北省工会社会工作岗位管理办法》的通知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工资支出总额不超预算</w:t>
            </w:r>
          </w:p>
        </w:tc>
        <w:tc>
          <w:tcPr>
            <w:tcW w:w="5386" w:type="dxa"/>
            <w:vAlign w:val="center"/>
          </w:tcPr>
          <w:p>
            <w:pPr>
              <w:pStyle w:val="13"/>
            </w:pPr>
            <w:r>
              <w:t>按计划完成支出</w:t>
            </w:r>
          </w:p>
        </w:tc>
        <w:tc>
          <w:tcPr>
            <w:tcW w:w="2268" w:type="dxa"/>
            <w:vAlign w:val="center"/>
          </w:tcPr>
          <w:p>
            <w:pPr>
              <w:pStyle w:val="13"/>
            </w:pPr>
            <w:r>
              <w:t>≥10</w:t>
            </w:r>
          </w:p>
        </w:tc>
        <w:tc>
          <w:tcPr>
            <w:tcW w:w="1276" w:type="dxa"/>
            <w:vAlign w:val="center"/>
          </w:tcPr>
          <w:p>
            <w:pPr>
              <w:pStyle w:val="13"/>
            </w:pPr>
            <w:r>
              <w:t>关于印发《河北省工会社会工作岗位管理办法》的通知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社会满意度</w:t>
            </w:r>
          </w:p>
        </w:tc>
        <w:tc>
          <w:tcPr>
            <w:tcW w:w="5386" w:type="dxa"/>
            <w:vAlign w:val="center"/>
          </w:tcPr>
          <w:p>
            <w:pPr>
              <w:pStyle w:val="13"/>
            </w:pPr>
            <w:r>
              <w:t>运用机关人员工资，有效保障机关顺利完成各项工作任务</w:t>
            </w:r>
          </w:p>
        </w:tc>
        <w:tc>
          <w:tcPr>
            <w:tcW w:w="2268" w:type="dxa"/>
            <w:vAlign w:val="center"/>
          </w:tcPr>
          <w:p>
            <w:pPr>
              <w:pStyle w:val="13"/>
            </w:pPr>
            <w:r>
              <w:t>≥30</w:t>
            </w:r>
          </w:p>
        </w:tc>
        <w:tc>
          <w:tcPr>
            <w:tcW w:w="1276" w:type="dxa"/>
            <w:vAlign w:val="center"/>
          </w:tcPr>
          <w:p>
            <w:pPr>
              <w:pStyle w:val="13"/>
            </w:pPr>
            <w:r>
              <w:t>关于印发《河北省工会社会工作岗位管理办法》的通知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年度工作得到职工满意率</w:t>
            </w:r>
          </w:p>
        </w:tc>
        <w:tc>
          <w:tcPr>
            <w:tcW w:w="2268" w:type="dxa"/>
            <w:vAlign w:val="center"/>
          </w:tcPr>
          <w:p>
            <w:pPr>
              <w:pStyle w:val="13"/>
            </w:pPr>
            <w:r>
              <w:t>≥20</w:t>
            </w:r>
          </w:p>
        </w:tc>
        <w:tc>
          <w:tcPr>
            <w:tcW w:w="1276" w:type="dxa"/>
            <w:vAlign w:val="center"/>
          </w:tcPr>
          <w:p>
            <w:pPr>
              <w:pStyle w:val="13"/>
            </w:pPr>
            <w:r>
              <w:t>关于印发《河北省工会社会工作岗位管理办法》的通知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5、退役军人公益岗绩效目标表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13052526P008707100131</w:t>
            </w:r>
          </w:p>
        </w:tc>
        <w:tc>
          <w:tcPr>
            <w:tcW w:w="2835" w:type="dxa"/>
            <w:vAlign w:val="center"/>
          </w:tcPr>
          <w:p>
            <w:pPr>
              <w:pStyle w:val="11"/>
            </w:pPr>
            <w:r>
              <w:t>项目名称</w:t>
            </w:r>
          </w:p>
        </w:tc>
        <w:tc>
          <w:tcPr>
            <w:tcW w:w="6095" w:type="dxa"/>
            <w:gridSpan w:val="3"/>
            <w:vAlign w:val="center"/>
          </w:tcPr>
          <w:p>
            <w:pPr>
              <w:pStyle w:val="13"/>
            </w:pPr>
            <w:r>
              <w:t>退役军人公益岗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4.04</w:t>
            </w:r>
          </w:p>
        </w:tc>
        <w:tc>
          <w:tcPr>
            <w:tcW w:w="2835" w:type="dxa"/>
            <w:vAlign w:val="center"/>
          </w:tcPr>
          <w:p>
            <w:pPr>
              <w:pStyle w:val="11"/>
            </w:pPr>
            <w:r>
              <w:t>其中：财政    资金</w:t>
            </w:r>
          </w:p>
        </w:tc>
        <w:tc>
          <w:tcPr>
            <w:tcW w:w="2551" w:type="dxa"/>
            <w:vAlign w:val="center"/>
          </w:tcPr>
          <w:p>
            <w:pPr>
              <w:pStyle w:val="13"/>
            </w:pPr>
            <w:r>
              <w:t>4.04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保障退役军人公益岗工作人员工资及时足额发放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1.保障退役军人公益岗工作人员工资及时足额发放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公益岗工资支出人数</w:t>
            </w:r>
          </w:p>
        </w:tc>
        <w:tc>
          <w:tcPr>
            <w:tcW w:w="5386" w:type="dxa"/>
            <w:vAlign w:val="center"/>
          </w:tcPr>
          <w:p>
            <w:pPr>
              <w:pStyle w:val="13"/>
            </w:pPr>
            <w:r>
              <w:t>保障所有人员工资</w:t>
            </w:r>
          </w:p>
        </w:tc>
        <w:tc>
          <w:tcPr>
            <w:tcW w:w="2268" w:type="dxa"/>
            <w:vAlign w:val="center"/>
          </w:tcPr>
          <w:p>
            <w:pPr>
              <w:pStyle w:val="13"/>
            </w:pPr>
            <w:r>
              <w:t>≥20</w:t>
            </w:r>
          </w:p>
        </w:tc>
        <w:tc>
          <w:tcPr>
            <w:tcW w:w="1276" w:type="dxa"/>
            <w:vAlign w:val="center"/>
          </w:tcPr>
          <w:p>
            <w:pPr>
              <w:pStyle w:val="13"/>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足额按工资表发放</w:t>
            </w:r>
          </w:p>
        </w:tc>
        <w:tc>
          <w:tcPr>
            <w:tcW w:w="5386" w:type="dxa"/>
            <w:vAlign w:val="center"/>
          </w:tcPr>
          <w:p>
            <w:pPr>
              <w:pStyle w:val="13"/>
            </w:pPr>
            <w:r>
              <w:t>保质保量完成支出</w:t>
            </w:r>
          </w:p>
        </w:tc>
        <w:tc>
          <w:tcPr>
            <w:tcW w:w="2268" w:type="dxa"/>
            <w:vAlign w:val="center"/>
          </w:tcPr>
          <w:p>
            <w:pPr>
              <w:pStyle w:val="13"/>
            </w:pPr>
            <w:r>
              <w:t>≥10</w:t>
            </w:r>
          </w:p>
        </w:tc>
        <w:tc>
          <w:tcPr>
            <w:tcW w:w="1276" w:type="dxa"/>
            <w:vAlign w:val="center"/>
          </w:tcPr>
          <w:p>
            <w:pPr>
              <w:pStyle w:val="13"/>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工资支出及时发放</w:t>
            </w:r>
          </w:p>
        </w:tc>
        <w:tc>
          <w:tcPr>
            <w:tcW w:w="5386" w:type="dxa"/>
            <w:vAlign w:val="center"/>
          </w:tcPr>
          <w:p>
            <w:pPr>
              <w:pStyle w:val="13"/>
            </w:pPr>
            <w:r>
              <w:t>按月及时发放</w:t>
            </w:r>
          </w:p>
        </w:tc>
        <w:tc>
          <w:tcPr>
            <w:tcW w:w="2268" w:type="dxa"/>
            <w:vAlign w:val="center"/>
          </w:tcPr>
          <w:p>
            <w:pPr>
              <w:pStyle w:val="13"/>
            </w:pPr>
            <w:r>
              <w:t>≥10</w:t>
            </w:r>
          </w:p>
        </w:tc>
        <w:tc>
          <w:tcPr>
            <w:tcW w:w="1276" w:type="dxa"/>
            <w:vAlign w:val="center"/>
          </w:tcPr>
          <w:p>
            <w:pPr>
              <w:pStyle w:val="13"/>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工资支出总额不超预算</w:t>
            </w:r>
          </w:p>
        </w:tc>
        <w:tc>
          <w:tcPr>
            <w:tcW w:w="5386" w:type="dxa"/>
            <w:vAlign w:val="center"/>
          </w:tcPr>
          <w:p>
            <w:pPr>
              <w:pStyle w:val="13"/>
            </w:pPr>
            <w:r>
              <w:t>按计划完成支出</w:t>
            </w:r>
          </w:p>
        </w:tc>
        <w:tc>
          <w:tcPr>
            <w:tcW w:w="2268" w:type="dxa"/>
            <w:vAlign w:val="center"/>
          </w:tcPr>
          <w:p>
            <w:pPr>
              <w:pStyle w:val="13"/>
            </w:pPr>
            <w:r>
              <w:t>≥10</w:t>
            </w:r>
          </w:p>
        </w:tc>
        <w:tc>
          <w:tcPr>
            <w:tcW w:w="1276" w:type="dxa"/>
            <w:vAlign w:val="center"/>
          </w:tcPr>
          <w:p>
            <w:pPr>
              <w:pStyle w:val="13"/>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社会满意度</w:t>
            </w:r>
          </w:p>
        </w:tc>
        <w:tc>
          <w:tcPr>
            <w:tcW w:w="5386" w:type="dxa"/>
            <w:vAlign w:val="center"/>
          </w:tcPr>
          <w:p>
            <w:pPr>
              <w:pStyle w:val="13"/>
            </w:pPr>
            <w:r>
              <w:t>运用机关人员工资，有效保障机关顺利完成各项工作任务</w:t>
            </w:r>
          </w:p>
        </w:tc>
        <w:tc>
          <w:tcPr>
            <w:tcW w:w="2268" w:type="dxa"/>
            <w:vAlign w:val="center"/>
          </w:tcPr>
          <w:p>
            <w:pPr>
              <w:pStyle w:val="13"/>
            </w:pPr>
            <w:r>
              <w:t>≥30</w:t>
            </w:r>
          </w:p>
        </w:tc>
        <w:tc>
          <w:tcPr>
            <w:tcW w:w="1276" w:type="dxa"/>
            <w:vAlign w:val="center"/>
          </w:tcPr>
          <w:p>
            <w:pPr>
              <w:pStyle w:val="13"/>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年度工作得到职工满意率</w:t>
            </w:r>
          </w:p>
        </w:tc>
        <w:tc>
          <w:tcPr>
            <w:tcW w:w="2268" w:type="dxa"/>
            <w:vAlign w:val="center"/>
          </w:tcPr>
          <w:p>
            <w:pPr>
              <w:pStyle w:val="13"/>
            </w:pPr>
            <w:r>
              <w:t>≥20</w:t>
            </w:r>
          </w:p>
        </w:tc>
        <w:tc>
          <w:tcPr>
            <w:tcW w:w="1276" w:type="dxa"/>
            <w:vAlign w:val="center"/>
          </w:tcPr>
          <w:p>
            <w:pPr>
              <w:pStyle w:val="13"/>
            </w:pPr>
            <w:r>
              <w:t>隆尧县人民政府专题会议纪要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6、自收自支人员绩效目标表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13052526P00000210010Y</w:t>
            </w:r>
          </w:p>
        </w:tc>
        <w:tc>
          <w:tcPr>
            <w:tcW w:w="2835" w:type="dxa"/>
            <w:vAlign w:val="center"/>
          </w:tcPr>
          <w:p>
            <w:pPr>
              <w:pStyle w:val="11"/>
            </w:pPr>
            <w:r>
              <w:t>项目名称</w:t>
            </w:r>
          </w:p>
        </w:tc>
        <w:tc>
          <w:tcPr>
            <w:tcW w:w="6095" w:type="dxa"/>
            <w:gridSpan w:val="3"/>
            <w:vAlign w:val="center"/>
          </w:tcPr>
          <w:p>
            <w:pPr>
              <w:pStyle w:val="13"/>
            </w:pPr>
            <w:r>
              <w:t>自收自支人员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119.17</w:t>
            </w:r>
          </w:p>
        </w:tc>
        <w:tc>
          <w:tcPr>
            <w:tcW w:w="2835" w:type="dxa"/>
            <w:vAlign w:val="center"/>
          </w:tcPr>
          <w:p>
            <w:pPr>
              <w:pStyle w:val="11"/>
            </w:pPr>
            <w:r>
              <w:t>其中：财政    资金</w:t>
            </w:r>
          </w:p>
        </w:tc>
        <w:tc>
          <w:tcPr>
            <w:tcW w:w="2551" w:type="dxa"/>
            <w:vAlign w:val="center"/>
          </w:tcPr>
          <w:p>
            <w:pPr>
              <w:pStyle w:val="13"/>
            </w:pPr>
            <w:r>
              <w:t>119.17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保障事业人员工资及时足额发放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1.保障事业人员工资及时足额发放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事业人员工资支出人数</w:t>
            </w:r>
          </w:p>
        </w:tc>
        <w:tc>
          <w:tcPr>
            <w:tcW w:w="5386" w:type="dxa"/>
            <w:vAlign w:val="center"/>
          </w:tcPr>
          <w:p>
            <w:pPr>
              <w:pStyle w:val="13"/>
            </w:pPr>
            <w:r>
              <w:t>保障所有人员工资</w:t>
            </w:r>
          </w:p>
        </w:tc>
        <w:tc>
          <w:tcPr>
            <w:tcW w:w="2268" w:type="dxa"/>
            <w:vAlign w:val="center"/>
          </w:tcPr>
          <w:p>
            <w:pPr>
              <w:pStyle w:val="13"/>
            </w:pPr>
            <w:r>
              <w:t>≥20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足额按工资表发放</w:t>
            </w:r>
          </w:p>
        </w:tc>
        <w:tc>
          <w:tcPr>
            <w:tcW w:w="5386" w:type="dxa"/>
            <w:vAlign w:val="center"/>
          </w:tcPr>
          <w:p>
            <w:pPr>
              <w:pStyle w:val="13"/>
            </w:pPr>
            <w:r>
              <w:t>保质保量完成支出</w:t>
            </w:r>
          </w:p>
        </w:tc>
        <w:tc>
          <w:tcPr>
            <w:tcW w:w="2268" w:type="dxa"/>
            <w:vAlign w:val="center"/>
          </w:tcPr>
          <w:p>
            <w:pPr>
              <w:pStyle w:val="13"/>
            </w:pPr>
            <w:r>
              <w:t>≥10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工资支出及时发放</w:t>
            </w:r>
          </w:p>
        </w:tc>
        <w:tc>
          <w:tcPr>
            <w:tcW w:w="5386" w:type="dxa"/>
            <w:vAlign w:val="center"/>
          </w:tcPr>
          <w:p>
            <w:pPr>
              <w:pStyle w:val="13"/>
            </w:pPr>
            <w:r>
              <w:t>按月及时发放</w:t>
            </w:r>
          </w:p>
        </w:tc>
        <w:tc>
          <w:tcPr>
            <w:tcW w:w="2268" w:type="dxa"/>
            <w:vAlign w:val="center"/>
          </w:tcPr>
          <w:p>
            <w:pPr>
              <w:pStyle w:val="13"/>
            </w:pPr>
            <w:r>
              <w:t>≥10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工资支出总额不超预算</w:t>
            </w:r>
          </w:p>
        </w:tc>
        <w:tc>
          <w:tcPr>
            <w:tcW w:w="5386" w:type="dxa"/>
            <w:vAlign w:val="center"/>
          </w:tcPr>
          <w:p>
            <w:pPr>
              <w:pStyle w:val="13"/>
            </w:pPr>
            <w:r>
              <w:t>按计划完成支出</w:t>
            </w:r>
          </w:p>
        </w:tc>
        <w:tc>
          <w:tcPr>
            <w:tcW w:w="2268" w:type="dxa"/>
            <w:vAlign w:val="center"/>
          </w:tcPr>
          <w:p>
            <w:pPr>
              <w:pStyle w:val="13"/>
            </w:pPr>
            <w:r>
              <w:t>≥10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社会满意度</w:t>
            </w:r>
          </w:p>
        </w:tc>
        <w:tc>
          <w:tcPr>
            <w:tcW w:w="5386" w:type="dxa"/>
            <w:vAlign w:val="center"/>
          </w:tcPr>
          <w:p>
            <w:pPr>
              <w:pStyle w:val="13"/>
            </w:pPr>
            <w:r>
              <w:t>运用机关人员工资，有效保障机关顺利完成各项工作任务</w:t>
            </w:r>
          </w:p>
        </w:tc>
        <w:tc>
          <w:tcPr>
            <w:tcW w:w="2268" w:type="dxa"/>
            <w:vAlign w:val="center"/>
          </w:tcPr>
          <w:p>
            <w:pPr>
              <w:pStyle w:val="13"/>
            </w:pPr>
            <w:r>
              <w:t>≥30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年度工作得到职工满意率</w:t>
            </w:r>
          </w:p>
        </w:tc>
        <w:tc>
          <w:tcPr>
            <w:tcW w:w="2268" w:type="dxa"/>
            <w:vAlign w:val="center"/>
          </w:tcPr>
          <w:p>
            <w:pPr>
              <w:pStyle w:val="13"/>
            </w:pPr>
            <w:r>
              <w:t>≥20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711隆尧县总工会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隆尧县总工会（含所属单位）上年末固定资产金额为0.00万元（详见下表）。本年度拟购置固定资产总额为0.00万元，已按要求列入政府采购预算，详见政府采购预算表。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711隆尧县总工会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w:t>
            </w:r>
            <w:r>
              <w:rPr>
                <w:rFonts w:hint="eastAsia"/>
                <w:lang w:eastAsia="zh-CN"/>
              </w:rPr>
              <w:t>2026</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val="en-US" w:eastAsia="zh-CN"/>
        </w:rPr>
        <w:t>二</w:t>
      </w:r>
      <w:bookmarkStart w:id="20" w:name="_GoBack"/>
      <w:bookmarkEnd w:id="20"/>
      <w:r>
        <w:rPr>
          <w:rFonts w:ascii="黑体" w:hAnsi="黑体" w:eastAsia="黑体" w:cs="黑体"/>
          <w:color w:val="000000"/>
          <w:sz w:val="32"/>
        </w:rPr>
        <w:t>、其他需要说明的事项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4002EFF" w:usb1="C000E47F"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B35942"/>
    <w:rsid w:val="02AB0715"/>
    <w:rsid w:val="04A94931"/>
    <w:rsid w:val="08117F65"/>
    <w:rsid w:val="12CC3E8F"/>
    <w:rsid w:val="140445D1"/>
    <w:rsid w:val="188554C7"/>
    <w:rsid w:val="296758EB"/>
    <w:rsid w:val="4AC069C7"/>
    <w:rsid w:val="4BB73865"/>
    <w:rsid w:val="5F804E97"/>
    <w:rsid w:val="78AB5ACC"/>
    <w:rsid w:val="7B770A5F"/>
    <w:rsid w:val="7C1E205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keepNext w:val="0"/>
      <w:keepLines w:val="0"/>
      <w:widowControl/>
      <w:suppressLineNumbers w:val="0"/>
      <w:spacing w:before="0" w:beforeAutospacing="0" w:after="0" w:afterAutospacing="0" w:line="500" w:lineRule="exact"/>
      <w:ind w:left="0" w:right="0" w:firstLine="560"/>
      <w:jc w:val="left"/>
    </w:pPr>
    <w:rPr>
      <w:rFonts w:hint="default" w:ascii="Times New Roman" w:hAnsi="Times New Roman" w:eastAsia="方正仿宋_GBK" w:cs="Times New Roman"/>
      <w:kern w:val="0"/>
      <w:sz w:val="28"/>
      <w:szCs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Words>7683</Words>
  <Characters>9195</Characters>
  <TotalTime>2</TotalTime>
  <ScaleCrop>false</ScaleCrop>
  <LinksUpToDate>false</LinksUpToDate>
  <CharactersWithSpaces>9360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2026-02-04T10:59:00Z</dcterms:created>
  <dc:creator>Administrator.WIN7-1606020914</dc:creator>
  <cp:lastModifiedBy>守候幸福</cp:lastModifiedBy>
  <dcterms:modified xsi:type="dcterms:W3CDTF">2026-02-11T03:37:21Z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y fmtid="{D5CDD505-2E9C-101B-9397-08002B2CF9AE}" pid="3" name="ICV">
    <vt:lpwstr>30D11FABA42C4BEA8ABE30B1CF2AF821</vt:lpwstr>
  </property>
</Properties>
</file>