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E98E5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val="0"/>
          <w:bCs/>
          <w:i w:val="0"/>
          <w:caps w:val="0"/>
          <w:color w:val="0000FF"/>
          <w:spacing w:val="0"/>
          <w:sz w:val="44"/>
          <w:szCs w:val="44"/>
          <w:shd w:val="clear" w:color="auto" w:fill="FFFFFF"/>
          <w:lang w:val="en-US" w:eastAsia="zh-CN"/>
        </w:rPr>
      </w:pPr>
    </w:p>
    <w:p w14:paraId="5201FA8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val="0"/>
          <w:bCs/>
          <w:i w:val="0"/>
          <w:caps w:val="0"/>
          <w:color w:val="0000FF"/>
          <w:spacing w:val="0"/>
          <w:sz w:val="44"/>
          <w:szCs w:val="44"/>
          <w:shd w:val="clear" w:color="auto" w:fill="FFFFFF"/>
          <w:lang w:val="en-US" w:eastAsia="zh-CN"/>
        </w:rPr>
      </w:pPr>
    </w:p>
    <w:p w14:paraId="5467446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val="0"/>
          <w:bCs/>
          <w:i w:val="0"/>
          <w:caps w:val="0"/>
          <w:color w:val="auto"/>
          <w:spacing w:val="0"/>
          <w:sz w:val="44"/>
          <w:szCs w:val="44"/>
          <w:shd w:val="clear" w:color="auto" w:fill="FFFFFF"/>
          <w:lang w:val="en-US" w:eastAsia="zh-CN"/>
        </w:rPr>
      </w:pPr>
      <w:r>
        <w:rPr>
          <w:rFonts w:hint="eastAsia" w:ascii="方正小标宋简体" w:hAnsi="方正小标宋简体" w:eastAsia="方正小标宋简体" w:cs="方正小标宋简体"/>
          <w:b w:val="0"/>
          <w:bCs/>
          <w:i w:val="0"/>
          <w:caps w:val="0"/>
          <w:color w:val="auto"/>
          <w:spacing w:val="0"/>
          <w:sz w:val="44"/>
          <w:szCs w:val="44"/>
          <w:shd w:val="clear" w:color="auto" w:fill="FFFFFF"/>
          <w:lang w:val="en-US" w:eastAsia="zh-CN"/>
        </w:rPr>
        <w:t>邢台市生态环境局隆尧县分局</w:t>
      </w:r>
    </w:p>
    <w:p w14:paraId="2C5C6C8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val="0"/>
          <w:bCs/>
          <w:i w:val="0"/>
          <w:caps w:val="0"/>
          <w:color w:val="auto"/>
          <w:spacing w:val="0"/>
          <w:sz w:val="44"/>
          <w:szCs w:val="44"/>
        </w:rPr>
      </w:pPr>
      <w:r>
        <w:rPr>
          <w:rFonts w:hint="eastAsia" w:ascii="方正小标宋简体" w:hAnsi="方正小标宋简体" w:eastAsia="方正小标宋简体" w:cs="方正小标宋简体"/>
          <w:b w:val="0"/>
          <w:bCs/>
          <w:i w:val="0"/>
          <w:caps w:val="0"/>
          <w:color w:val="auto"/>
          <w:spacing w:val="0"/>
          <w:sz w:val="44"/>
          <w:szCs w:val="44"/>
          <w:shd w:val="clear" w:color="auto" w:fill="FFFFFF"/>
          <w:lang w:val="en-US" w:eastAsia="zh-CN"/>
        </w:rPr>
        <w:t>2025年度政府信息公开</w:t>
      </w:r>
      <w:r>
        <w:rPr>
          <w:rFonts w:hint="eastAsia" w:ascii="方正小标宋简体" w:hAnsi="方正小标宋简体" w:eastAsia="方正小标宋简体" w:cs="方正小标宋简体"/>
          <w:b w:val="0"/>
          <w:bCs/>
          <w:i w:val="0"/>
          <w:caps w:val="0"/>
          <w:color w:val="auto"/>
          <w:spacing w:val="0"/>
          <w:sz w:val="44"/>
          <w:szCs w:val="44"/>
          <w:shd w:val="clear" w:color="auto" w:fill="FFFFFF"/>
        </w:rPr>
        <w:t>工作报告</w:t>
      </w:r>
    </w:p>
    <w:p w14:paraId="78DF524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eastAsia" w:ascii="宋体" w:hAnsi="宋体" w:eastAsia="宋体" w:cs="宋体"/>
          <w:i w:val="0"/>
          <w:caps w:val="0"/>
          <w:color w:val="auto"/>
          <w:spacing w:val="0"/>
          <w:sz w:val="24"/>
          <w:szCs w:val="24"/>
        </w:rPr>
      </w:pPr>
    </w:p>
    <w:p w14:paraId="14672AE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Times New Roman" w:hAnsi="Times New Roman" w:eastAsia="仿宋_GB2312" w:cs="Times New Roman"/>
          <w:i w:val="0"/>
          <w:iCs w:val="0"/>
          <w:caps w:val="0"/>
          <w:color w:val="000000"/>
          <w:spacing w:val="0"/>
          <w:kern w:val="0"/>
          <w:sz w:val="32"/>
          <w:szCs w:val="32"/>
          <w:lang w:val="en-US" w:eastAsia="zh-CN" w:bidi="ar"/>
        </w:rPr>
        <w:t>2025年，我分局在县委、县政府和市生态环境局的坚强领导下，继续深入贯彻落实《中华人民共和国政府信息公开条例》及</w:t>
      </w:r>
      <w:r>
        <w:rPr>
          <w:rFonts w:hint="eastAsia" w:ascii="仿宋_GB2312" w:hAnsi="仿宋_GB2312" w:eastAsia="仿宋_GB2312" w:cs="仿宋_GB2312"/>
          <w:color w:val="auto"/>
          <w:sz w:val="32"/>
          <w:szCs w:val="32"/>
          <w:lang w:val="en-US" w:eastAsia="zh-CN"/>
        </w:rPr>
        <w:t>《河北省实施〈中华人民共和国政府信息公开条例〉办法》等规定，发布本年度报告。报告中所列数据统计期限为2025年1月1日至12月31日。</w:t>
      </w:r>
    </w:p>
    <w:p w14:paraId="78E22F6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_GB2312" w:hAnsi="仿宋_GB2312" w:eastAsia="仿宋_GB2312" w:cs="仿宋_GB2312"/>
          <w:b w:val="0"/>
          <w:bCs w:val="0"/>
          <w:color w:val="auto"/>
          <w:kern w:val="2"/>
          <w:sz w:val="32"/>
          <w:szCs w:val="32"/>
          <w:lang w:val="en-US" w:eastAsia="zh-CN"/>
        </w:rPr>
      </w:pPr>
      <w:r>
        <w:rPr>
          <w:rFonts w:hint="eastAsia" w:ascii="黑体" w:hAnsi="黑体" w:eastAsia="黑体" w:cs="黑体"/>
          <w:b w:val="0"/>
          <w:bCs/>
          <w:i w:val="0"/>
          <w:caps w:val="0"/>
          <w:color w:val="auto"/>
          <w:spacing w:val="0"/>
          <w:sz w:val="32"/>
          <w:szCs w:val="32"/>
          <w:shd w:val="clear" w:color="auto" w:fill="FFFFFF"/>
        </w:rPr>
        <w:t>一、总体情况</w:t>
      </w:r>
    </w:p>
    <w:p w14:paraId="28F43841">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bCs/>
          <w:color w:val="0000FF"/>
          <w:sz w:val="32"/>
          <w:szCs w:val="32"/>
          <w:lang w:val="en-US" w:eastAsia="zh-CN"/>
        </w:rPr>
      </w:pPr>
      <w:r>
        <w:rPr>
          <w:rFonts w:hint="eastAsia" w:ascii="仿宋_GB2312" w:hAnsi="仿宋_GB2312" w:eastAsia="仿宋_GB2312" w:cs="仿宋_GB2312"/>
          <w:color w:val="auto"/>
          <w:sz w:val="32"/>
          <w:szCs w:val="32"/>
          <w:lang w:val="en-US" w:eastAsia="zh-CN"/>
        </w:rPr>
        <w:t>2025年，邢台市生态环境局隆尧县分局认真贯彻落实县政府信息公开工作有关部署，</w:t>
      </w:r>
      <w:r>
        <w:rPr>
          <w:rFonts w:hint="default" w:ascii="仿宋_GB2312" w:hAnsi="仿宋_GB2312" w:eastAsia="仿宋_GB2312" w:cs="仿宋_GB2312"/>
          <w:color w:val="auto"/>
          <w:kern w:val="2"/>
          <w:sz w:val="32"/>
          <w:szCs w:val="32"/>
          <w:lang w:val="en-US" w:eastAsia="zh-CN"/>
        </w:rPr>
        <w:t>紧紧围绕生态环境保护及环境保护信息公开等工作，保障公众知情权、参与权、表达权和监督权，推动政府信息公开工作与生态环境保护业务深度融合，为全县生态环境质量持续改善营造了良好的政务环境。</w:t>
      </w:r>
    </w:p>
    <w:p w14:paraId="6F6CB945">
      <w:pPr>
        <w:keepNext w:val="0"/>
        <w:keepLines w:val="0"/>
        <w:pageBreakBefore w:val="0"/>
        <w:widowControl/>
        <w:suppressLineNumbers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b w:val="0"/>
          <w:bCs w:val="0"/>
          <w:color w:val="0000FF"/>
          <w:sz w:val="32"/>
          <w:szCs w:val="32"/>
          <w:lang w:val="en-US" w:eastAsia="zh-CN"/>
        </w:rPr>
      </w:pPr>
      <w:r>
        <w:rPr>
          <w:rFonts w:hint="eastAsia" w:ascii="仿宋_GB2312" w:hAnsi="仿宋_GB2312" w:eastAsia="仿宋_GB2312" w:cs="仿宋_GB2312"/>
          <w:b/>
          <w:bCs/>
          <w:color w:val="auto"/>
          <w:sz w:val="32"/>
          <w:szCs w:val="32"/>
          <w:lang w:val="en-US" w:eastAsia="zh-CN"/>
        </w:rPr>
        <w:t>（一）主动公开情况。</w:t>
      </w:r>
      <w:r>
        <w:rPr>
          <w:rFonts w:hint="eastAsia" w:ascii="Times New Roman" w:hAnsi="Times New Roman" w:eastAsia="仿宋_GB2312" w:cs="Times New Roman"/>
          <w:i w:val="0"/>
          <w:iCs w:val="0"/>
          <w:caps w:val="0"/>
          <w:color w:val="000000"/>
          <w:spacing w:val="0"/>
          <w:kern w:val="0"/>
          <w:sz w:val="32"/>
          <w:szCs w:val="32"/>
          <w:lang w:val="en-US" w:eastAsia="zh-CN" w:bidi="ar"/>
        </w:rPr>
        <w:t>2025年，我分局通过区政府门户网站、市生态环境局网站信息公开平台等多种渠道，累计发布各类主动公开信息</w:t>
      </w:r>
      <w:r>
        <w:rPr>
          <w:rFonts w:hint="eastAsia" w:eastAsia="仿宋_GB2312" w:cs="Times New Roman"/>
          <w:i w:val="0"/>
          <w:iCs w:val="0"/>
          <w:caps w:val="0"/>
          <w:color w:val="000000"/>
          <w:spacing w:val="0"/>
          <w:kern w:val="0"/>
          <w:sz w:val="32"/>
          <w:szCs w:val="32"/>
          <w:lang w:val="en-US" w:eastAsia="zh-CN" w:bidi="ar"/>
        </w:rPr>
        <w:t>99</w:t>
      </w:r>
      <w:r>
        <w:rPr>
          <w:rFonts w:hint="eastAsia" w:ascii="Times New Roman" w:hAnsi="Times New Roman" w:eastAsia="仿宋_GB2312" w:cs="Times New Roman"/>
          <w:i w:val="0"/>
          <w:iCs w:val="0"/>
          <w:caps w:val="0"/>
          <w:color w:val="000000"/>
          <w:spacing w:val="0"/>
          <w:kern w:val="0"/>
          <w:sz w:val="32"/>
          <w:szCs w:val="32"/>
          <w:lang w:val="en-US" w:eastAsia="zh-CN" w:bidi="ar"/>
        </w:rPr>
        <w:t>条，涵盖公告公示、工作</w:t>
      </w:r>
      <w:r>
        <w:rPr>
          <w:rFonts w:hint="eastAsia" w:eastAsia="仿宋_GB2312" w:cs="Times New Roman"/>
          <w:i w:val="0"/>
          <w:iCs w:val="0"/>
          <w:caps w:val="0"/>
          <w:color w:val="000000"/>
          <w:spacing w:val="0"/>
          <w:kern w:val="0"/>
          <w:sz w:val="32"/>
          <w:szCs w:val="32"/>
          <w:lang w:val="en-US" w:eastAsia="zh-CN" w:bidi="ar"/>
        </w:rPr>
        <w:t>动态</w:t>
      </w:r>
      <w:r>
        <w:rPr>
          <w:rFonts w:hint="eastAsia" w:ascii="Times New Roman" w:hAnsi="Times New Roman" w:eastAsia="仿宋_GB2312" w:cs="Times New Roman"/>
          <w:i w:val="0"/>
          <w:iCs w:val="0"/>
          <w:caps w:val="0"/>
          <w:color w:val="000000"/>
          <w:spacing w:val="0"/>
          <w:kern w:val="0"/>
          <w:sz w:val="32"/>
          <w:szCs w:val="32"/>
          <w:lang w:val="en-US" w:eastAsia="zh-CN" w:bidi="ar"/>
        </w:rPr>
        <w:t>、行政执法、涉企行政检查、预算决算等领域。同时，加强新闻媒体的</w:t>
      </w:r>
      <w:r>
        <w:rPr>
          <w:rFonts w:hint="eastAsia" w:eastAsia="仿宋_GB2312" w:cs="Times New Roman"/>
          <w:i w:val="0"/>
          <w:iCs w:val="0"/>
          <w:caps w:val="0"/>
          <w:color w:val="000000"/>
          <w:spacing w:val="0"/>
          <w:kern w:val="0"/>
          <w:sz w:val="32"/>
          <w:szCs w:val="32"/>
          <w:lang w:val="en-US" w:eastAsia="zh-CN" w:bidi="ar"/>
        </w:rPr>
        <w:t>合作</w:t>
      </w:r>
      <w:r>
        <w:rPr>
          <w:rFonts w:hint="eastAsia" w:ascii="Times New Roman" w:hAnsi="Times New Roman" w:eastAsia="仿宋_GB2312" w:cs="Times New Roman"/>
          <w:i w:val="0"/>
          <w:iCs w:val="0"/>
          <w:caps w:val="0"/>
          <w:color w:val="000000"/>
          <w:spacing w:val="0"/>
          <w:kern w:val="0"/>
          <w:sz w:val="32"/>
          <w:szCs w:val="32"/>
          <w:lang w:val="en-US" w:eastAsia="zh-CN" w:bidi="ar"/>
        </w:rPr>
        <w:t>，在</w:t>
      </w:r>
      <w:r>
        <w:rPr>
          <w:rFonts w:hint="eastAsia" w:ascii="Times New Roman" w:hAnsi="Times New Roman" w:eastAsia="仿宋_GB2312" w:cs="Times New Roman"/>
          <w:i w:val="0"/>
          <w:iCs w:val="0"/>
          <w:caps w:val="0"/>
          <w:color w:val="000000"/>
          <w:spacing w:val="0"/>
          <w:kern w:val="0"/>
          <w:sz w:val="32"/>
          <w:szCs w:val="32"/>
          <w:lang w:val="en-US" w:eastAsia="zh-CN" w:bidi="ar"/>
        </w:rPr>
        <w:t>河北经济日报</w:t>
      </w:r>
      <w:r>
        <w:rPr>
          <w:rFonts w:hint="eastAsia" w:ascii="Times New Roman" w:hAnsi="Times New Roman" w:eastAsia="仿宋_GB2312" w:cs="Times New Roman"/>
          <w:i w:val="0"/>
          <w:iCs w:val="0"/>
          <w:caps w:val="0"/>
          <w:color w:val="000000"/>
          <w:spacing w:val="0"/>
          <w:kern w:val="0"/>
          <w:sz w:val="32"/>
          <w:szCs w:val="32"/>
          <w:lang w:val="en-US" w:eastAsia="zh-CN" w:bidi="ar"/>
        </w:rPr>
        <w:t>、</w:t>
      </w:r>
      <w:r>
        <w:rPr>
          <w:rFonts w:hint="eastAsia" w:ascii="Times New Roman" w:hAnsi="Times New Roman" w:eastAsia="仿宋_GB2312" w:cs="Times New Roman"/>
          <w:i w:val="0"/>
          <w:iCs w:val="0"/>
          <w:caps w:val="0"/>
          <w:color w:val="000000"/>
          <w:spacing w:val="0"/>
          <w:kern w:val="0"/>
          <w:sz w:val="32"/>
          <w:szCs w:val="32"/>
          <w:lang w:val="en-US" w:eastAsia="zh-CN" w:bidi="ar"/>
        </w:rPr>
        <w:t>邢台日报</w:t>
      </w:r>
      <w:r>
        <w:rPr>
          <w:rFonts w:hint="eastAsia" w:eastAsia="仿宋_GB2312" w:cs="Times New Roman"/>
          <w:i w:val="0"/>
          <w:iCs w:val="0"/>
          <w:caps w:val="0"/>
          <w:color w:val="000000"/>
          <w:spacing w:val="0"/>
          <w:kern w:val="0"/>
          <w:sz w:val="32"/>
          <w:szCs w:val="32"/>
          <w:lang w:val="en-US" w:eastAsia="zh-CN" w:bidi="ar"/>
        </w:rPr>
        <w:t>、</w:t>
      </w:r>
      <w:r>
        <w:rPr>
          <w:rFonts w:hint="eastAsia" w:ascii="Times New Roman" w:hAnsi="Times New Roman" w:eastAsia="仿宋_GB2312" w:cs="Times New Roman"/>
          <w:i w:val="0"/>
          <w:iCs w:val="0"/>
          <w:caps w:val="0"/>
          <w:color w:val="000000"/>
          <w:spacing w:val="0"/>
          <w:kern w:val="0"/>
          <w:sz w:val="32"/>
          <w:szCs w:val="32"/>
          <w:lang w:val="en-US" w:eastAsia="zh-CN" w:bidi="ar"/>
        </w:rPr>
        <w:t>中新网、长城网等媒体发布新闻稿件</w:t>
      </w:r>
      <w:r>
        <w:rPr>
          <w:rFonts w:hint="eastAsia" w:eastAsia="仿宋_GB2312" w:cs="Times New Roman"/>
          <w:i w:val="0"/>
          <w:iCs w:val="0"/>
          <w:caps w:val="0"/>
          <w:color w:val="000000"/>
          <w:spacing w:val="0"/>
          <w:kern w:val="0"/>
          <w:sz w:val="32"/>
          <w:szCs w:val="32"/>
          <w:lang w:val="en-US" w:eastAsia="zh-CN" w:bidi="ar"/>
        </w:rPr>
        <w:t>25</w:t>
      </w:r>
      <w:r>
        <w:rPr>
          <w:rFonts w:hint="eastAsia" w:ascii="Times New Roman" w:hAnsi="Times New Roman" w:eastAsia="仿宋_GB2312" w:cs="Times New Roman"/>
          <w:i w:val="0"/>
          <w:iCs w:val="0"/>
          <w:caps w:val="0"/>
          <w:color w:val="000000"/>
          <w:spacing w:val="0"/>
          <w:kern w:val="0"/>
          <w:sz w:val="32"/>
          <w:szCs w:val="32"/>
          <w:lang w:val="en-US" w:eastAsia="zh-CN" w:bidi="ar"/>
        </w:rPr>
        <w:t>余篇，加大政策解读和环保宣传力度。</w:t>
      </w:r>
    </w:p>
    <w:p w14:paraId="1C4C26E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val="0"/>
          <w:bCs w:val="0"/>
          <w:color w:val="auto"/>
          <w:kern w:val="2"/>
          <w:sz w:val="32"/>
          <w:lang w:val="en-US" w:eastAsia="zh-CN"/>
        </w:rPr>
      </w:pPr>
      <w:r>
        <w:rPr>
          <w:rFonts w:hint="eastAsia" w:ascii="仿宋_GB2312" w:hAnsi="仿宋_GB2312" w:eastAsia="仿宋_GB2312" w:cs="仿宋_GB2312"/>
          <w:b/>
          <w:bCs/>
          <w:color w:val="auto"/>
          <w:sz w:val="32"/>
          <w:lang w:val="en-US" w:eastAsia="zh-CN"/>
        </w:rPr>
        <w:t>（二）依申请公开情况。</w:t>
      </w:r>
      <w:r>
        <w:rPr>
          <w:rFonts w:hint="eastAsia" w:ascii="仿宋_GB2312" w:hAnsi="仿宋_GB2312" w:eastAsia="仿宋_GB2312" w:cs="仿宋_GB2312"/>
          <w:b w:val="0"/>
          <w:bCs w:val="0"/>
          <w:color w:val="auto"/>
          <w:kern w:val="2"/>
          <w:sz w:val="32"/>
          <w:lang w:val="en-US" w:eastAsia="zh-CN"/>
        </w:rPr>
        <w:t>2025年，我分局未收到政府信息公开申请。</w:t>
      </w:r>
    </w:p>
    <w:p w14:paraId="7868B75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color w:val="0000FF"/>
          <w:sz w:val="32"/>
          <w:szCs w:val="32"/>
          <w:highlight w:val="none"/>
          <w:lang w:eastAsia="zh-CN"/>
        </w:rPr>
      </w:pPr>
      <w:r>
        <w:rPr>
          <w:rFonts w:hint="eastAsia" w:ascii="仿宋_GB2312" w:hAnsi="仿宋_GB2312" w:eastAsia="仿宋_GB2312" w:cs="仿宋_GB2312"/>
          <w:b/>
          <w:bCs/>
          <w:color w:val="auto"/>
          <w:kern w:val="2"/>
          <w:sz w:val="32"/>
          <w:szCs w:val="20"/>
          <w:highlight w:val="none"/>
          <w:lang w:val="en-US" w:eastAsia="zh-CN"/>
        </w:rPr>
        <w:t>（三）政府信息管理。</w:t>
      </w:r>
      <w:r>
        <w:rPr>
          <w:rFonts w:hint="eastAsia" w:ascii="Times New Roman" w:hAnsi="Times New Roman" w:eastAsia="仿宋_GB2312" w:cs="Times New Roman"/>
          <w:i w:val="0"/>
          <w:iCs w:val="0"/>
          <w:caps w:val="0"/>
          <w:color w:val="000000"/>
          <w:spacing w:val="0"/>
          <w:kern w:val="0"/>
          <w:sz w:val="32"/>
          <w:szCs w:val="32"/>
          <w:lang w:val="en-US" w:eastAsia="zh-CN" w:bidi="ar"/>
        </w:rPr>
        <w:t>进一步</w:t>
      </w:r>
      <w:r>
        <w:rPr>
          <w:rFonts w:hint="eastAsia" w:eastAsia="仿宋_GB2312" w:cs="Times New Roman"/>
          <w:i w:val="0"/>
          <w:iCs w:val="0"/>
          <w:caps w:val="0"/>
          <w:color w:val="000000"/>
          <w:spacing w:val="0"/>
          <w:kern w:val="0"/>
          <w:sz w:val="32"/>
          <w:szCs w:val="32"/>
          <w:lang w:val="en-US" w:eastAsia="zh-CN" w:bidi="ar"/>
        </w:rPr>
        <w:t>健全</w:t>
      </w:r>
      <w:r>
        <w:rPr>
          <w:rFonts w:hint="eastAsia" w:ascii="Times New Roman" w:hAnsi="Times New Roman" w:eastAsia="仿宋_GB2312" w:cs="Times New Roman"/>
          <w:i w:val="0"/>
          <w:iCs w:val="0"/>
          <w:caps w:val="0"/>
          <w:color w:val="000000"/>
          <w:spacing w:val="0"/>
          <w:kern w:val="0"/>
          <w:sz w:val="32"/>
          <w:szCs w:val="32"/>
          <w:lang w:val="en-US" w:eastAsia="zh-CN" w:bidi="ar"/>
        </w:rPr>
        <w:t>信息发布审核机制，严格执行三审三校制度，</w:t>
      </w:r>
      <w:r>
        <w:rPr>
          <w:rFonts w:hint="eastAsia" w:ascii="仿宋_GB2312" w:hAnsi="仿宋_GB2312" w:eastAsia="仿宋_GB2312" w:cs="仿宋_GB2312"/>
          <w:color w:val="auto"/>
          <w:sz w:val="32"/>
          <w:szCs w:val="32"/>
          <w:highlight w:val="none"/>
          <w:lang w:val="en-US" w:eastAsia="zh-CN"/>
        </w:rPr>
        <w:t>确保信息发布及时、准确、规范</w:t>
      </w:r>
      <w:r>
        <w:rPr>
          <w:rFonts w:hint="eastAsia" w:ascii="仿宋_GB2312" w:hAnsi="仿宋_GB2312" w:eastAsia="仿宋_GB2312" w:cs="仿宋_GB2312"/>
          <w:color w:val="auto"/>
          <w:sz w:val="32"/>
          <w:szCs w:val="32"/>
          <w:highlight w:val="none"/>
        </w:rPr>
        <w:t>。持续深化行政权力运行公开，依法依规做好行政决策预公开，动态更新并公开部门权责清单、行政许可事项清单，推动权力运行公开透明。</w:t>
      </w:r>
    </w:p>
    <w:p w14:paraId="21831814">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Times New Roman" w:hAnsi="Times New Roman" w:eastAsia="仿宋_GB2312" w:cs="Times New Roman"/>
          <w:i w:val="0"/>
          <w:iCs w:val="0"/>
          <w:caps w:val="0"/>
          <w:color w:val="000000"/>
          <w:spacing w:val="0"/>
          <w:kern w:val="0"/>
          <w:sz w:val="32"/>
          <w:szCs w:val="32"/>
          <w:lang w:val="en-US" w:eastAsia="zh-CN" w:bidi="ar"/>
        </w:rPr>
      </w:pPr>
      <w:r>
        <w:rPr>
          <w:rFonts w:hint="eastAsia" w:ascii="仿宋_GB2312" w:hAnsi="仿宋_GB2312" w:eastAsia="仿宋_GB2312" w:cs="仿宋_GB2312"/>
          <w:b/>
          <w:bCs/>
          <w:color w:val="auto"/>
          <w:kern w:val="2"/>
          <w:sz w:val="32"/>
          <w:szCs w:val="20"/>
          <w:lang w:val="en-US" w:eastAsia="zh-CN"/>
        </w:rPr>
        <w:t>（四）</w:t>
      </w:r>
      <w:r>
        <w:rPr>
          <w:rFonts w:hint="eastAsia" w:ascii="仿宋_GB2312" w:hAnsi="仿宋_GB2312" w:eastAsia="仿宋_GB2312" w:cs="仿宋_GB2312"/>
          <w:b/>
          <w:bCs/>
          <w:color w:val="auto"/>
          <w:sz w:val="32"/>
          <w:szCs w:val="32"/>
          <w:lang w:val="en-US" w:eastAsia="zh-CN"/>
        </w:rPr>
        <w:t>政府信息公开平台建设</w:t>
      </w:r>
      <w:r>
        <w:rPr>
          <w:rFonts w:hint="eastAsia" w:ascii="仿宋_GB2312" w:hAnsi="仿宋_GB2312" w:eastAsia="仿宋_GB2312" w:cs="仿宋_GB2312"/>
          <w:b/>
          <w:bCs/>
          <w:color w:val="auto"/>
          <w:kern w:val="2"/>
          <w:sz w:val="32"/>
          <w:szCs w:val="20"/>
          <w:lang w:val="en-US" w:eastAsia="zh-CN"/>
        </w:rPr>
        <w:t>。</w:t>
      </w:r>
      <w:r>
        <w:rPr>
          <w:rFonts w:hint="eastAsia" w:ascii="Times New Roman" w:hAnsi="Times New Roman" w:eastAsia="仿宋_GB2312" w:cs="Times New Roman"/>
          <w:i w:val="0"/>
          <w:iCs w:val="0"/>
          <w:caps w:val="0"/>
          <w:color w:val="000000"/>
          <w:spacing w:val="0"/>
          <w:kern w:val="0"/>
          <w:sz w:val="32"/>
          <w:szCs w:val="32"/>
          <w:lang w:val="en-US" w:eastAsia="zh-CN" w:bidi="ar"/>
        </w:rPr>
        <w:t>积极运用新媒体技术，创新信息公开方式，丰富信息发布形式。强化信息公开平台安全管理和运行维护，保障平台安全、稳定、高效运行，提升政务公开服务水平。</w:t>
      </w:r>
    </w:p>
    <w:p w14:paraId="5D4525A2">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Times New Roman" w:hAnsi="Times New Roman" w:eastAsia="仿宋_GB2312" w:cs="Times New Roman"/>
          <w:i w:val="0"/>
          <w:iCs w:val="0"/>
          <w:caps w:val="0"/>
          <w:color w:val="000000"/>
          <w:spacing w:val="0"/>
          <w:kern w:val="0"/>
          <w:sz w:val="32"/>
          <w:szCs w:val="32"/>
          <w:lang w:val="en-US" w:eastAsia="zh-CN" w:bidi="ar"/>
        </w:rPr>
      </w:pPr>
      <w:r>
        <w:rPr>
          <w:rFonts w:hint="eastAsia" w:ascii="仿宋_GB2312" w:hAnsi="仿宋_GB2312" w:eastAsia="仿宋_GB2312" w:cs="仿宋_GB2312"/>
          <w:b/>
          <w:bCs/>
          <w:color w:val="auto"/>
          <w:sz w:val="32"/>
          <w:szCs w:val="32"/>
          <w:lang w:val="en-US" w:eastAsia="zh-CN"/>
        </w:rPr>
        <w:t>（五）监督保障。</w:t>
      </w:r>
      <w:r>
        <w:rPr>
          <w:rFonts w:hint="eastAsia" w:ascii="Times New Roman" w:hAnsi="Times New Roman" w:eastAsia="仿宋_GB2312" w:cs="Times New Roman"/>
          <w:i w:val="0"/>
          <w:iCs w:val="0"/>
          <w:caps w:val="0"/>
          <w:color w:val="000000"/>
          <w:spacing w:val="0"/>
          <w:kern w:val="0"/>
          <w:sz w:val="32"/>
          <w:szCs w:val="32"/>
          <w:lang w:val="en-US" w:eastAsia="zh-CN" w:bidi="ar"/>
        </w:rPr>
        <w:t>强化日常监督管理，压实工作责任。积极参加业务培训，不断提升工作人员业务能力和工作水平。畅通社会监督渠道，主动接受社会公众和舆论监督。</w:t>
      </w:r>
    </w:p>
    <w:p w14:paraId="50D1CB95">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left"/>
        <w:textAlignment w:val="auto"/>
        <w:rPr>
          <w:rFonts w:hint="eastAsia" w:ascii="黑体" w:hAnsi="黑体" w:eastAsia="黑体" w:cs="黑体"/>
          <w:b w:val="0"/>
          <w:bCs/>
          <w:i w:val="0"/>
          <w:caps w:val="0"/>
          <w:color w:val="auto"/>
          <w:spacing w:val="0"/>
          <w:sz w:val="32"/>
          <w:szCs w:val="32"/>
          <w:shd w:val="clear" w:color="auto" w:fill="FFFFFF"/>
        </w:rPr>
      </w:pPr>
      <w:r>
        <w:rPr>
          <w:rFonts w:hint="eastAsia" w:ascii="黑体" w:hAnsi="黑体" w:eastAsia="黑体" w:cs="黑体"/>
          <w:b w:val="0"/>
          <w:bCs/>
          <w:i w:val="0"/>
          <w:caps w:val="0"/>
          <w:color w:val="auto"/>
          <w:spacing w:val="0"/>
          <w:sz w:val="32"/>
          <w:szCs w:val="32"/>
          <w:shd w:val="clear" w:color="auto" w:fill="FFFFFF"/>
        </w:rPr>
        <w:t>二、主动公开政府信息情况</w:t>
      </w:r>
    </w:p>
    <w:tbl>
      <w:tblPr>
        <w:tblStyle w:val="5"/>
        <w:tblW w:w="960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400"/>
        <w:gridCol w:w="2400"/>
        <w:gridCol w:w="2400"/>
        <w:gridCol w:w="2400"/>
      </w:tblGrid>
      <w:tr w14:paraId="3D3673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960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14:paraId="3FE81A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第二十条第（一）项</w:t>
            </w:r>
          </w:p>
        </w:tc>
      </w:tr>
      <w:tr w14:paraId="3EBC6C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3" w:hRule="atLeast"/>
          <w:jc w:val="center"/>
        </w:trPr>
        <w:tc>
          <w:tcPr>
            <w:tcW w:w="240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B93ED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信息内容</w:t>
            </w:r>
          </w:p>
        </w:tc>
        <w:tc>
          <w:tcPr>
            <w:tcW w:w="2400"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4982D6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本年制发件数</w:t>
            </w:r>
          </w:p>
        </w:tc>
        <w:tc>
          <w:tcPr>
            <w:tcW w:w="2400"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828DB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本年废止件数</w:t>
            </w:r>
          </w:p>
        </w:tc>
        <w:tc>
          <w:tcPr>
            <w:tcW w:w="2400"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805E3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现行有效件数</w:t>
            </w:r>
          </w:p>
        </w:tc>
      </w:tr>
      <w:tr w14:paraId="72EDCA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3" w:hRule="atLeast"/>
          <w:jc w:val="center"/>
        </w:trPr>
        <w:tc>
          <w:tcPr>
            <w:tcW w:w="240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A8462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规章</w:t>
            </w:r>
          </w:p>
        </w:tc>
        <w:tc>
          <w:tcPr>
            <w:tcW w:w="2400" w:type="dxa"/>
            <w:tcBorders>
              <w:top w:val="nil"/>
              <w:left w:val="nil"/>
              <w:bottom w:val="single" w:color="auto" w:sz="8" w:space="0"/>
              <w:right w:val="single" w:color="auto" w:sz="8" w:space="0"/>
            </w:tcBorders>
            <w:shd w:val="clear" w:color="auto" w:fill="auto"/>
            <w:tcMar>
              <w:left w:w="57" w:type="dxa"/>
              <w:right w:w="57" w:type="dxa"/>
            </w:tcMar>
            <w:vAlign w:val="center"/>
          </w:tcPr>
          <w:p w14:paraId="694DC8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宋体"/>
                <w:color w:val="auto"/>
                <w:lang w:val="en-US" w:eastAsia="zh-CN"/>
              </w:rPr>
            </w:pPr>
            <w:r>
              <w:rPr>
                <w:rFonts w:hint="eastAsia"/>
                <w:color w:val="auto"/>
                <w:lang w:val="en-US" w:eastAsia="zh-CN"/>
              </w:rPr>
              <w:t>0</w:t>
            </w:r>
          </w:p>
        </w:tc>
        <w:tc>
          <w:tcPr>
            <w:tcW w:w="2400" w:type="dxa"/>
            <w:tcBorders>
              <w:top w:val="nil"/>
              <w:left w:val="nil"/>
              <w:bottom w:val="single" w:color="auto" w:sz="8" w:space="0"/>
              <w:right w:val="single" w:color="auto" w:sz="8" w:space="0"/>
            </w:tcBorders>
            <w:shd w:val="clear" w:color="auto" w:fill="auto"/>
            <w:tcMar>
              <w:left w:w="57" w:type="dxa"/>
              <w:right w:w="57" w:type="dxa"/>
            </w:tcMar>
            <w:vAlign w:val="center"/>
          </w:tcPr>
          <w:p w14:paraId="583EBA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宋体"/>
                <w:color w:val="auto"/>
                <w:lang w:val="en-US" w:eastAsia="zh-CN"/>
              </w:rPr>
            </w:pPr>
            <w:r>
              <w:rPr>
                <w:rFonts w:hint="eastAsia"/>
                <w:color w:val="auto"/>
                <w:lang w:val="en-US" w:eastAsia="zh-CN"/>
              </w:rPr>
              <w:t>0</w:t>
            </w:r>
          </w:p>
        </w:tc>
        <w:tc>
          <w:tcPr>
            <w:tcW w:w="2400" w:type="dxa"/>
            <w:tcBorders>
              <w:top w:val="nil"/>
              <w:left w:val="nil"/>
              <w:bottom w:val="single" w:color="auto" w:sz="8" w:space="0"/>
              <w:right w:val="single" w:color="auto" w:sz="8" w:space="0"/>
            </w:tcBorders>
            <w:shd w:val="clear" w:color="auto" w:fill="auto"/>
            <w:tcMar>
              <w:left w:w="57" w:type="dxa"/>
              <w:right w:w="57" w:type="dxa"/>
            </w:tcMar>
            <w:vAlign w:val="center"/>
          </w:tcPr>
          <w:p w14:paraId="247D87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宋体"/>
                <w:color w:val="auto"/>
                <w:lang w:val="en-US" w:eastAsia="zh-CN"/>
              </w:rPr>
            </w:pPr>
            <w:r>
              <w:rPr>
                <w:rFonts w:hint="eastAsia"/>
                <w:color w:val="auto"/>
                <w:lang w:val="en-US" w:eastAsia="zh-CN"/>
              </w:rPr>
              <w:t>0</w:t>
            </w:r>
          </w:p>
        </w:tc>
      </w:tr>
      <w:tr w14:paraId="4067F4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3" w:hRule="atLeast"/>
          <w:jc w:val="center"/>
        </w:trPr>
        <w:tc>
          <w:tcPr>
            <w:tcW w:w="240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8C916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行政规范性文件</w:t>
            </w:r>
          </w:p>
        </w:tc>
        <w:tc>
          <w:tcPr>
            <w:tcW w:w="2400" w:type="dxa"/>
            <w:tcBorders>
              <w:top w:val="nil"/>
              <w:left w:val="nil"/>
              <w:bottom w:val="single" w:color="auto" w:sz="8" w:space="0"/>
              <w:right w:val="single" w:color="auto" w:sz="8" w:space="0"/>
            </w:tcBorders>
            <w:shd w:val="clear" w:color="auto" w:fill="auto"/>
            <w:tcMar>
              <w:left w:w="57" w:type="dxa"/>
              <w:right w:w="57" w:type="dxa"/>
            </w:tcMar>
            <w:vAlign w:val="center"/>
          </w:tcPr>
          <w:p w14:paraId="602870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宋体"/>
                <w:color w:val="auto"/>
                <w:lang w:val="en-US" w:eastAsia="zh-CN"/>
              </w:rPr>
            </w:pPr>
            <w:r>
              <w:rPr>
                <w:rFonts w:hint="eastAsia"/>
                <w:color w:val="auto"/>
                <w:lang w:val="en-US" w:eastAsia="zh-CN"/>
              </w:rPr>
              <w:t>0</w:t>
            </w:r>
          </w:p>
        </w:tc>
        <w:tc>
          <w:tcPr>
            <w:tcW w:w="2400" w:type="dxa"/>
            <w:tcBorders>
              <w:top w:val="nil"/>
              <w:left w:val="nil"/>
              <w:bottom w:val="single" w:color="auto" w:sz="8" w:space="0"/>
              <w:right w:val="single" w:color="auto" w:sz="8" w:space="0"/>
            </w:tcBorders>
            <w:shd w:val="clear" w:color="auto" w:fill="auto"/>
            <w:tcMar>
              <w:left w:w="57" w:type="dxa"/>
              <w:right w:w="57" w:type="dxa"/>
            </w:tcMar>
            <w:vAlign w:val="center"/>
          </w:tcPr>
          <w:p w14:paraId="170623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宋体"/>
                <w:color w:val="auto"/>
                <w:lang w:val="en-US" w:eastAsia="zh-CN"/>
              </w:rPr>
            </w:pPr>
            <w:r>
              <w:rPr>
                <w:rFonts w:hint="eastAsia"/>
                <w:color w:val="auto"/>
                <w:lang w:val="en-US" w:eastAsia="zh-CN"/>
              </w:rPr>
              <w:t>0</w:t>
            </w:r>
          </w:p>
        </w:tc>
        <w:tc>
          <w:tcPr>
            <w:tcW w:w="2400" w:type="dxa"/>
            <w:tcBorders>
              <w:top w:val="nil"/>
              <w:left w:val="nil"/>
              <w:bottom w:val="single" w:color="auto" w:sz="8" w:space="0"/>
              <w:right w:val="single" w:color="auto" w:sz="8" w:space="0"/>
            </w:tcBorders>
            <w:shd w:val="clear" w:color="auto" w:fill="auto"/>
            <w:tcMar>
              <w:left w:w="57" w:type="dxa"/>
              <w:right w:w="57" w:type="dxa"/>
            </w:tcMar>
            <w:vAlign w:val="center"/>
          </w:tcPr>
          <w:p w14:paraId="7E1C15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宋体"/>
                <w:color w:val="auto"/>
                <w:lang w:val="en-US" w:eastAsia="zh-CN"/>
              </w:rPr>
            </w:pPr>
            <w:r>
              <w:rPr>
                <w:rFonts w:hint="eastAsia"/>
                <w:color w:val="auto"/>
                <w:lang w:val="en-US" w:eastAsia="zh-CN"/>
              </w:rPr>
              <w:t>0</w:t>
            </w:r>
          </w:p>
        </w:tc>
      </w:tr>
      <w:tr w14:paraId="551CB8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3" w:hRule="atLeast"/>
          <w:jc w:val="center"/>
        </w:trPr>
        <w:tc>
          <w:tcPr>
            <w:tcW w:w="960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38E455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第二十条第（五）项</w:t>
            </w:r>
          </w:p>
        </w:tc>
      </w:tr>
      <w:tr w14:paraId="3832F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3" w:hRule="atLeast"/>
          <w:jc w:val="center"/>
        </w:trPr>
        <w:tc>
          <w:tcPr>
            <w:tcW w:w="2400" w:type="dxa"/>
            <w:tcBorders>
              <w:top w:val="single" w:color="auto" w:sz="8" w:space="0"/>
              <w:left w:val="single" w:color="auto" w:sz="8" w:space="0"/>
              <w:bottom w:val="single" w:color="auto" w:sz="8" w:space="0"/>
              <w:right w:val="single" w:color="auto" w:sz="8" w:space="0"/>
            </w:tcBorders>
            <w:shd w:val="clear" w:color="auto" w:fill="auto"/>
            <w:tcMar>
              <w:left w:w="57" w:type="dxa"/>
              <w:right w:w="57" w:type="dxa"/>
            </w:tcMar>
            <w:vAlign w:val="center"/>
          </w:tcPr>
          <w:p w14:paraId="135063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信息内容</w:t>
            </w:r>
          </w:p>
        </w:tc>
        <w:tc>
          <w:tcPr>
            <w:tcW w:w="7200" w:type="dxa"/>
            <w:gridSpan w:val="3"/>
            <w:tcBorders>
              <w:top w:val="single" w:color="auto" w:sz="8" w:space="0"/>
              <w:left w:val="single" w:color="auto" w:sz="8" w:space="0"/>
              <w:bottom w:val="single" w:color="auto" w:sz="8" w:space="0"/>
              <w:right w:val="single" w:color="auto" w:sz="8" w:space="0"/>
            </w:tcBorders>
            <w:shd w:val="clear" w:color="auto" w:fill="auto"/>
            <w:tcMar>
              <w:left w:w="57" w:type="dxa"/>
              <w:right w:w="57" w:type="dxa"/>
            </w:tcMar>
            <w:vAlign w:val="center"/>
          </w:tcPr>
          <w:p w14:paraId="4013AB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本年处理决定数量</w:t>
            </w:r>
          </w:p>
        </w:tc>
      </w:tr>
      <w:tr w14:paraId="0E191E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3" w:hRule="atLeast"/>
          <w:jc w:val="center"/>
        </w:trPr>
        <w:tc>
          <w:tcPr>
            <w:tcW w:w="2400" w:type="dxa"/>
            <w:tcBorders>
              <w:top w:val="single" w:color="auto" w:sz="8" w:space="0"/>
              <w:left w:val="single" w:color="auto" w:sz="8" w:space="0"/>
              <w:bottom w:val="single" w:color="auto" w:sz="8" w:space="0"/>
              <w:right w:val="single" w:color="auto" w:sz="8" w:space="0"/>
            </w:tcBorders>
            <w:shd w:val="clear" w:color="auto" w:fill="auto"/>
            <w:tcMar>
              <w:left w:w="57" w:type="dxa"/>
              <w:right w:w="57" w:type="dxa"/>
            </w:tcMar>
            <w:vAlign w:val="center"/>
          </w:tcPr>
          <w:p w14:paraId="1F00C1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行政许可</w:t>
            </w:r>
          </w:p>
        </w:tc>
        <w:tc>
          <w:tcPr>
            <w:tcW w:w="7200"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7C5AD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宋体"/>
                <w:color w:val="auto"/>
                <w:lang w:val="en-US" w:eastAsia="zh-CN"/>
              </w:rPr>
            </w:pPr>
            <w:r>
              <w:rPr>
                <w:rFonts w:hint="eastAsia"/>
                <w:color w:val="auto"/>
                <w:lang w:val="en-US" w:eastAsia="zh-CN"/>
              </w:rPr>
              <w:t>65</w:t>
            </w:r>
          </w:p>
        </w:tc>
      </w:tr>
      <w:tr w14:paraId="314AC9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3" w:hRule="atLeast"/>
          <w:jc w:val="center"/>
        </w:trPr>
        <w:tc>
          <w:tcPr>
            <w:tcW w:w="960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08C9FF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第二十条第（六）项</w:t>
            </w:r>
          </w:p>
        </w:tc>
      </w:tr>
      <w:tr w14:paraId="367AF5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3" w:hRule="atLeast"/>
          <w:jc w:val="center"/>
        </w:trPr>
        <w:tc>
          <w:tcPr>
            <w:tcW w:w="240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F24AE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信息内容</w:t>
            </w:r>
          </w:p>
        </w:tc>
        <w:tc>
          <w:tcPr>
            <w:tcW w:w="7200"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2E436A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本年处理决定数量</w:t>
            </w:r>
          </w:p>
        </w:tc>
      </w:tr>
      <w:tr w14:paraId="3F9DA2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3" w:hRule="atLeast"/>
          <w:jc w:val="center"/>
        </w:trPr>
        <w:tc>
          <w:tcPr>
            <w:tcW w:w="240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AE8FA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行政处罚</w:t>
            </w:r>
          </w:p>
        </w:tc>
        <w:tc>
          <w:tcPr>
            <w:tcW w:w="7200"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59DE7B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宋体"/>
                <w:color w:val="auto"/>
                <w:lang w:val="en-US" w:eastAsia="zh-CN"/>
              </w:rPr>
            </w:pPr>
            <w:r>
              <w:rPr>
                <w:rFonts w:hint="eastAsia"/>
                <w:color w:val="auto"/>
                <w:lang w:val="en-US" w:eastAsia="zh-CN"/>
              </w:rPr>
              <w:t>62</w:t>
            </w:r>
          </w:p>
        </w:tc>
      </w:tr>
      <w:tr w14:paraId="5B602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3" w:hRule="atLeast"/>
          <w:jc w:val="center"/>
        </w:trPr>
        <w:tc>
          <w:tcPr>
            <w:tcW w:w="240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67B2B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行政强制</w:t>
            </w:r>
          </w:p>
        </w:tc>
        <w:tc>
          <w:tcPr>
            <w:tcW w:w="7200"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619D3F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宋体"/>
                <w:color w:val="auto"/>
                <w:lang w:val="en-US" w:eastAsia="zh-CN"/>
              </w:rPr>
            </w:pPr>
            <w:r>
              <w:rPr>
                <w:rFonts w:hint="eastAsia"/>
                <w:color w:val="auto"/>
                <w:lang w:val="en-US" w:eastAsia="zh-CN"/>
              </w:rPr>
              <w:t>0</w:t>
            </w:r>
          </w:p>
        </w:tc>
      </w:tr>
      <w:tr w14:paraId="6812DE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3" w:hRule="atLeast"/>
          <w:jc w:val="center"/>
        </w:trPr>
        <w:tc>
          <w:tcPr>
            <w:tcW w:w="960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60B132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第二十条第（八）项</w:t>
            </w:r>
          </w:p>
        </w:tc>
      </w:tr>
      <w:tr w14:paraId="267A65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3" w:hRule="atLeast"/>
          <w:jc w:val="center"/>
        </w:trPr>
        <w:tc>
          <w:tcPr>
            <w:tcW w:w="240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803D4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信息内容</w:t>
            </w:r>
          </w:p>
        </w:tc>
        <w:tc>
          <w:tcPr>
            <w:tcW w:w="7200"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388756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本年收费金额（单位：万元）</w:t>
            </w:r>
          </w:p>
        </w:tc>
      </w:tr>
      <w:tr w14:paraId="599DC7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1" w:hRule="atLeast"/>
          <w:jc w:val="center"/>
        </w:trPr>
        <w:tc>
          <w:tcPr>
            <w:tcW w:w="240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3BD20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行政事业性收费</w:t>
            </w:r>
          </w:p>
        </w:tc>
        <w:tc>
          <w:tcPr>
            <w:tcW w:w="7200"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58D72F8F">
            <w:pPr>
              <w:jc w:val="center"/>
              <w:rPr>
                <w:rFonts w:hint="eastAsia" w:ascii="宋体" w:eastAsia="宋体"/>
                <w:color w:val="auto"/>
                <w:sz w:val="24"/>
                <w:szCs w:val="24"/>
                <w:lang w:val="en-US" w:eastAsia="zh-CN"/>
              </w:rPr>
            </w:pPr>
            <w:r>
              <w:rPr>
                <w:rFonts w:hint="eastAsia" w:ascii="宋体"/>
                <w:color w:val="auto"/>
                <w:sz w:val="24"/>
                <w:szCs w:val="24"/>
                <w:lang w:val="en-US" w:eastAsia="zh-CN"/>
              </w:rPr>
              <w:t>0</w:t>
            </w:r>
          </w:p>
        </w:tc>
      </w:tr>
    </w:tbl>
    <w:p w14:paraId="4845D74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240" w:afterAutospacing="0" w:line="560" w:lineRule="exact"/>
        <w:ind w:right="0" w:firstLine="640" w:firstLineChars="200"/>
        <w:jc w:val="both"/>
        <w:textAlignment w:val="auto"/>
        <w:rPr>
          <w:rFonts w:hint="eastAsia" w:ascii="宋体" w:hAnsi="宋体" w:eastAsia="宋体" w:cs="宋体"/>
          <w:i w:val="0"/>
          <w:caps w:val="0"/>
          <w:color w:val="auto"/>
          <w:spacing w:val="0"/>
          <w:sz w:val="24"/>
          <w:szCs w:val="24"/>
        </w:rPr>
      </w:pPr>
      <w:r>
        <w:rPr>
          <w:rFonts w:hint="eastAsia" w:ascii="黑体" w:hAnsi="黑体" w:eastAsia="黑体" w:cs="黑体"/>
          <w:b w:val="0"/>
          <w:bCs/>
          <w:i w:val="0"/>
          <w:caps w:val="0"/>
          <w:color w:val="auto"/>
          <w:spacing w:val="0"/>
          <w:sz w:val="32"/>
          <w:szCs w:val="32"/>
          <w:shd w:val="clear" w:color="auto" w:fill="FFFFFF"/>
        </w:rPr>
        <w:t>三、收到和处理政府信息公开申请情况</w:t>
      </w:r>
      <w:bookmarkStart w:id="0" w:name="_GoBack"/>
      <w:bookmarkEnd w:id="0"/>
    </w:p>
    <w:tbl>
      <w:tblPr>
        <w:tblStyle w:val="5"/>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768"/>
        <w:gridCol w:w="829"/>
        <w:gridCol w:w="3334"/>
        <w:gridCol w:w="688"/>
        <w:gridCol w:w="688"/>
        <w:gridCol w:w="688"/>
        <w:gridCol w:w="688"/>
        <w:gridCol w:w="688"/>
        <w:gridCol w:w="688"/>
        <w:gridCol w:w="689"/>
      </w:tblGrid>
      <w:tr w14:paraId="023E5B5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2B622A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楷体" w:hAnsi="楷体" w:eastAsia="楷体" w:cs="楷体"/>
                <w:color w:val="auto"/>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786A7F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申请人情况</w:t>
            </w:r>
          </w:p>
        </w:tc>
      </w:tr>
      <w:tr w14:paraId="7DB0290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0A7011A0">
            <w:pPr>
              <w:rPr>
                <w:rFonts w:hint="eastAsia" w:ascii="宋体"/>
                <w:color w:val="auto"/>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14:paraId="4B9AAD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234ECF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618FF5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总计</w:t>
            </w:r>
          </w:p>
        </w:tc>
      </w:tr>
      <w:tr w14:paraId="4780C51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6D92EEB7">
            <w:pPr>
              <w:rPr>
                <w:rFonts w:hint="eastAsia" w:ascii="宋体"/>
                <w:color w:val="auto"/>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14:paraId="165BB53D">
            <w:pPr>
              <w:rPr>
                <w:rFonts w:hint="eastAsia" w:ascii="宋体"/>
                <w:color w:val="auto"/>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3ED6B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商业</w:t>
            </w:r>
          </w:p>
          <w:p w14:paraId="06AEC0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FF12E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科研</w:t>
            </w:r>
          </w:p>
          <w:p w14:paraId="35BBF0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26F718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CF302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6971C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3BA553D9">
            <w:pPr>
              <w:rPr>
                <w:rFonts w:hint="eastAsia" w:ascii="宋体"/>
                <w:color w:val="auto"/>
                <w:sz w:val="24"/>
                <w:szCs w:val="24"/>
              </w:rPr>
            </w:pPr>
          </w:p>
        </w:tc>
      </w:tr>
      <w:tr w14:paraId="0C1BF90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31F80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6F05D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4F887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19245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9FF4B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FC51D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FF584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3601A7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0</w:t>
            </w:r>
          </w:p>
        </w:tc>
      </w:tr>
      <w:tr w14:paraId="38B2D74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 w:hRule="atLeast"/>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56B4A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40C46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818FD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04908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74722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1EE30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F8513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65D62E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r>
      <w:tr w14:paraId="1248413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986E96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55E6C8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6DA54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D3BBB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7A4D0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92AE6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7D430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AB826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14:paraId="5D3DF4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0</w:t>
            </w:r>
          </w:p>
        </w:tc>
      </w:tr>
      <w:tr w14:paraId="5D49631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0"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30415E7">
            <w:pPr>
              <w:rPr>
                <w:rFonts w:hint="eastAsia" w:ascii="宋体"/>
                <w:color w:val="auto"/>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5E0543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（二）部分公开</w:t>
            </w:r>
            <w:r>
              <w:rPr>
                <w:rFonts w:hint="eastAsia" w:ascii="楷体" w:hAnsi="楷体" w:eastAsia="楷体" w:cs="楷体"/>
                <w:color w:val="auto"/>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CC230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6FB40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3CC74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1136C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5E4E7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31025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090A8E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0</w:t>
            </w:r>
          </w:p>
        </w:tc>
      </w:tr>
      <w:tr w14:paraId="7B2864F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4C01128">
            <w:pPr>
              <w:rPr>
                <w:rFonts w:hint="eastAsia" w:ascii="宋体"/>
                <w:color w:val="auto"/>
                <w:sz w:val="24"/>
                <w:szCs w:val="24"/>
              </w:rPr>
            </w:pPr>
          </w:p>
        </w:tc>
        <w:tc>
          <w:tcPr>
            <w:tcW w:w="82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35351D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（三）不予公开</w:t>
            </w:r>
          </w:p>
        </w:tc>
        <w:tc>
          <w:tcPr>
            <w:tcW w:w="3334" w:type="dxa"/>
            <w:tcBorders>
              <w:top w:val="nil"/>
              <w:left w:val="nil"/>
              <w:bottom w:val="single" w:color="auto" w:sz="8" w:space="0"/>
              <w:right w:val="single" w:color="auto" w:sz="8" w:space="0"/>
            </w:tcBorders>
            <w:shd w:val="clear" w:color="auto" w:fill="auto"/>
            <w:tcMar>
              <w:left w:w="57" w:type="dxa"/>
              <w:right w:w="57" w:type="dxa"/>
            </w:tcMar>
            <w:vAlign w:val="top"/>
          </w:tcPr>
          <w:p w14:paraId="5981BD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011E9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F3604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D7806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2DBCA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77CB7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A73F9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0 </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14:paraId="1B5DE3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0</w:t>
            </w:r>
          </w:p>
        </w:tc>
      </w:tr>
      <w:tr w14:paraId="44B73F6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D8D03D9">
            <w:pPr>
              <w:rPr>
                <w:rFonts w:hint="eastAsia" w:ascii="宋体"/>
                <w:color w:val="auto"/>
                <w:sz w:val="24"/>
                <w:szCs w:val="24"/>
              </w:rPr>
            </w:pPr>
          </w:p>
        </w:tc>
        <w:tc>
          <w:tcPr>
            <w:tcW w:w="82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910F41B">
            <w:pPr>
              <w:rPr>
                <w:rFonts w:hint="eastAsia" w:ascii="宋体"/>
                <w:color w:val="auto"/>
                <w:sz w:val="24"/>
                <w:szCs w:val="24"/>
              </w:rPr>
            </w:pPr>
          </w:p>
        </w:tc>
        <w:tc>
          <w:tcPr>
            <w:tcW w:w="3334" w:type="dxa"/>
            <w:tcBorders>
              <w:top w:val="nil"/>
              <w:left w:val="nil"/>
              <w:bottom w:val="single" w:color="auto" w:sz="8" w:space="0"/>
              <w:right w:val="single" w:color="auto" w:sz="8" w:space="0"/>
            </w:tcBorders>
            <w:shd w:val="clear" w:color="auto" w:fill="auto"/>
            <w:tcMar>
              <w:left w:w="57" w:type="dxa"/>
              <w:right w:w="57" w:type="dxa"/>
            </w:tcMar>
            <w:vAlign w:val="top"/>
          </w:tcPr>
          <w:p w14:paraId="76DF62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DD564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5B2A6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ACB7F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C46D9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494A1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2CFBD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4EC2BF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0</w:t>
            </w:r>
          </w:p>
        </w:tc>
      </w:tr>
      <w:tr w14:paraId="2F87E7F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049C71B">
            <w:pPr>
              <w:rPr>
                <w:rFonts w:hint="eastAsia" w:ascii="宋体"/>
                <w:color w:val="auto"/>
                <w:sz w:val="24"/>
                <w:szCs w:val="24"/>
              </w:rPr>
            </w:pPr>
          </w:p>
        </w:tc>
        <w:tc>
          <w:tcPr>
            <w:tcW w:w="82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E535835">
            <w:pPr>
              <w:rPr>
                <w:rFonts w:hint="eastAsia" w:ascii="宋体"/>
                <w:color w:val="auto"/>
                <w:sz w:val="24"/>
                <w:szCs w:val="24"/>
              </w:rPr>
            </w:pPr>
          </w:p>
        </w:tc>
        <w:tc>
          <w:tcPr>
            <w:tcW w:w="3334" w:type="dxa"/>
            <w:tcBorders>
              <w:top w:val="nil"/>
              <w:left w:val="nil"/>
              <w:bottom w:val="single" w:color="auto" w:sz="8" w:space="0"/>
              <w:right w:val="single" w:color="auto" w:sz="8" w:space="0"/>
            </w:tcBorders>
            <w:shd w:val="clear" w:color="auto" w:fill="auto"/>
            <w:tcMar>
              <w:left w:w="57" w:type="dxa"/>
              <w:right w:w="57" w:type="dxa"/>
            </w:tcMar>
            <w:vAlign w:val="top"/>
          </w:tcPr>
          <w:p w14:paraId="263035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46C6B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8EC3F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4F42B7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74CA7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E6DDF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4BCC4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38E376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r>
      <w:tr w14:paraId="7ADB001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16F70DF">
            <w:pPr>
              <w:rPr>
                <w:rFonts w:hint="eastAsia" w:ascii="宋体"/>
                <w:color w:val="auto"/>
                <w:sz w:val="24"/>
                <w:szCs w:val="24"/>
              </w:rPr>
            </w:pPr>
          </w:p>
        </w:tc>
        <w:tc>
          <w:tcPr>
            <w:tcW w:w="82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C1972CD">
            <w:pPr>
              <w:rPr>
                <w:rFonts w:hint="eastAsia" w:ascii="宋体"/>
                <w:color w:val="auto"/>
                <w:sz w:val="24"/>
                <w:szCs w:val="24"/>
              </w:rPr>
            </w:pPr>
          </w:p>
        </w:tc>
        <w:tc>
          <w:tcPr>
            <w:tcW w:w="3334" w:type="dxa"/>
            <w:tcBorders>
              <w:top w:val="nil"/>
              <w:left w:val="nil"/>
              <w:bottom w:val="single" w:color="auto" w:sz="8" w:space="0"/>
              <w:right w:val="single" w:color="auto" w:sz="8" w:space="0"/>
            </w:tcBorders>
            <w:shd w:val="clear" w:color="auto" w:fill="auto"/>
            <w:tcMar>
              <w:left w:w="57" w:type="dxa"/>
              <w:right w:w="57" w:type="dxa"/>
            </w:tcMar>
            <w:vAlign w:val="top"/>
          </w:tcPr>
          <w:p w14:paraId="473643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90199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43FCC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BDD84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C1EF9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C8F7C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3B68EB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741A48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0</w:t>
            </w:r>
          </w:p>
        </w:tc>
      </w:tr>
      <w:tr w14:paraId="0B3508B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1F0B267">
            <w:pPr>
              <w:rPr>
                <w:rFonts w:hint="eastAsia" w:ascii="宋体"/>
                <w:color w:val="auto"/>
                <w:sz w:val="24"/>
                <w:szCs w:val="24"/>
              </w:rPr>
            </w:pPr>
          </w:p>
        </w:tc>
        <w:tc>
          <w:tcPr>
            <w:tcW w:w="82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37F5B33">
            <w:pPr>
              <w:rPr>
                <w:rFonts w:hint="eastAsia" w:ascii="宋体"/>
                <w:color w:val="auto"/>
                <w:sz w:val="24"/>
                <w:szCs w:val="24"/>
              </w:rPr>
            </w:pPr>
          </w:p>
        </w:tc>
        <w:tc>
          <w:tcPr>
            <w:tcW w:w="3334" w:type="dxa"/>
            <w:tcBorders>
              <w:top w:val="nil"/>
              <w:left w:val="nil"/>
              <w:bottom w:val="single" w:color="auto" w:sz="8" w:space="0"/>
              <w:right w:val="single" w:color="auto" w:sz="8" w:space="0"/>
            </w:tcBorders>
            <w:shd w:val="clear" w:color="auto" w:fill="auto"/>
            <w:tcMar>
              <w:left w:w="57" w:type="dxa"/>
              <w:right w:w="57" w:type="dxa"/>
            </w:tcMar>
            <w:vAlign w:val="top"/>
          </w:tcPr>
          <w:p w14:paraId="791C11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67AC9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4492A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0 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9DEF2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350E2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262DE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3F8B5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32B2E5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r>
      <w:tr w14:paraId="4DE10AF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01A5CE5">
            <w:pPr>
              <w:rPr>
                <w:rFonts w:hint="eastAsia" w:ascii="宋体"/>
                <w:color w:val="auto"/>
                <w:sz w:val="24"/>
                <w:szCs w:val="24"/>
              </w:rPr>
            </w:pPr>
          </w:p>
        </w:tc>
        <w:tc>
          <w:tcPr>
            <w:tcW w:w="82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487F6F2">
            <w:pPr>
              <w:rPr>
                <w:rFonts w:hint="eastAsia" w:ascii="宋体"/>
                <w:color w:val="auto"/>
                <w:sz w:val="24"/>
                <w:szCs w:val="24"/>
              </w:rPr>
            </w:pPr>
          </w:p>
        </w:tc>
        <w:tc>
          <w:tcPr>
            <w:tcW w:w="3334" w:type="dxa"/>
            <w:tcBorders>
              <w:top w:val="nil"/>
              <w:left w:val="nil"/>
              <w:bottom w:val="single" w:color="auto" w:sz="8" w:space="0"/>
              <w:right w:val="single" w:color="auto" w:sz="8" w:space="0"/>
            </w:tcBorders>
            <w:shd w:val="clear" w:color="auto" w:fill="auto"/>
            <w:tcMar>
              <w:left w:w="57" w:type="dxa"/>
              <w:right w:w="57" w:type="dxa"/>
            </w:tcMar>
            <w:vAlign w:val="top"/>
          </w:tcPr>
          <w:p w14:paraId="41433C6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85B4D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5A598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66EDF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F29DC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2F508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52EBA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D884D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r>
      <w:tr w14:paraId="042DB36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BE3EF75">
            <w:pPr>
              <w:rPr>
                <w:rFonts w:hint="eastAsia" w:ascii="宋体"/>
                <w:color w:val="auto"/>
                <w:sz w:val="24"/>
                <w:szCs w:val="24"/>
              </w:rPr>
            </w:pPr>
          </w:p>
        </w:tc>
        <w:tc>
          <w:tcPr>
            <w:tcW w:w="82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BA60233">
            <w:pPr>
              <w:rPr>
                <w:rFonts w:hint="eastAsia" w:ascii="宋体"/>
                <w:color w:val="auto"/>
                <w:sz w:val="24"/>
                <w:szCs w:val="24"/>
              </w:rPr>
            </w:pPr>
          </w:p>
        </w:tc>
        <w:tc>
          <w:tcPr>
            <w:tcW w:w="3334" w:type="dxa"/>
            <w:tcBorders>
              <w:top w:val="nil"/>
              <w:left w:val="nil"/>
              <w:bottom w:val="single" w:color="auto" w:sz="8" w:space="0"/>
              <w:right w:val="single" w:color="auto" w:sz="8" w:space="0"/>
            </w:tcBorders>
            <w:shd w:val="clear" w:color="auto" w:fill="auto"/>
            <w:tcMar>
              <w:left w:w="57" w:type="dxa"/>
              <w:right w:w="57" w:type="dxa"/>
            </w:tcMar>
            <w:vAlign w:val="top"/>
          </w:tcPr>
          <w:p w14:paraId="5EC63F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3A0ED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00AC0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3D287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C8B3D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4111B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53FB82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04097D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r>
      <w:tr w14:paraId="2B701DE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4708F0D">
            <w:pPr>
              <w:rPr>
                <w:rFonts w:hint="eastAsia" w:ascii="宋体"/>
                <w:color w:val="auto"/>
                <w:sz w:val="24"/>
                <w:szCs w:val="24"/>
              </w:rPr>
            </w:pPr>
          </w:p>
        </w:tc>
        <w:tc>
          <w:tcPr>
            <w:tcW w:w="82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A7922E2">
            <w:pPr>
              <w:rPr>
                <w:rFonts w:hint="eastAsia" w:ascii="宋体"/>
                <w:color w:val="auto"/>
                <w:sz w:val="24"/>
                <w:szCs w:val="24"/>
              </w:rPr>
            </w:pPr>
          </w:p>
        </w:tc>
        <w:tc>
          <w:tcPr>
            <w:tcW w:w="3334" w:type="dxa"/>
            <w:tcBorders>
              <w:top w:val="nil"/>
              <w:left w:val="nil"/>
              <w:bottom w:val="single" w:color="auto" w:sz="8" w:space="0"/>
              <w:right w:val="single" w:color="auto" w:sz="8" w:space="0"/>
            </w:tcBorders>
            <w:shd w:val="clear" w:color="auto" w:fill="auto"/>
            <w:tcMar>
              <w:left w:w="57" w:type="dxa"/>
              <w:right w:w="57" w:type="dxa"/>
            </w:tcMar>
            <w:vAlign w:val="top"/>
          </w:tcPr>
          <w:p w14:paraId="6D88A9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B91A0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04C75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9AD81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0A148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8F004E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0BED1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6FBC44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0</w:t>
            </w:r>
          </w:p>
        </w:tc>
      </w:tr>
      <w:tr w14:paraId="543D323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25F2E22">
            <w:pPr>
              <w:rPr>
                <w:rFonts w:hint="eastAsia" w:ascii="宋体"/>
                <w:color w:val="auto"/>
                <w:sz w:val="24"/>
                <w:szCs w:val="24"/>
              </w:rPr>
            </w:pPr>
          </w:p>
        </w:tc>
        <w:tc>
          <w:tcPr>
            <w:tcW w:w="82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242A8C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（四）无法提供</w:t>
            </w:r>
          </w:p>
        </w:tc>
        <w:tc>
          <w:tcPr>
            <w:tcW w:w="3334" w:type="dxa"/>
            <w:tcBorders>
              <w:top w:val="nil"/>
              <w:left w:val="nil"/>
              <w:bottom w:val="single" w:color="auto" w:sz="8" w:space="0"/>
              <w:right w:val="single" w:color="auto" w:sz="8" w:space="0"/>
            </w:tcBorders>
            <w:shd w:val="clear" w:color="auto" w:fill="auto"/>
            <w:tcMar>
              <w:left w:w="57" w:type="dxa"/>
              <w:right w:w="57" w:type="dxa"/>
            </w:tcMar>
            <w:vAlign w:val="top"/>
          </w:tcPr>
          <w:p w14:paraId="606E6A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7FE5D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BC856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81CF7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26991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B0207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B1977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465038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0</w:t>
            </w:r>
          </w:p>
        </w:tc>
      </w:tr>
      <w:tr w14:paraId="0086C98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A476E61">
            <w:pPr>
              <w:rPr>
                <w:rFonts w:hint="eastAsia" w:ascii="宋体"/>
                <w:color w:val="auto"/>
                <w:sz w:val="24"/>
                <w:szCs w:val="24"/>
              </w:rPr>
            </w:pPr>
          </w:p>
        </w:tc>
        <w:tc>
          <w:tcPr>
            <w:tcW w:w="82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F7487DE">
            <w:pPr>
              <w:rPr>
                <w:rFonts w:hint="eastAsia" w:ascii="宋体"/>
                <w:color w:val="auto"/>
                <w:sz w:val="24"/>
                <w:szCs w:val="24"/>
              </w:rPr>
            </w:pPr>
          </w:p>
        </w:tc>
        <w:tc>
          <w:tcPr>
            <w:tcW w:w="3334" w:type="dxa"/>
            <w:tcBorders>
              <w:top w:val="nil"/>
              <w:left w:val="nil"/>
              <w:bottom w:val="single" w:color="auto" w:sz="8" w:space="0"/>
              <w:right w:val="single" w:color="auto" w:sz="8" w:space="0"/>
            </w:tcBorders>
            <w:shd w:val="clear" w:color="auto" w:fill="auto"/>
            <w:tcMar>
              <w:left w:w="57" w:type="dxa"/>
              <w:right w:w="57" w:type="dxa"/>
            </w:tcMar>
            <w:vAlign w:val="top"/>
          </w:tcPr>
          <w:p w14:paraId="361627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93452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E8D96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0C8F5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EC5B5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E2465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62785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23AD4A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r>
      <w:tr w14:paraId="26E3849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D2FE9CE">
            <w:pPr>
              <w:rPr>
                <w:rFonts w:hint="eastAsia" w:ascii="宋体"/>
                <w:color w:val="auto"/>
                <w:sz w:val="24"/>
                <w:szCs w:val="24"/>
              </w:rPr>
            </w:pPr>
          </w:p>
        </w:tc>
        <w:tc>
          <w:tcPr>
            <w:tcW w:w="82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E698185">
            <w:pPr>
              <w:rPr>
                <w:rFonts w:hint="eastAsia" w:ascii="宋体"/>
                <w:color w:val="auto"/>
                <w:sz w:val="24"/>
                <w:szCs w:val="24"/>
              </w:rPr>
            </w:pPr>
          </w:p>
        </w:tc>
        <w:tc>
          <w:tcPr>
            <w:tcW w:w="3334" w:type="dxa"/>
            <w:tcBorders>
              <w:top w:val="nil"/>
              <w:left w:val="nil"/>
              <w:bottom w:val="single" w:color="auto" w:sz="8" w:space="0"/>
              <w:right w:val="single" w:color="auto" w:sz="8" w:space="0"/>
            </w:tcBorders>
            <w:shd w:val="clear" w:color="auto" w:fill="auto"/>
            <w:tcMar>
              <w:left w:w="57" w:type="dxa"/>
              <w:right w:w="57" w:type="dxa"/>
            </w:tcMar>
            <w:vAlign w:val="top"/>
          </w:tcPr>
          <w:p w14:paraId="46C8A7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CF059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745ED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FB469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42B57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2B73B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CCA16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095A0A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r>
      <w:tr w14:paraId="437A77D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6EBEA63">
            <w:pPr>
              <w:rPr>
                <w:rFonts w:hint="eastAsia" w:ascii="宋体"/>
                <w:color w:val="auto"/>
                <w:sz w:val="24"/>
                <w:szCs w:val="24"/>
              </w:rPr>
            </w:pPr>
          </w:p>
        </w:tc>
        <w:tc>
          <w:tcPr>
            <w:tcW w:w="82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40824B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（五）不予处理</w:t>
            </w:r>
          </w:p>
        </w:tc>
        <w:tc>
          <w:tcPr>
            <w:tcW w:w="3334" w:type="dxa"/>
            <w:tcBorders>
              <w:top w:val="nil"/>
              <w:left w:val="nil"/>
              <w:bottom w:val="single" w:color="auto" w:sz="8" w:space="0"/>
              <w:right w:val="single" w:color="auto" w:sz="8" w:space="0"/>
            </w:tcBorders>
            <w:shd w:val="clear" w:color="auto" w:fill="auto"/>
            <w:tcMar>
              <w:left w:w="57" w:type="dxa"/>
              <w:right w:w="57" w:type="dxa"/>
            </w:tcMar>
            <w:vAlign w:val="top"/>
          </w:tcPr>
          <w:p w14:paraId="795161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18A11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9CA46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EB4D8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689F3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5BC71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5B85C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B26635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r>
      <w:tr w14:paraId="6CA5D47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B3EF724">
            <w:pPr>
              <w:rPr>
                <w:rFonts w:hint="eastAsia" w:ascii="宋体"/>
                <w:color w:val="auto"/>
                <w:sz w:val="24"/>
                <w:szCs w:val="24"/>
              </w:rPr>
            </w:pPr>
          </w:p>
        </w:tc>
        <w:tc>
          <w:tcPr>
            <w:tcW w:w="82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43374C5">
            <w:pPr>
              <w:rPr>
                <w:rFonts w:hint="eastAsia" w:ascii="宋体"/>
                <w:color w:val="auto"/>
                <w:sz w:val="24"/>
                <w:szCs w:val="24"/>
              </w:rPr>
            </w:pPr>
          </w:p>
        </w:tc>
        <w:tc>
          <w:tcPr>
            <w:tcW w:w="3334" w:type="dxa"/>
            <w:tcBorders>
              <w:top w:val="nil"/>
              <w:left w:val="nil"/>
              <w:bottom w:val="single" w:color="auto" w:sz="8" w:space="0"/>
              <w:right w:val="single" w:color="auto" w:sz="8" w:space="0"/>
            </w:tcBorders>
            <w:shd w:val="clear" w:color="auto" w:fill="auto"/>
            <w:tcMar>
              <w:left w:w="57" w:type="dxa"/>
              <w:right w:w="57" w:type="dxa"/>
            </w:tcMar>
            <w:vAlign w:val="top"/>
          </w:tcPr>
          <w:p w14:paraId="1C7D52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F38CE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EC0FA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E2F7B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6E517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94A42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19B72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19B28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r>
      <w:tr w14:paraId="61F304A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080D6A8">
            <w:pPr>
              <w:rPr>
                <w:rFonts w:hint="eastAsia" w:ascii="宋体"/>
                <w:color w:val="auto"/>
                <w:sz w:val="24"/>
                <w:szCs w:val="24"/>
              </w:rPr>
            </w:pPr>
          </w:p>
        </w:tc>
        <w:tc>
          <w:tcPr>
            <w:tcW w:w="82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6E3A873">
            <w:pPr>
              <w:rPr>
                <w:rFonts w:hint="eastAsia" w:ascii="宋体"/>
                <w:color w:val="auto"/>
                <w:sz w:val="24"/>
                <w:szCs w:val="24"/>
              </w:rPr>
            </w:pPr>
          </w:p>
        </w:tc>
        <w:tc>
          <w:tcPr>
            <w:tcW w:w="3334" w:type="dxa"/>
            <w:tcBorders>
              <w:top w:val="nil"/>
              <w:left w:val="nil"/>
              <w:bottom w:val="single" w:color="auto" w:sz="8" w:space="0"/>
              <w:right w:val="single" w:color="auto" w:sz="8" w:space="0"/>
            </w:tcBorders>
            <w:shd w:val="clear" w:color="auto" w:fill="auto"/>
            <w:tcMar>
              <w:left w:w="57" w:type="dxa"/>
              <w:right w:w="57" w:type="dxa"/>
            </w:tcMar>
            <w:vAlign w:val="top"/>
          </w:tcPr>
          <w:p w14:paraId="61A1E7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76309B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D2A47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437DD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823F4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A3045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F9A5C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3D99B9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r>
      <w:tr w14:paraId="7112F59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B356198">
            <w:pPr>
              <w:rPr>
                <w:rFonts w:hint="eastAsia" w:ascii="宋体"/>
                <w:color w:val="auto"/>
                <w:sz w:val="24"/>
                <w:szCs w:val="24"/>
              </w:rPr>
            </w:pPr>
          </w:p>
        </w:tc>
        <w:tc>
          <w:tcPr>
            <w:tcW w:w="82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E4F461C">
            <w:pPr>
              <w:rPr>
                <w:rFonts w:hint="eastAsia" w:ascii="宋体"/>
                <w:color w:val="auto"/>
                <w:sz w:val="24"/>
                <w:szCs w:val="24"/>
              </w:rPr>
            </w:pPr>
          </w:p>
        </w:tc>
        <w:tc>
          <w:tcPr>
            <w:tcW w:w="3334" w:type="dxa"/>
            <w:tcBorders>
              <w:top w:val="nil"/>
              <w:left w:val="nil"/>
              <w:bottom w:val="single" w:color="auto" w:sz="8" w:space="0"/>
              <w:right w:val="single" w:color="auto" w:sz="8" w:space="0"/>
            </w:tcBorders>
            <w:shd w:val="clear" w:color="auto" w:fill="auto"/>
            <w:tcMar>
              <w:left w:w="57" w:type="dxa"/>
              <w:right w:w="57" w:type="dxa"/>
            </w:tcMar>
            <w:vAlign w:val="top"/>
          </w:tcPr>
          <w:p w14:paraId="5AF6C3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D19D2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FA7CB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1DFDF8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295B5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77F02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DD102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69AC03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r>
      <w:tr w14:paraId="244C6DE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01"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9E7F5FE">
            <w:pPr>
              <w:rPr>
                <w:rFonts w:hint="eastAsia" w:ascii="宋体"/>
                <w:color w:val="auto"/>
                <w:sz w:val="24"/>
                <w:szCs w:val="24"/>
              </w:rPr>
            </w:pPr>
          </w:p>
        </w:tc>
        <w:tc>
          <w:tcPr>
            <w:tcW w:w="82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CDB2710">
            <w:pPr>
              <w:rPr>
                <w:rFonts w:hint="eastAsia" w:ascii="宋体"/>
                <w:color w:val="auto"/>
                <w:sz w:val="24"/>
                <w:szCs w:val="24"/>
              </w:rPr>
            </w:pPr>
          </w:p>
        </w:tc>
        <w:tc>
          <w:tcPr>
            <w:tcW w:w="3334" w:type="dxa"/>
            <w:tcBorders>
              <w:top w:val="nil"/>
              <w:left w:val="nil"/>
              <w:bottom w:val="outset" w:color="auto" w:sz="8" w:space="0"/>
              <w:right w:val="single" w:color="auto" w:sz="8" w:space="0"/>
            </w:tcBorders>
            <w:shd w:val="clear" w:color="auto" w:fill="auto"/>
            <w:tcMar>
              <w:left w:w="57" w:type="dxa"/>
              <w:right w:w="57" w:type="dxa"/>
            </w:tcMar>
            <w:vAlign w:val="center"/>
          </w:tcPr>
          <w:p w14:paraId="1A02FDB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宋体" w:hAnsi="宋体" w:eastAsia="宋体" w:cs="宋体"/>
                <w:color w:val="auto"/>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5E8A18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25FB7A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63B271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53601B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01CDB1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08609D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center"/>
          </w:tcPr>
          <w:p w14:paraId="409979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r>
      <w:tr w14:paraId="6CC6D53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0"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3E6A9DC">
            <w:pPr>
              <w:rPr>
                <w:rFonts w:hint="eastAsia" w:ascii="宋体"/>
                <w:color w:val="auto"/>
                <w:sz w:val="24"/>
                <w:szCs w:val="24"/>
              </w:rPr>
            </w:pPr>
          </w:p>
        </w:tc>
        <w:tc>
          <w:tcPr>
            <w:tcW w:w="829"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5311C3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（六）其他处理</w:t>
            </w:r>
          </w:p>
        </w:tc>
        <w:tc>
          <w:tcPr>
            <w:tcW w:w="3334" w:type="dxa"/>
            <w:tcBorders>
              <w:top w:val="nil"/>
              <w:left w:val="nil"/>
              <w:bottom w:val="single" w:color="auto" w:sz="8" w:space="0"/>
              <w:right w:val="single" w:color="auto" w:sz="8" w:space="0"/>
            </w:tcBorders>
            <w:shd w:val="clear" w:color="auto" w:fill="auto"/>
            <w:tcMar>
              <w:left w:w="57" w:type="dxa"/>
              <w:right w:w="57" w:type="dxa"/>
            </w:tcMar>
            <w:vAlign w:val="center"/>
          </w:tcPr>
          <w:p w14:paraId="28E868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宋体" w:hAnsi="宋体" w:eastAsia="宋体" w:cs="宋体"/>
                <w:color w:val="auto"/>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5017A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0164B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FFED2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0FB8A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697D20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EA56D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157235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r>
      <w:tr w14:paraId="43EBC94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0"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3489FF2">
            <w:pPr>
              <w:rPr>
                <w:rFonts w:hint="eastAsia" w:ascii="宋体"/>
                <w:color w:val="auto"/>
                <w:sz w:val="24"/>
                <w:szCs w:val="24"/>
              </w:rPr>
            </w:pPr>
          </w:p>
        </w:tc>
        <w:tc>
          <w:tcPr>
            <w:tcW w:w="829"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203E4CFA">
            <w:pPr>
              <w:rPr>
                <w:rFonts w:hint="eastAsia" w:ascii="宋体"/>
                <w:color w:val="auto"/>
                <w:sz w:val="24"/>
                <w:szCs w:val="24"/>
              </w:rPr>
            </w:pPr>
          </w:p>
        </w:tc>
        <w:tc>
          <w:tcPr>
            <w:tcW w:w="3334" w:type="dxa"/>
            <w:tcBorders>
              <w:top w:val="nil"/>
              <w:left w:val="nil"/>
              <w:bottom w:val="single" w:color="auto" w:sz="8" w:space="0"/>
              <w:right w:val="single" w:color="auto" w:sz="8" w:space="0"/>
            </w:tcBorders>
            <w:shd w:val="clear" w:color="auto" w:fill="auto"/>
            <w:tcMar>
              <w:left w:w="57" w:type="dxa"/>
              <w:right w:w="57" w:type="dxa"/>
            </w:tcMar>
            <w:vAlign w:val="center"/>
          </w:tcPr>
          <w:p w14:paraId="71CD4D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宋体" w:hAnsi="宋体" w:eastAsia="宋体" w:cs="宋体"/>
                <w:color w:val="auto"/>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B7F17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62E41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7B0F2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E2B35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3AD2F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31AE2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61F2F7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r>
      <w:tr w14:paraId="4C72604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8DBC680">
            <w:pPr>
              <w:rPr>
                <w:rFonts w:hint="eastAsia" w:ascii="宋体"/>
                <w:color w:val="auto"/>
                <w:sz w:val="24"/>
                <w:szCs w:val="24"/>
              </w:rPr>
            </w:pPr>
          </w:p>
        </w:tc>
        <w:tc>
          <w:tcPr>
            <w:tcW w:w="829"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7AD53E13">
            <w:pPr>
              <w:rPr>
                <w:rFonts w:hint="eastAsia" w:ascii="宋体"/>
                <w:color w:val="auto"/>
                <w:sz w:val="24"/>
                <w:szCs w:val="24"/>
              </w:rPr>
            </w:pPr>
          </w:p>
        </w:tc>
        <w:tc>
          <w:tcPr>
            <w:tcW w:w="3334" w:type="dxa"/>
            <w:tcBorders>
              <w:top w:val="nil"/>
              <w:left w:val="nil"/>
              <w:bottom w:val="single" w:color="auto" w:sz="8" w:space="0"/>
              <w:right w:val="single" w:color="auto" w:sz="8" w:space="0"/>
            </w:tcBorders>
            <w:shd w:val="clear" w:color="auto" w:fill="auto"/>
            <w:tcMar>
              <w:left w:w="57" w:type="dxa"/>
              <w:right w:w="57" w:type="dxa"/>
            </w:tcMar>
            <w:vAlign w:val="center"/>
          </w:tcPr>
          <w:p w14:paraId="1BA1E4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02073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color w:val="auto"/>
                <w:sz w:val="24"/>
                <w:szCs w:val="24"/>
                <w:lang w:val="en-US"/>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98ED3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A08FA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74325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DB55F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FFAE7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0B9545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color w:val="auto"/>
                <w:sz w:val="24"/>
                <w:szCs w:val="24"/>
                <w:lang w:val="en-US"/>
              </w:rPr>
            </w:pPr>
            <w:r>
              <w:rPr>
                <w:rFonts w:hint="eastAsia" w:ascii="仿宋_GB2312" w:hAnsi="仿宋_GB2312" w:eastAsia="仿宋_GB2312" w:cs="仿宋_GB2312"/>
                <w:color w:val="auto"/>
                <w:kern w:val="0"/>
                <w:sz w:val="24"/>
                <w:szCs w:val="24"/>
                <w:lang w:val="en-US" w:eastAsia="zh-CN" w:bidi="ar"/>
              </w:rPr>
              <w:t> 0</w:t>
            </w:r>
          </w:p>
        </w:tc>
      </w:tr>
      <w:tr w14:paraId="23B1A9F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36ED992">
            <w:pPr>
              <w:rPr>
                <w:rFonts w:hint="eastAsia" w:ascii="宋体"/>
                <w:color w:val="auto"/>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4EF2C2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D2D1F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C230F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A0D21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590FD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F5FC1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13F95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09900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0</w:t>
            </w:r>
          </w:p>
        </w:tc>
      </w:tr>
      <w:tr w14:paraId="114C2E3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BF605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3B1DA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AC9C2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8D2F3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B2D06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F4835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9121B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 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74242E3A">
            <w:pPr>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val="en-US" w:eastAsia="zh-CN" w:bidi="ar"/>
              </w:rPr>
              <w:t>0</w:t>
            </w:r>
          </w:p>
        </w:tc>
      </w:tr>
    </w:tbl>
    <w:p w14:paraId="3579151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0000FF"/>
          <w:spacing w:val="0"/>
          <w:sz w:val="32"/>
          <w:szCs w:val="32"/>
          <w:shd w:val="clear" w:color="auto" w:fill="FFFFFF"/>
        </w:rPr>
      </w:pPr>
    </w:p>
    <w:p w14:paraId="05688B0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0000FF"/>
          <w:spacing w:val="0"/>
          <w:sz w:val="32"/>
          <w:szCs w:val="32"/>
          <w:shd w:val="clear" w:color="auto" w:fill="FFFFFF"/>
        </w:rPr>
      </w:pPr>
    </w:p>
    <w:p w14:paraId="464092B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auto"/>
          <w:spacing w:val="0"/>
          <w:sz w:val="32"/>
          <w:szCs w:val="32"/>
          <w:lang w:eastAsia="zh-CN"/>
        </w:rPr>
      </w:pPr>
      <w:r>
        <w:rPr>
          <w:rFonts w:hint="eastAsia" w:ascii="黑体" w:hAnsi="黑体" w:eastAsia="黑体" w:cs="黑体"/>
          <w:b w:val="0"/>
          <w:bCs/>
          <w:i w:val="0"/>
          <w:caps w:val="0"/>
          <w:color w:val="auto"/>
          <w:spacing w:val="0"/>
          <w:sz w:val="32"/>
          <w:szCs w:val="32"/>
          <w:shd w:val="clear" w:color="auto" w:fill="FFFFFF"/>
        </w:rPr>
        <w:t>四、政府信息公开行政复议、行政诉讼情况</w:t>
      </w:r>
    </w:p>
    <w:tbl>
      <w:tblPr>
        <w:tblStyle w:val="5"/>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507"/>
        <w:gridCol w:w="701"/>
        <w:gridCol w:w="605"/>
        <w:gridCol w:w="605"/>
        <w:gridCol w:w="605"/>
        <w:gridCol w:w="605"/>
        <w:gridCol w:w="605"/>
        <w:gridCol w:w="605"/>
        <w:gridCol w:w="605"/>
        <w:gridCol w:w="606"/>
        <w:gridCol w:w="606"/>
      </w:tblGrid>
      <w:tr w14:paraId="5262825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323" w:hRule="atLeast"/>
          <w:jc w:val="center"/>
        </w:trPr>
        <w:tc>
          <w:tcPr>
            <w:tcW w:w="2923" w:type="dxa"/>
            <w:gridSpan w:val="5"/>
            <w:tcBorders>
              <w:top w:val="single" w:color="auto" w:sz="8" w:space="0"/>
              <w:left w:val="single" w:color="auto" w:sz="8" w:space="0"/>
              <w:bottom w:val="single" w:color="auto" w:sz="8" w:space="0"/>
              <w:right w:val="single" w:color="auto" w:sz="8" w:space="0"/>
            </w:tcBorders>
            <w:noWrap w:val="0"/>
            <w:tcMar>
              <w:left w:w="0" w:type="dxa"/>
              <w:right w:w="0" w:type="dxa"/>
            </w:tcMar>
            <w:vAlign w:val="center"/>
          </w:tcPr>
          <w:p w14:paraId="4A100963">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0" w:right="0"/>
              <w:jc w:val="center"/>
              <w:rPr>
                <w:color w:val="auto"/>
                <w:sz w:val="20"/>
                <w:szCs w:val="20"/>
              </w:rPr>
            </w:pPr>
            <w:r>
              <w:rPr>
                <w:rFonts w:hint="eastAsia" w:ascii="宋体" w:hAnsi="宋体" w:eastAsia="宋体" w:cs="宋体"/>
                <w:color w:val="auto"/>
                <w:kern w:val="0"/>
                <w:sz w:val="20"/>
                <w:szCs w:val="20"/>
                <w:lang w:val="en-US" w:eastAsia="zh-CN" w:bidi="ar"/>
              </w:rPr>
              <w:t>行政复议</w:t>
            </w:r>
          </w:p>
        </w:tc>
        <w:tc>
          <w:tcPr>
            <w:tcW w:w="6148" w:type="dxa"/>
            <w:gridSpan w:val="10"/>
            <w:tcBorders>
              <w:top w:val="single" w:color="auto" w:sz="8" w:space="0"/>
              <w:left w:val="nil"/>
              <w:bottom w:val="single" w:color="auto" w:sz="8" w:space="0"/>
              <w:right w:val="single" w:color="auto" w:sz="8" w:space="0"/>
            </w:tcBorders>
            <w:noWrap w:val="0"/>
            <w:tcMar>
              <w:left w:w="0" w:type="dxa"/>
              <w:right w:w="0" w:type="dxa"/>
            </w:tcMar>
            <w:vAlign w:val="center"/>
          </w:tcPr>
          <w:p w14:paraId="3D16700E">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0" w:right="0"/>
              <w:jc w:val="center"/>
              <w:rPr>
                <w:color w:val="auto"/>
                <w:sz w:val="20"/>
                <w:szCs w:val="20"/>
              </w:rPr>
            </w:pPr>
            <w:r>
              <w:rPr>
                <w:rFonts w:hint="eastAsia" w:ascii="宋体" w:hAnsi="宋体" w:eastAsia="宋体" w:cs="宋体"/>
                <w:color w:val="auto"/>
                <w:kern w:val="0"/>
                <w:sz w:val="20"/>
                <w:szCs w:val="20"/>
                <w:lang w:val="en-US" w:eastAsia="zh-CN" w:bidi="ar"/>
              </w:rPr>
              <w:t>行政诉讼</w:t>
            </w:r>
          </w:p>
        </w:tc>
      </w:tr>
      <w:tr w14:paraId="1D57744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vMerge w:val="restart"/>
            <w:tcBorders>
              <w:top w:val="nil"/>
              <w:left w:val="single" w:color="auto" w:sz="8" w:space="0"/>
              <w:bottom w:val="single" w:color="auto" w:sz="8" w:space="0"/>
              <w:right w:val="single" w:color="auto" w:sz="8" w:space="0"/>
            </w:tcBorders>
            <w:noWrap w:val="0"/>
            <w:tcMar>
              <w:left w:w="0" w:type="dxa"/>
              <w:right w:w="0" w:type="dxa"/>
            </w:tcMar>
            <w:vAlign w:val="center"/>
          </w:tcPr>
          <w:p w14:paraId="12BFF568">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0" w:right="0"/>
              <w:jc w:val="center"/>
              <w:rPr>
                <w:color w:val="auto"/>
                <w:sz w:val="20"/>
                <w:szCs w:val="20"/>
              </w:rPr>
            </w:pPr>
            <w:r>
              <w:rPr>
                <w:rFonts w:hint="eastAsia" w:ascii="宋体" w:hAnsi="宋体" w:eastAsia="宋体" w:cs="宋体"/>
                <w:color w:val="auto"/>
                <w:kern w:val="0"/>
                <w:sz w:val="20"/>
                <w:szCs w:val="20"/>
                <w:lang w:val="en-US" w:eastAsia="zh-CN" w:bidi="ar"/>
              </w:rPr>
              <w:t>结果维持</w:t>
            </w:r>
          </w:p>
        </w:tc>
        <w:tc>
          <w:tcPr>
            <w:tcW w:w="604" w:type="dxa"/>
            <w:vMerge w:val="restart"/>
            <w:tcBorders>
              <w:top w:val="nil"/>
              <w:left w:val="nil"/>
              <w:bottom w:val="single" w:color="auto" w:sz="8" w:space="0"/>
              <w:right w:val="single" w:color="auto" w:sz="8" w:space="0"/>
            </w:tcBorders>
            <w:noWrap w:val="0"/>
            <w:tcMar>
              <w:left w:w="0" w:type="dxa"/>
              <w:right w:w="0" w:type="dxa"/>
            </w:tcMar>
            <w:vAlign w:val="center"/>
          </w:tcPr>
          <w:p w14:paraId="263A4D4C">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0" w:right="0"/>
              <w:jc w:val="center"/>
              <w:rPr>
                <w:color w:val="auto"/>
                <w:sz w:val="20"/>
                <w:szCs w:val="20"/>
              </w:rPr>
            </w:pPr>
            <w:r>
              <w:rPr>
                <w:rFonts w:hint="eastAsia" w:ascii="宋体" w:hAnsi="宋体" w:eastAsia="宋体" w:cs="宋体"/>
                <w:color w:val="auto"/>
                <w:kern w:val="0"/>
                <w:sz w:val="20"/>
                <w:szCs w:val="20"/>
                <w:lang w:val="en-US" w:eastAsia="zh-CN" w:bidi="ar"/>
              </w:rPr>
              <w:t>结果纠正</w:t>
            </w:r>
          </w:p>
        </w:tc>
        <w:tc>
          <w:tcPr>
            <w:tcW w:w="604" w:type="dxa"/>
            <w:vMerge w:val="restart"/>
            <w:tcBorders>
              <w:top w:val="single" w:color="auto" w:sz="8" w:space="0"/>
              <w:left w:val="nil"/>
              <w:bottom w:val="single" w:color="auto" w:sz="8" w:space="0"/>
              <w:right w:val="single" w:color="auto" w:sz="8" w:space="0"/>
            </w:tcBorders>
            <w:noWrap w:val="0"/>
            <w:tcMar>
              <w:left w:w="0" w:type="dxa"/>
              <w:right w:w="0" w:type="dxa"/>
            </w:tcMar>
            <w:vAlign w:val="center"/>
          </w:tcPr>
          <w:p w14:paraId="33A181EA">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0" w:right="0"/>
              <w:jc w:val="center"/>
              <w:rPr>
                <w:color w:val="auto"/>
                <w:sz w:val="20"/>
                <w:szCs w:val="20"/>
              </w:rPr>
            </w:pPr>
            <w:r>
              <w:rPr>
                <w:rFonts w:hint="eastAsia" w:ascii="宋体" w:hAnsi="宋体" w:eastAsia="宋体" w:cs="宋体"/>
                <w:color w:val="auto"/>
                <w:kern w:val="0"/>
                <w:sz w:val="20"/>
                <w:szCs w:val="20"/>
                <w:lang w:val="en-US" w:eastAsia="zh-CN" w:bidi="ar"/>
              </w:rPr>
              <w:t>其他结果</w:t>
            </w:r>
          </w:p>
        </w:tc>
        <w:tc>
          <w:tcPr>
            <w:tcW w:w="604" w:type="dxa"/>
            <w:vMerge w:val="restart"/>
            <w:tcBorders>
              <w:top w:val="single" w:color="auto" w:sz="8" w:space="0"/>
              <w:left w:val="nil"/>
              <w:bottom w:val="single" w:color="auto" w:sz="8" w:space="0"/>
              <w:right w:val="single" w:color="auto" w:sz="8" w:space="0"/>
            </w:tcBorders>
            <w:noWrap w:val="0"/>
            <w:tcMar>
              <w:left w:w="0" w:type="dxa"/>
              <w:right w:w="0" w:type="dxa"/>
            </w:tcMar>
            <w:vAlign w:val="center"/>
          </w:tcPr>
          <w:p w14:paraId="00626764">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0" w:right="0"/>
              <w:jc w:val="center"/>
              <w:rPr>
                <w:color w:val="auto"/>
                <w:sz w:val="20"/>
                <w:szCs w:val="20"/>
              </w:rPr>
            </w:pPr>
            <w:r>
              <w:rPr>
                <w:rFonts w:hint="eastAsia" w:ascii="宋体" w:hAnsi="宋体" w:eastAsia="宋体" w:cs="宋体"/>
                <w:color w:val="auto"/>
                <w:kern w:val="0"/>
                <w:sz w:val="20"/>
                <w:szCs w:val="20"/>
                <w:lang w:val="en-US" w:eastAsia="zh-CN" w:bidi="ar"/>
              </w:rPr>
              <w:t>尚未审结</w:t>
            </w:r>
          </w:p>
        </w:tc>
        <w:tc>
          <w:tcPr>
            <w:tcW w:w="507" w:type="dxa"/>
            <w:vMerge w:val="restart"/>
            <w:tcBorders>
              <w:top w:val="single" w:color="auto" w:sz="8" w:space="0"/>
              <w:left w:val="nil"/>
              <w:bottom w:val="single" w:color="auto" w:sz="8" w:space="0"/>
              <w:right w:val="single" w:color="auto" w:sz="8" w:space="0"/>
            </w:tcBorders>
            <w:noWrap w:val="0"/>
            <w:tcMar>
              <w:left w:w="0" w:type="dxa"/>
              <w:right w:w="0" w:type="dxa"/>
            </w:tcMar>
            <w:textDirection w:val="tbLrV"/>
            <w:vAlign w:val="center"/>
          </w:tcPr>
          <w:p w14:paraId="33FC855C">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113" w:right="113"/>
              <w:jc w:val="center"/>
              <w:rPr>
                <w:color w:val="auto"/>
                <w:sz w:val="20"/>
                <w:szCs w:val="20"/>
              </w:rPr>
            </w:pPr>
            <w:r>
              <w:rPr>
                <w:rFonts w:hint="eastAsia" w:ascii="宋体" w:hAnsi="宋体" w:eastAsia="宋体" w:cs="宋体"/>
                <w:color w:val="auto"/>
                <w:kern w:val="0"/>
                <w:sz w:val="20"/>
                <w:szCs w:val="20"/>
                <w:lang w:val="en-US" w:eastAsia="zh-CN" w:bidi="ar"/>
              </w:rPr>
              <w:t>总计</w:t>
            </w:r>
          </w:p>
        </w:tc>
        <w:tc>
          <w:tcPr>
            <w:tcW w:w="3121" w:type="dxa"/>
            <w:gridSpan w:val="5"/>
            <w:tcBorders>
              <w:top w:val="single" w:color="auto" w:sz="8" w:space="0"/>
              <w:left w:val="nil"/>
              <w:bottom w:val="single" w:color="auto" w:sz="8" w:space="0"/>
              <w:right w:val="single" w:color="auto" w:sz="8" w:space="0"/>
            </w:tcBorders>
            <w:noWrap w:val="0"/>
            <w:tcMar>
              <w:left w:w="0" w:type="dxa"/>
              <w:right w:w="0" w:type="dxa"/>
            </w:tcMar>
            <w:vAlign w:val="center"/>
          </w:tcPr>
          <w:p w14:paraId="4A994DB5">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0" w:right="0"/>
              <w:jc w:val="center"/>
              <w:rPr>
                <w:color w:val="auto"/>
                <w:sz w:val="20"/>
                <w:szCs w:val="20"/>
              </w:rPr>
            </w:pPr>
            <w:r>
              <w:rPr>
                <w:rFonts w:hint="eastAsia" w:ascii="宋体" w:hAnsi="宋体" w:eastAsia="宋体" w:cs="宋体"/>
                <w:color w:val="auto"/>
                <w:kern w:val="0"/>
                <w:sz w:val="20"/>
                <w:szCs w:val="20"/>
                <w:lang w:val="en-US" w:eastAsia="zh-CN" w:bidi="ar"/>
              </w:rPr>
              <w:t>未经复议直接起诉</w:t>
            </w:r>
          </w:p>
        </w:tc>
        <w:tc>
          <w:tcPr>
            <w:tcW w:w="3027" w:type="dxa"/>
            <w:gridSpan w:val="5"/>
            <w:tcBorders>
              <w:top w:val="single" w:color="auto" w:sz="8" w:space="0"/>
              <w:left w:val="nil"/>
              <w:bottom w:val="single" w:color="auto" w:sz="8" w:space="0"/>
              <w:right w:val="single" w:color="auto" w:sz="8" w:space="0"/>
            </w:tcBorders>
            <w:noWrap w:val="0"/>
            <w:tcMar>
              <w:left w:w="0" w:type="dxa"/>
              <w:right w:w="0" w:type="dxa"/>
            </w:tcMar>
            <w:vAlign w:val="center"/>
          </w:tcPr>
          <w:p w14:paraId="16641B2C">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0" w:right="0"/>
              <w:jc w:val="center"/>
              <w:rPr>
                <w:color w:val="auto"/>
                <w:sz w:val="20"/>
                <w:szCs w:val="20"/>
              </w:rPr>
            </w:pPr>
            <w:r>
              <w:rPr>
                <w:rFonts w:hint="eastAsia" w:ascii="宋体" w:hAnsi="宋体" w:eastAsia="宋体" w:cs="宋体"/>
                <w:color w:val="auto"/>
                <w:kern w:val="0"/>
                <w:sz w:val="20"/>
                <w:szCs w:val="20"/>
                <w:lang w:val="en-US" w:eastAsia="zh-CN" w:bidi="ar"/>
              </w:rPr>
              <w:t>复议后起诉</w:t>
            </w:r>
          </w:p>
        </w:tc>
      </w:tr>
      <w:tr w14:paraId="7D67697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 w:hRule="atLeast"/>
          <w:jc w:val="center"/>
        </w:trPr>
        <w:tc>
          <w:tcPr>
            <w:tcW w:w="604" w:type="dxa"/>
            <w:vMerge w:val="continue"/>
            <w:tcBorders>
              <w:top w:val="nil"/>
              <w:left w:val="single" w:color="auto" w:sz="8" w:space="0"/>
              <w:bottom w:val="single" w:color="auto" w:sz="8" w:space="0"/>
              <w:right w:val="single" w:color="auto" w:sz="8" w:space="0"/>
            </w:tcBorders>
            <w:noWrap w:val="0"/>
            <w:tcMar>
              <w:left w:w="0" w:type="dxa"/>
              <w:right w:w="0" w:type="dxa"/>
            </w:tcMar>
            <w:vAlign w:val="center"/>
          </w:tcPr>
          <w:p w14:paraId="0CAEF1FE">
            <w:pPr>
              <w:shd w:val="clear"/>
              <w:jc w:val="center"/>
              <w:rPr>
                <w:rFonts w:hint="eastAsia" w:ascii="宋体"/>
                <w:color w:val="auto"/>
                <w:sz w:val="20"/>
                <w:szCs w:val="20"/>
              </w:rPr>
            </w:pPr>
          </w:p>
        </w:tc>
        <w:tc>
          <w:tcPr>
            <w:tcW w:w="604" w:type="dxa"/>
            <w:vMerge w:val="continue"/>
            <w:tcBorders>
              <w:top w:val="nil"/>
              <w:left w:val="nil"/>
              <w:bottom w:val="single" w:color="auto" w:sz="8" w:space="0"/>
              <w:right w:val="single" w:color="auto" w:sz="8" w:space="0"/>
            </w:tcBorders>
            <w:noWrap w:val="0"/>
            <w:tcMar>
              <w:left w:w="0" w:type="dxa"/>
              <w:right w:w="0" w:type="dxa"/>
            </w:tcMar>
            <w:vAlign w:val="center"/>
          </w:tcPr>
          <w:p w14:paraId="2C155DF0">
            <w:pPr>
              <w:shd w:val="clear"/>
              <w:jc w:val="center"/>
              <w:rPr>
                <w:rFonts w:hint="eastAsia" w:ascii="宋体"/>
                <w:color w:val="auto"/>
                <w:sz w:val="20"/>
                <w:szCs w:val="20"/>
              </w:rPr>
            </w:pPr>
          </w:p>
        </w:tc>
        <w:tc>
          <w:tcPr>
            <w:tcW w:w="604" w:type="dxa"/>
            <w:vMerge w:val="continue"/>
            <w:tcBorders>
              <w:top w:val="single" w:color="auto" w:sz="8" w:space="0"/>
              <w:left w:val="nil"/>
              <w:bottom w:val="single" w:color="auto" w:sz="8" w:space="0"/>
              <w:right w:val="single" w:color="auto" w:sz="8" w:space="0"/>
            </w:tcBorders>
            <w:noWrap w:val="0"/>
            <w:tcMar>
              <w:left w:w="0" w:type="dxa"/>
              <w:right w:w="0" w:type="dxa"/>
            </w:tcMar>
            <w:vAlign w:val="center"/>
          </w:tcPr>
          <w:p w14:paraId="2062BEA8">
            <w:pPr>
              <w:shd w:val="clear"/>
              <w:jc w:val="center"/>
              <w:rPr>
                <w:rFonts w:hint="eastAsia" w:ascii="宋体"/>
                <w:color w:val="auto"/>
                <w:sz w:val="20"/>
                <w:szCs w:val="20"/>
              </w:rPr>
            </w:pPr>
          </w:p>
        </w:tc>
        <w:tc>
          <w:tcPr>
            <w:tcW w:w="604" w:type="dxa"/>
            <w:vMerge w:val="continue"/>
            <w:tcBorders>
              <w:top w:val="single" w:color="auto" w:sz="8" w:space="0"/>
              <w:left w:val="nil"/>
              <w:bottom w:val="single" w:color="auto" w:sz="8" w:space="0"/>
              <w:right w:val="single" w:color="auto" w:sz="8" w:space="0"/>
            </w:tcBorders>
            <w:noWrap w:val="0"/>
            <w:tcMar>
              <w:left w:w="0" w:type="dxa"/>
              <w:right w:w="0" w:type="dxa"/>
            </w:tcMar>
            <w:vAlign w:val="center"/>
          </w:tcPr>
          <w:p w14:paraId="49494F04">
            <w:pPr>
              <w:shd w:val="clear"/>
              <w:jc w:val="center"/>
              <w:rPr>
                <w:rFonts w:hint="eastAsia" w:ascii="宋体"/>
                <w:color w:val="auto"/>
                <w:sz w:val="20"/>
                <w:szCs w:val="20"/>
              </w:rPr>
            </w:pPr>
          </w:p>
        </w:tc>
        <w:tc>
          <w:tcPr>
            <w:tcW w:w="507" w:type="dxa"/>
            <w:vMerge w:val="continue"/>
            <w:tcBorders>
              <w:top w:val="single" w:color="auto" w:sz="8" w:space="0"/>
              <w:left w:val="nil"/>
              <w:bottom w:val="single" w:color="auto" w:sz="8" w:space="0"/>
              <w:right w:val="single" w:color="auto" w:sz="8" w:space="0"/>
            </w:tcBorders>
            <w:noWrap w:val="0"/>
            <w:tcMar>
              <w:left w:w="0" w:type="dxa"/>
              <w:right w:w="0" w:type="dxa"/>
            </w:tcMar>
            <w:vAlign w:val="center"/>
          </w:tcPr>
          <w:p w14:paraId="74206F9B">
            <w:pPr>
              <w:shd w:val="clear"/>
              <w:jc w:val="center"/>
              <w:rPr>
                <w:rFonts w:hint="eastAsia" w:ascii="宋体"/>
                <w:color w:val="auto"/>
                <w:sz w:val="20"/>
                <w:szCs w:val="20"/>
              </w:rPr>
            </w:pPr>
          </w:p>
        </w:tc>
        <w:tc>
          <w:tcPr>
            <w:tcW w:w="701" w:type="dxa"/>
            <w:tcBorders>
              <w:top w:val="nil"/>
              <w:left w:val="nil"/>
              <w:bottom w:val="single" w:color="auto" w:sz="8" w:space="0"/>
              <w:right w:val="single" w:color="auto" w:sz="8" w:space="0"/>
            </w:tcBorders>
            <w:noWrap w:val="0"/>
            <w:tcMar>
              <w:left w:w="0" w:type="dxa"/>
              <w:right w:w="0" w:type="dxa"/>
            </w:tcMar>
            <w:vAlign w:val="center"/>
          </w:tcPr>
          <w:p w14:paraId="410FD0B3">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0" w:right="0"/>
              <w:jc w:val="center"/>
              <w:rPr>
                <w:rFonts w:hint="eastAsia" w:ascii="宋体" w:hAnsi="宋体" w:eastAsia="宋体" w:cs="宋体"/>
                <w:color w:val="auto"/>
                <w:kern w:val="0"/>
                <w:sz w:val="20"/>
                <w:szCs w:val="20"/>
                <w:lang w:val="en-US" w:eastAsia="zh-CN" w:bidi="ar"/>
              </w:rPr>
            </w:pPr>
            <w:r>
              <w:rPr>
                <w:rFonts w:hint="eastAsia" w:ascii="宋体" w:hAnsi="宋体" w:eastAsia="宋体" w:cs="宋体"/>
                <w:color w:val="auto"/>
                <w:kern w:val="0"/>
                <w:sz w:val="20"/>
                <w:szCs w:val="20"/>
                <w:lang w:val="en-US" w:eastAsia="zh-CN" w:bidi="ar"/>
              </w:rPr>
              <w:t>结果</w:t>
            </w:r>
          </w:p>
          <w:p w14:paraId="4851027A">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0" w:right="0"/>
              <w:jc w:val="center"/>
              <w:rPr>
                <w:color w:val="auto"/>
                <w:sz w:val="20"/>
                <w:szCs w:val="20"/>
              </w:rPr>
            </w:pPr>
            <w:r>
              <w:rPr>
                <w:rFonts w:hint="eastAsia" w:ascii="宋体" w:hAnsi="宋体" w:eastAsia="宋体" w:cs="宋体"/>
                <w:color w:val="auto"/>
                <w:kern w:val="0"/>
                <w:sz w:val="20"/>
                <w:szCs w:val="20"/>
                <w:lang w:val="en-US" w:eastAsia="zh-CN" w:bidi="ar"/>
              </w:rPr>
              <w:t>维持</w:t>
            </w:r>
          </w:p>
        </w:tc>
        <w:tc>
          <w:tcPr>
            <w:tcW w:w="605" w:type="dxa"/>
            <w:tcBorders>
              <w:top w:val="nil"/>
              <w:left w:val="nil"/>
              <w:bottom w:val="single" w:color="auto" w:sz="8" w:space="0"/>
              <w:right w:val="single" w:color="auto" w:sz="8" w:space="0"/>
            </w:tcBorders>
            <w:noWrap w:val="0"/>
            <w:tcMar>
              <w:left w:w="0" w:type="dxa"/>
              <w:right w:w="0" w:type="dxa"/>
            </w:tcMar>
            <w:vAlign w:val="center"/>
          </w:tcPr>
          <w:p w14:paraId="02B845FF">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0" w:right="0"/>
              <w:jc w:val="center"/>
              <w:rPr>
                <w:color w:val="auto"/>
                <w:sz w:val="20"/>
                <w:szCs w:val="20"/>
              </w:rPr>
            </w:pPr>
            <w:r>
              <w:rPr>
                <w:rFonts w:hint="eastAsia" w:ascii="宋体" w:hAnsi="宋体" w:eastAsia="宋体" w:cs="宋体"/>
                <w:color w:val="auto"/>
                <w:kern w:val="0"/>
                <w:sz w:val="20"/>
                <w:szCs w:val="20"/>
                <w:lang w:val="en-US" w:eastAsia="zh-CN" w:bidi="ar"/>
              </w:rPr>
              <w:t>结果纠正</w:t>
            </w:r>
          </w:p>
        </w:tc>
        <w:tc>
          <w:tcPr>
            <w:tcW w:w="605" w:type="dxa"/>
            <w:tcBorders>
              <w:top w:val="single" w:color="auto" w:sz="8" w:space="0"/>
              <w:left w:val="nil"/>
              <w:bottom w:val="single" w:color="auto" w:sz="8" w:space="0"/>
              <w:right w:val="single" w:color="auto" w:sz="8" w:space="0"/>
            </w:tcBorders>
            <w:noWrap w:val="0"/>
            <w:tcMar>
              <w:left w:w="0" w:type="dxa"/>
              <w:right w:w="0" w:type="dxa"/>
            </w:tcMar>
            <w:vAlign w:val="center"/>
          </w:tcPr>
          <w:p w14:paraId="05079E66">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0" w:right="0"/>
              <w:jc w:val="center"/>
              <w:rPr>
                <w:color w:val="auto"/>
                <w:sz w:val="20"/>
                <w:szCs w:val="20"/>
              </w:rPr>
            </w:pPr>
            <w:r>
              <w:rPr>
                <w:rFonts w:hint="eastAsia" w:ascii="宋体" w:hAnsi="宋体" w:eastAsia="宋体" w:cs="宋体"/>
                <w:color w:val="auto"/>
                <w:kern w:val="0"/>
                <w:sz w:val="20"/>
                <w:szCs w:val="20"/>
                <w:lang w:val="en-US" w:eastAsia="zh-CN" w:bidi="ar"/>
              </w:rPr>
              <w:t>其他结果</w:t>
            </w:r>
          </w:p>
        </w:tc>
        <w:tc>
          <w:tcPr>
            <w:tcW w:w="605" w:type="dxa"/>
            <w:tcBorders>
              <w:top w:val="single" w:color="auto" w:sz="8" w:space="0"/>
              <w:left w:val="nil"/>
              <w:bottom w:val="single" w:color="auto" w:sz="8" w:space="0"/>
              <w:right w:val="single" w:color="auto" w:sz="8" w:space="0"/>
            </w:tcBorders>
            <w:noWrap w:val="0"/>
            <w:tcMar>
              <w:left w:w="0" w:type="dxa"/>
              <w:right w:w="0" w:type="dxa"/>
            </w:tcMar>
            <w:vAlign w:val="center"/>
          </w:tcPr>
          <w:p w14:paraId="7D4ED327">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0" w:right="0"/>
              <w:jc w:val="center"/>
              <w:rPr>
                <w:color w:val="auto"/>
                <w:sz w:val="20"/>
                <w:szCs w:val="20"/>
              </w:rPr>
            </w:pPr>
            <w:r>
              <w:rPr>
                <w:rFonts w:hint="eastAsia" w:ascii="宋体" w:hAnsi="宋体" w:eastAsia="宋体" w:cs="宋体"/>
                <w:color w:val="auto"/>
                <w:kern w:val="0"/>
                <w:sz w:val="20"/>
                <w:szCs w:val="20"/>
                <w:lang w:val="en-US" w:eastAsia="zh-CN" w:bidi="ar"/>
              </w:rPr>
              <w:t>尚未审结</w:t>
            </w:r>
          </w:p>
        </w:tc>
        <w:tc>
          <w:tcPr>
            <w:tcW w:w="605" w:type="dxa"/>
            <w:tcBorders>
              <w:top w:val="single" w:color="auto" w:sz="8" w:space="0"/>
              <w:left w:val="nil"/>
              <w:bottom w:val="single" w:color="auto" w:sz="8" w:space="0"/>
              <w:right w:val="single" w:color="auto" w:sz="8" w:space="0"/>
            </w:tcBorders>
            <w:noWrap w:val="0"/>
            <w:tcMar>
              <w:left w:w="0" w:type="dxa"/>
              <w:right w:w="0" w:type="dxa"/>
            </w:tcMar>
            <w:vAlign w:val="center"/>
          </w:tcPr>
          <w:p w14:paraId="7479A493">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0" w:right="0"/>
              <w:jc w:val="center"/>
              <w:rPr>
                <w:color w:val="auto"/>
                <w:sz w:val="20"/>
                <w:szCs w:val="20"/>
              </w:rPr>
            </w:pPr>
            <w:r>
              <w:rPr>
                <w:rFonts w:hint="eastAsia" w:ascii="宋体" w:hAnsi="宋体" w:eastAsia="宋体" w:cs="宋体"/>
                <w:color w:val="auto"/>
                <w:kern w:val="0"/>
                <w:sz w:val="20"/>
                <w:szCs w:val="20"/>
                <w:lang w:val="en-US" w:eastAsia="zh-CN" w:bidi="ar"/>
              </w:rPr>
              <w:t>总计</w:t>
            </w:r>
          </w:p>
        </w:tc>
        <w:tc>
          <w:tcPr>
            <w:tcW w:w="605" w:type="dxa"/>
            <w:tcBorders>
              <w:top w:val="single" w:color="auto" w:sz="8" w:space="0"/>
              <w:left w:val="nil"/>
              <w:bottom w:val="single" w:color="auto" w:sz="8" w:space="0"/>
              <w:right w:val="single" w:color="auto" w:sz="8" w:space="0"/>
            </w:tcBorders>
            <w:noWrap w:val="0"/>
            <w:tcMar>
              <w:left w:w="0" w:type="dxa"/>
              <w:right w:w="0" w:type="dxa"/>
            </w:tcMar>
            <w:vAlign w:val="center"/>
          </w:tcPr>
          <w:p w14:paraId="16892688">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0" w:right="0"/>
              <w:jc w:val="center"/>
              <w:rPr>
                <w:color w:val="auto"/>
                <w:sz w:val="20"/>
                <w:szCs w:val="20"/>
              </w:rPr>
            </w:pPr>
            <w:r>
              <w:rPr>
                <w:rFonts w:hint="eastAsia" w:ascii="宋体" w:hAnsi="宋体" w:eastAsia="宋体" w:cs="宋体"/>
                <w:color w:val="auto"/>
                <w:kern w:val="0"/>
                <w:sz w:val="20"/>
                <w:szCs w:val="20"/>
                <w:lang w:val="en-US" w:eastAsia="zh-CN" w:bidi="ar"/>
              </w:rPr>
              <w:t>结果维持</w:t>
            </w:r>
          </w:p>
        </w:tc>
        <w:tc>
          <w:tcPr>
            <w:tcW w:w="605" w:type="dxa"/>
            <w:tcBorders>
              <w:top w:val="single" w:color="auto" w:sz="8" w:space="0"/>
              <w:left w:val="nil"/>
              <w:bottom w:val="single" w:color="auto" w:sz="8" w:space="0"/>
              <w:right w:val="single" w:color="auto" w:sz="8" w:space="0"/>
            </w:tcBorders>
            <w:noWrap w:val="0"/>
            <w:tcMar>
              <w:left w:w="0" w:type="dxa"/>
              <w:right w:w="0" w:type="dxa"/>
            </w:tcMar>
            <w:vAlign w:val="center"/>
          </w:tcPr>
          <w:p w14:paraId="6334C0A4">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0" w:right="0"/>
              <w:jc w:val="center"/>
              <w:rPr>
                <w:color w:val="auto"/>
                <w:sz w:val="20"/>
                <w:szCs w:val="20"/>
              </w:rPr>
            </w:pPr>
            <w:r>
              <w:rPr>
                <w:rFonts w:hint="eastAsia" w:ascii="宋体" w:hAnsi="宋体" w:eastAsia="宋体" w:cs="宋体"/>
                <w:color w:val="auto"/>
                <w:kern w:val="0"/>
                <w:sz w:val="20"/>
                <w:szCs w:val="20"/>
                <w:lang w:val="en-US" w:eastAsia="zh-CN" w:bidi="ar"/>
              </w:rPr>
              <w:t>结果纠正</w:t>
            </w:r>
          </w:p>
        </w:tc>
        <w:tc>
          <w:tcPr>
            <w:tcW w:w="605" w:type="dxa"/>
            <w:tcBorders>
              <w:top w:val="single" w:color="auto" w:sz="8" w:space="0"/>
              <w:left w:val="nil"/>
              <w:bottom w:val="single" w:color="auto" w:sz="8" w:space="0"/>
              <w:right w:val="single" w:color="auto" w:sz="8" w:space="0"/>
            </w:tcBorders>
            <w:noWrap w:val="0"/>
            <w:tcMar>
              <w:left w:w="0" w:type="dxa"/>
              <w:right w:w="0" w:type="dxa"/>
            </w:tcMar>
            <w:vAlign w:val="center"/>
          </w:tcPr>
          <w:p w14:paraId="2257DFB3">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0" w:right="0"/>
              <w:jc w:val="center"/>
              <w:rPr>
                <w:color w:val="auto"/>
                <w:sz w:val="20"/>
                <w:szCs w:val="20"/>
              </w:rPr>
            </w:pPr>
            <w:r>
              <w:rPr>
                <w:rFonts w:hint="eastAsia" w:ascii="宋体" w:hAnsi="宋体" w:eastAsia="宋体" w:cs="宋体"/>
                <w:color w:val="auto"/>
                <w:kern w:val="0"/>
                <w:sz w:val="20"/>
                <w:szCs w:val="20"/>
                <w:lang w:val="en-US" w:eastAsia="zh-CN" w:bidi="ar"/>
              </w:rPr>
              <w:t>其他结果</w:t>
            </w:r>
          </w:p>
        </w:tc>
        <w:tc>
          <w:tcPr>
            <w:tcW w:w="606" w:type="dxa"/>
            <w:tcBorders>
              <w:top w:val="single" w:color="auto" w:sz="8" w:space="0"/>
              <w:left w:val="nil"/>
              <w:bottom w:val="single" w:color="auto" w:sz="8" w:space="0"/>
              <w:right w:val="single" w:color="auto" w:sz="8" w:space="0"/>
            </w:tcBorders>
            <w:noWrap w:val="0"/>
            <w:tcMar>
              <w:left w:w="0" w:type="dxa"/>
              <w:right w:w="0" w:type="dxa"/>
            </w:tcMar>
            <w:vAlign w:val="center"/>
          </w:tcPr>
          <w:p w14:paraId="36E62B89">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0" w:right="0"/>
              <w:jc w:val="center"/>
              <w:rPr>
                <w:color w:val="auto"/>
                <w:sz w:val="20"/>
                <w:szCs w:val="20"/>
              </w:rPr>
            </w:pPr>
            <w:r>
              <w:rPr>
                <w:rFonts w:hint="eastAsia" w:ascii="宋体" w:hAnsi="宋体" w:eastAsia="宋体" w:cs="宋体"/>
                <w:color w:val="auto"/>
                <w:kern w:val="0"/>
                <w:sz w:val="20"/>
                <w:szCs w:val="20"/>
                <w:lang w:val="en-US" w:eastAsia="zh-CN" w:bidi="ar"/>
              </w:rPr>
              <w:t>尚未审结</w:t>
            </w:r>
          </w:p>
        </w:tc>
        <w:tc>
          <w:tcPr>
            <w:tcW w:w="606" w:type="dxa"/>
            <w:tcBorders>
              <w:top w:val="single" w:color="auto" w:sz="8" w:space="0"/>
              <w:left w:val="nil"/>
              <w:bottom w:val="single" w:color="auto" w:sz="8" w:space="0"/>
              <w:right w:val="single" w:color="auto" w:sz="8" w:space="0"/>
            </w:tcBorders>
            <w:noWrap w:val="0"/>
            <w:tcMar>
              <w:left w:w="0" w:type="dxa"/>
              <w:right w:w="0" w:type="dxa"/>
            </w:tcMar>
            <w:textDirection w:val="tbRlV"/>
            <w:vAlign w:val="center"/>
          </w:tcPr>
          <w:p w14:paraId="490A24D5">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113" w:right="113"/>
              <w:jc w:val="center"/>
              <w:rPr>
                <w:rFonts w:hint="default"/>
                <w:color w:val="auto"/>
                <w:sz w:val="20"/>
                <w:szCs w:val="20"/>
                <w:lang w:val="en-US"/>
              </w:rPr>
            </w:pPr>
            <w:r>
              <w:rPr>
                <w:rFonts w:hint="eastAsia" w:ascii="宋体" w:hAnsi="宋体" w:cs="宋体"/>
                <w:color w:val="auto"/>
                <w:kern w:val="0"/>
                <w:sz w:val="20"/>
                <w:szCs w:val="20"/>
                <w:lang w:val="en-US" w:eastAsia="zh-CN" w:bidi="ar"/>
              </w:rPr>
              <w:t>总计</w:t>
            </w:r>
          </w:p>
        </w:tc>
      </w:tr>
      <w:tr w14:paraId="4A3BFF1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14" w:hRule="atLeast"/>
          <w:jc w:val="center"/>
        </w:trPr>
        <w:tc>
          <w:tcPr>
            <w:tcW w:w="604" w:type="dxa"/>
            <w:tcBorders>
              <w:top w:val="nil"/>
              <w:left w:val="single" w:color="auto" w:sz="8" w:space="0"/>
              <w:bottom w:val="single" w:color="auto" w:sz="8" w:space="0"/>
              <w:right w:val="single" w:color="auto" w:sz="8" w:space="0"/>
            </w:tcBorders>
            <w:noWrap w:val="0"/>
            <w:tcMar>
              <w:left w:w="0" w:type="dxa"/>
              <w:right w:w="0" w:type="dxa"/>
            </w:tcMar>
            <w:vAlign w:val="center"/>
          </w:tcPr>
          <w:p w14:paraId="706BF69B">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0" w:right="0"/>
              <w:jc w:val="center"/>
              <w:rPr>
                <w:rFonts w:hint="eastAsia"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0</w:t>
            </w:r>
          </w:p>
        </w:tc>
        <w:tc>
          <w:tcPr>
            <w:tcW w:w="604" w:type="dxa"/>
            <w:tcBorders>
              <w:top w:val="nil"/>
              <w:left w:val="nil"/>
              <w:bottom w:val="single" w:color="auto" w:sz="8" w:space="0"/>
              <w:right w:val="single" w:color="auto" w:sz="8" w:space="0"/>
            </w:tcBorders>
            <w:noWrap w:val="0"/>
            <w:tcMar>
              <w:left w:w="0" w:type="dxa"/>
              <w:right w:w="0" w:type="dxa"/>
            </w:tcMar>
            <w:vAlign w:val="center"/>
          </w:tcPr>
          <w:p w14:paraId="69F649B6">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0" w:right="0"/>
              <w:jc w:val="center"/>
              <w:rPr>
                <w:rFonts w:hint="eastAsia" w:ascii="仿宋_GB2312" w:hAnsi="仿宋_GB2312" w:eastAsia="仿宋_GB2312" w:cs="仿宋_GB2312"/>
                <w:color w:val="auto"/>
                <w:sz w:val="20"/>
                <w:szCs w:val="20"/>
              </w:rPr>
            </w:pPr>
            <w:r>
              <w:rPr>
                <w:rFonts w:hint="eastAsia" w:ascii="仿宋_GB2312" w:hAnsi="仿宋_GB2312" w:eastAsia="仿宋_GB2312" w:cs="仿宋_GB2312"/>
                <w:color w:val="auto"/>
                <w:kern w:val="0"/>
                <w:sz w:val="20"/>
                <w:szCs w:val="20"/>
                <w:lang w:val="en-US" w:eastAsia="zh-CN" w:bidi="ar"/>
              </w:rPr>
              <w:t>0</w:t>
            </w:r>
          </w:p>
        </w:tc>
        <w:tc>
          <w:tcPr>
            <w:tcW w:w="604" w:type="dxa"/>
            <w:tcBorders>
              <w:top w:val="nil"/>
              <w:left w:val="nil"/>
              <w:bottom w:val="single" w:color="auto" w:sz="8" w:space="0"/>
              <w:right w:val="single" w:color="auto" w:sz="8" w:space="0"/>
            </w:tcBorders>
            <w:noWrap w:val="0"/>
            <w:tcMar>
              <w:left w:w="0" w:type="dxa"/>
              <w:right w:w="0" w:type="dxa"/>
            </w:tcMar>
            <w:vAlign w:val="center"/>
          </w:tcPr>
          <w:p w14:paraId="029886A0">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0" w:right="0"/>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0</w:t>
            </w:r>
          </w:p>
        </w:tc>
        <w:tc>
          <w:tcPr>
            <w:tcW w:w="604" w:type="dxa"/>
            <w:tcBorders>
              <w:top w:val="nil"/>
              <w:left w:val="nil"/>
              <w:bottom w:val="single" w:color="auto" w:sz="8" w:space="0"/>
              <w:right w:val="single" w:color="auto" w:sz="8" w:space="0"/>
            </w:tcBorders>
            <w:noWrap w:val="0"/>
            <w:tcMar>
              <w:left w:w="0" w:type="dxa"/>
              <w:right w:w="0" w:type="dxa"/>
            </w:tcMar>
            <w:vAlign w:val="center"/>
          </w:tcPr>
          <w:p w14:paraId="03A4F7EC">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0" w:right="0"/>
              <w:jc w:val="center"/>
              <w:rPr>
                <w:rFonts w:hint="eastAsia" w:ascii="仿宋_GB2312" w:hAnsi="仿宋_GB2312" w:eastAsia="仿宋_GB2312" w:cs="仿宋_GB2312"/>
                <w:color w:val="auto"/>
                <w:sz w:val="20"/>
                <w:szCs w:val="20"/>
              </w:rPr>
            </w:pPr>
            <w:r>
              <w:rPr>
                <w:rFonts w:hint="eastAsia" w:ascii="仿宋_GB2312" w:hAnsi="仿宋_GB2312" w:eastAsia="仿宋_GB2312" w:cs="仿宋_GB2312"/>
                <w:color w:val="auto"/>
                <w:kern w:val="0"/>
                <w:sz w:val="20"/>
                <w:szCs w:val="20"/>
                <w:lang w:val="en-US" w:eastAsia="zh-CN" w:bidi="ar"/>
              </w:rPr>
              <w:t>0</w:t>
            </w:r>
          </w:p>
        </w:tc>
        <w:tc>
          <w:tcPr>
            <w:tcW w:w="507" w:type="dxa"/>
            <w:tcBorders>
              <w:top w:val="nil"/>
              <w:left w:val="nil"/>
              <w:bottom w:val="single" w:color="auto" w:sz="8" w:space="0"/>
              <w:right w:val="single" w:color="auto" w:sz="8" w:space="0"/>
            </w:tcBorders>
            <w:noWrap w:val="0"/>
            <w:tcMar>
              <w:left w:w="0" w:type="dxa"/>
              <w:right w:w="0" w:type="dxa"/>
            </w:tcMar>
            <w:vAlign w:val="center"/>
          </w:tcPr>
          <w:p w14:paraId="7874D4FD">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0" w:right="0"/>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0</w:t>
            </w:r>
          </w:p>
        </w:tc>
        <w:tc>
          <w:tcPr>
            <w:tcW w:w="701" w:type="dxa"/>
            <w:tcBorders>
              <w:top w:val="nil"/>
              <w:left w:val="nil"/>
              <w:bottom w:val="single" w:color="auto" w:sz="8" w:space="0"/>
              <w:right w:val="single" w:color="auto" w:sz="8" w:space="0"/>
            </w:tcBorders>
            <w:noWrap w:val="0"/>
            <w:tcMar>
              <w:left w:w="0" w:type="dxa"/>
              <w:right w:w="0" w:type="dxa"/>
            </w:tcMar>
            <w:vAlign w:val="center"/>
          </w:tcPr>
          <w:p w14:paraId="6AF09524">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0" w:right="0"/>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1</w:t>
            </w:r>
          </w:p>
        </w:tc>
        <w:tc>
          <w:tcPr>
            <w:tcW w:w="605" w:type="dxa"/>
            <w:tcBorders>
              <w:top w:val="nil"/>
              <w:left w:val="nil"/>
              <w:bottom w:val="single" w:color="auto" w:sz="8" w:space="0"/>
              <w:right w:val="single" w:color="auto" w:sz="8" w:space="0"/>
            </w:tcBorders>
            <w:noWrap w:val="0"/>
            <w:tcMar>
              <w:left w:w="0" w:type="dxa"/>
              <w:right w:w="0" w:type="dxa"/>
            </w:tcMar>
            <w:vAlign w:val="center"/>
          </w:tcPr>
          <w:p w14:paraId="54E8999A">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0" w:right="0"/>
              <w:jc w:val="center"/>
              <w:rPr>
                <w:rFonts w:hint="eastAsia"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0</w:t>
            </w:r>
          </w:p>
        </w:tc>
        <w:tc>
          <w:tcPr>
            <w:tcW w:w="605" w:type="dxa"/>
            <w:tcBorders>
              <w:top w:val="nil"/>
              <w:left w:val="nil"/>
              <w:bottom w:val="single" w:color="auto" w:sz="8" w:space="0"/>
              <w:right w:val="single" w:color="auto" w:sz="8" w:space="0"/>
            </w:tcBorders>
            <w:noWrap w:val="0"/>
            <w:tcMar>
              <w:left w:w="0" w:type="dxa"/>
              <w:right w:w="0" w:type="dxa"/>
            </w:tcMar>
            <w:vAlign w:val="center"/>
          </w:tcPr>
          <w:p w14:paraId="2CFFAE4A">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0" w:right="0"/>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0</w:t>
            </w:r>
          </w:p>
        </w:tc>
        <w:tc>
          <w:tcPr>
            <w:tcW w:w="605" w:type="dxa"/>
            <w:tcBorders>
              <w:top w:val="nil"/>
              <w:left w:val="nil"/>
              <w:bottom w:val="single" w:color="auto" w:sz="8" w:space="0"/>
              <w:right w:val="single" w:color="auto" w:sz="8" w:space="0"/>
            </w:tcBorders>
            <w:noWrap w:val="0"/>
            <w:tcMar>
              <w:left w:w="0" w:type="dxa"/>
              <w:right w:w="0" w:type="dxa"/>
            </w:tcMar>
            <w:vAlign w:val="center"/>
          </w:tcPr>
          <w:p w14:paraId="3EE9F55A">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0" w:right="0"/>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0</w:t>
            </w:r>
          </w:p>
        </w:tc>
        <w:tc>
          <w:tcPr>
            <w:tcW w:w="605" w:type="dxa"/>
            <w:tcBorders>
              <w:top w:val="nil"/>
              <w:left w:val="nil"/>
              <w:bottom w:val="single" w:color="auto" w:sz="8" w:space="0"/>
              <w:right w:val="single" w:color="auto" w:sz="8" w:space="0"/>
            </w:tcBorders>
            <w:noWrap w:val="0"/>
            <w:tcMar>
              <w:left w:w="0" w:type="dxa"/>
              <w:right w:w="0" w:type="dxa"/>
            </w:tcMar>
            <w:vAlign w:val="center"/>
          </w:tcPr>
          <w:p w14:paraId="03DA8803">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0" w:right="0"/>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0</w:t>
            </w:r>
          </w:p>
        </w:tc>
        <w:tc>
          <w:tcPr>
            <w:tcW w:w="605" w:type="dxa"/>
            <w:tcBorders>
              <w:top w:val="nil"/>
              <w:left w:val="nil"/>
              <w:bottom w:val="single" w:color="auto" w:sz="8" w:space="0"/>
              <w:right w:val="single" w:color="auto" w:sz="8" w:space="0"/>
            </w:tcBorders>
            <w:noWrap w:val="0"/>
            <w:tcMar>
              <w:left w:w="0" w:type="dxa"/>
              <w:right w:w="0" w:type="dxa"/>
            </w:tcMar>
            <w:vAlign w:val="center"/>
          </w:tcPr>
          <w:p w14:paraId="10ADAFC4">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0" w:right="0"/>
              <w:jc w:val="center"/>
              <w:rPr>
                <w:rFonts w:hint="eastAsia"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0</w:t>
            </w:r>
          </w:p>
        </w:tc>
        <w:tc>
          <w:tcPr>
            <w:tcW w:w="605" w:type="dxa"/>
            <w:tcBorders>
              <w:top w:val="nil"/>
              <w:left w:val="nil"/>
              <w:bottom w:val="single" w:color="auto" w:sz="8" w:space="0"/>
              <w:right w:val="single" w:color="auto" w:sz="8" w:space="0"/>
            </w:tcBorders>
            <w:noWrap w:val="0"/>
            <w:tcMar>
              <w:left w:w="0" w:type="dxa"/>
              <w:right w:w="0" w:type="dxa"/>
            </w:tcMar>
            <w:vAlign w:val="center"/>
          </w:tcPr>
          <w:p w14:paraId="2F38CF2A">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0" w:right="0"/>
              <w:jc w:val="center"/>
              <w:rPr>
                <w:rFonts w:hint="eastAsia"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0</w:t>
            </w:r>
          </w:p>
        </w:tc>
        <w:tc>
          <w:tcPr>
            <w:tcW w:w="605" w:type="dxa"/>
            <w:tcBorders>
              <w:top w:val="nil"/>
              <w:left w:val="nil"/>
              <w:bottom w:val="single" w:color="auto" w:sz="8" w:space="0"/>
              <w:right w:val="single" w:color="auto" w:sz="8" w:space="0"/>
            </w:tcBorders>
            <w:noWrap w:val="0"/>
            <w:tcMar>
              <w:left w:w="0" w:type="dxa"/>
              <w:right w:w="0" w:type="dxa"/>
            </w:tcMar>
            <w:vAlign w:val="center"/>
          </w:tcPr>
          <w:p w14:paraId="5E465B37">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0" w:right="0"/>
              <w:jc w:val="center"/>
              <w:rPr>
                <w:rFonts w:hint="eastAsia"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0</w:t>
            </w:r>
          </w:p>
        </w:tc>
        <w:tc>
          <w:tcPr>
            <w:tcW w:w="606" w:type="dxa"/>
            <w:tcBorders>
              <w:top w:val="nil"/>
              <w:left w:val="nil"/>
              <w:bottom w:val="single" w:color="auto" w:sz="8" w:space="0"/>
              <w:right w:val="single" w:color="auto" w:sz="8" w:space="0"/>
            </w:tcBorders>
            <w:noWrap w:val="0"/>
            <w:tcMar>
              <w:left w:w="0" w:type="dxa"/>
              <w:right w:w="0" w:type="dxa"/>
            </w:tcMar>
            <w:vAlign w:val="center"/>
          </w:tcPr>
          <w:p w14:paraId="101A5832">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180" w:afterAutospacing="0"/>
              <w:ind w:left="0" w:right="0"/>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0</w:t>
            </w:r>
          </w:p>
        </w:tc>
        <w:tc>
          <w:tcPr>
            <w:tcW w:w="606" w:type="dxa"/>
            <w:tcBorders>
              <w:top w:val="nil"/>
              <w:left w:val="nil"/>
              <w:bottom w:val="single" w:color="auto" w:sz="8" w:space="0"/>
              <w:right w:val="single" w:color="auto" w:sz="8" w:space="0"/>
            </w:tcBorders>
            <w:noWrap w:val="0"/>
            <w:tcMar>
              <w:left w:w="0" w:type="dxa"/>
              <w:right w:w="0" w:type="dxa"/>
            </w:tcMar>
            <w:vAlign w:val="center"/>
          </w:tcPr>
          <w:p w14:paraId="28FF5F82">
            <w:pPr>
              <w:shd w:val="clear"/>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0</w:t>
            </w:r>
          </w:p>
        </w:tc>
      </w:tr>
    </w:tbl>
    <w:p w14:paraId="65334BFC">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仿宋_GB2312" w:hAnsi="仿宋_GB2312" w:eastAsia="仿宋_GB2312" w:cs="仿宋_GB2312"/>
          <w:i w:val="0"/>
          <w:caps w:val="0"/>
          <w:color w:val="auto"/>
          <w:spacing w:val="0"/>
          <w:sz w:val="32"/>
          <w:szCs w:val="32"/>
          <w:lang w:val="en-US" w:eastAsia="zh-CN"/>
        </w:rPr>
      </w:pPr>
      <w:r>
        <w:rPr>
          <w:rFonts w:hint="eastAsia" w:ascii="黑体" w:hAnsi="黑体" w:eastAsia="黑体" w:cs="黑体"/>
          <w:i w:val="0"/>
          <w:caps w:val="0"/>
          <w:color w:val="auto"/>
          <w:spacing w:val="0"/>
          <w:sz w:val="32"/>
          <w:szCs w:val="32"/>
          <w:lang w:val="en-US" w:eastAsia="zh-CN"/>
        </w:rPr>
        <w:t>五、存在的主要问题及改进情况</w:t>
      </w:r>
    </w:p>
    <w:p w14:paraId="74836945">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Times New Roman"/>
          <w:i w:val="0"/>
          <w:iCs w:val="0"/>
          <w:caps w:val="0"/>
          <w:color w:val="000000"/>
          <w:spacing w:val="0"/>
          <w:kern w:val="0"/>
          <w:sz w:val="32"/>
          <w:szCs w:val="32"/>
          <w:lang w:val="en-US" w:eastAsia="zh-CN" w:bidi="ar"/>
        </w:rPr>
      </w:pPr>
      <w:r>
        <w:rPr>
          <w:rFonts w:hint="eastAsia" w:ascii="Times New Roman" w:hAnsi="Times New Roman" w:eastAsia="仿宋_GB2312" w:cs="Times New Roman"/>
          <w:i w:val="0"/>
          <w:iCs w:val="0"/>
          <w:caps w:val="0"/>
          <w:color w:val="000000"/>
          <w:spacing w:val="0"/>
          <w:kern w:val="0"/>
          <w:sz w:val="32"/>
          <w:szCs w:val="32"/>
          <w:lang w:val="en-US" w:eastAsia="zh-CN" w:bidi="ar"/>
        </w:rPr>
        <w:t>2025年，我局政府信息公开工作取得了一定进展，但仍存在政策解读方面内容发布数量偏少</w:t>
      </w:r>
      <w:r>
        <w:rPr>
          <w:rFonts w:hint="eastAsia" w:eastAsia="仿宋_GB2312" w:cs="Times New Roman"/>
          <w:i w:val="0"/>
          <w:iCs w:val="0"/>
          <w:caps w:val="0"/>
          <w:color w:val="000000"/>
          <w:spacing w:val="0"/>
          <w:kern w:val="0"/>
          <w:sz w:val="32"/>
          <w:szCs w:val="32"/>
          <w:lang w:val="en-US" w:eastAsia="zh-CN" w:bidi="ar"/>
        </w:rPr>
        <w:t>、</w:t>
      </w:r>
      <w:r>
        <w:rPr>
          <w:rFonts w:hint="eastAsia" w:ascii="Times New Roman" w:hAnsi="Times New Roman" w:eastAsia="仿宋_GB2312" w:cs="Times New Roman"/>
          <w:i w:val="0"/>
          <w:iCs w:val="0"/>
          <w:caps w:val="0"/>
          <w:color w:val="000000"/>
          <w:spacing w:val="0"/>
          <w:kern w:val="0"/>
          <w:sz w:val="32"/>
          <w:szCs w:val="32"/>
          <w:lang w:val="en-US" w:eastAsia="zh-CN" w:bidi="ar"/>
        </w:rPr>
        <w:t>工作人员业务能力有待提升等问题。下一步，我局将坚持目标导向与问题导向相结合，重点抓好两方面工作：一是加大政策解读力度，切实提升群众对生态环境政策的知晓度和获得感；二是加强能力建设，通过组织开展专题培训、业务交流和实操指导，全面提升政务公开队伍的专业素养和履职能力，推动全局政府信息公开工作更加规范、高效、透明。</w:t>
      </w:r>
    </w:p>
    <w:p w14:paraId="04359B82">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rPr>
          <w:rFonts w:hint="eastAsia" w:ascii="黑体" w:hAnsi="黑体" w:eastAsia="黑体" w:cs="黑体"/>
          <w:i w:val="0"/>
          <w:caps w:val="0"/>
          <w:color w:val="auto"/>
          <w:spacing w:val="0"/>
          <w:sz w:val="32"/>
          <w:szCs w:val="32"/>
          <w:lang w:val="en-US" w:eastAsia="zh-CN"/>
        </w:rPr>
      </w:pPr>
      <w:r>
        <w:rPr>
          <w:rFonts w:hint="eastAsia" w:ascii="仿宋_GB2312" w:hAnsi="仿宋_GB2312" w:eastAsia="仿宋_GB2312" w:cs="仿宋_GB2312"/>
          <w:i w:val="0"/>
          <w:caps w:val="0"/>
          <w:color w:val="0000FF"/>
          <w:spacing w:val="0"/>
          <w:sz w:val="32"/>
          <w:szCs w:val="32"/>
          <w:lang w:val="en-US" w:eastAsia="zh-CN"/>
        </w:rPr>
        <w:t xml:space="preserve">    </w:t>
      </w:r>
      <w:r>
        <w:rPr>
          <w:rFonts w:hint="eastAsia" w:ascii="黑体" w:hAnsi="黑体" w:eastAsia="黑体" w:cs="黑体"/>
          <w:i w:val="0"/>
          <w:caps w:val="0"/>
          <w:color w:val="auto"/>
          <w:spacing w:val="0"/>
          <w:sz w:val="32"/>
          <w:szCs w:val="32"/>
          <w:lang w:val="en-US" w:eastAsia="zh-CN"/>
        </w:rPr>
        <w:t>六、其他需要报告的事项</w:t>
      </w:r>
    </w:p>
    <w:p w14:paraId="28F3306C">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0"/>
        <w:jc w:val="left"/>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i w:val="0"/>
          <w:caps w:val="0"/>
          <w:color w:val="auto"/>
          <w:spacing w:val="0"/>
          <w:sz w:val="32"/>
          <w:szCs w:val="32"/>
          <w:lang w:val="en-US" w:eastAsia="zh-CN"/>
        </w:rPr>
        <w:t xml:space="preserve">   </w:t>
      </w:r>
      <w:r>
        <w:rPr>
          <w:rFonts w:hint="eastAsia" w:ascii="仿宋_GB2312" w:hAnsi="仿宋_GB2312" w:eastAsia="仿宋_GB2312" w:cs="仿宋_GB2312"/>
          <w:b w:val="0"/>
          <w:bCs w:val="0"/>
          <w:color w:val="auto"/>
          <w:sz w:val="32"/>
          <w:szCs w:val="32"/>
          <w:lang w:val="en-US" w:eastAsia="zh-CN"/>
        </w:rPr>
        <w:t xml:space="preserve"> 认真贯彻执行国务院办公厅《政府信息公开信息处理费管理办法》和《关于政府信息公开处理费管理有关事项的通知》。2025年我局未收取信息处理费。</w:t>
      </w:r>
    </w:p>
    <w:p w14:paraId="2804A6A2">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i w:val="0"/>
          <w:caps w:val="0"/>
          <w:color w:val="0000FF"/>
          <w:spacing w:val="0"/>
          <w:sz w:val="24"/>
          <w:szCs w:val="24"/>
        </w:rPr>
      </w:pPr>
    </w:p>
    <w:p w14:paraId="4A783666">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i w:val="0"/>
          <w:caps w:val="0"/>
          <w:color w:val="0000FF"/>
          <w:spacing w:val="0"/>
          <w:sz w:val="24"/>
          <w:szCs w:val="24"/>
        </w:rPr>
      </w:pPr>
    </w:p>
    <w:p w14:paraId="053E59B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0000FF"/>
          <w:sz w:val="32"/>
          <w:szCs w:val="32"/>
          <w:lang w:val="en-US" w:eastAsia="zh-CN"/>
        </w:rPr>
      </w:pPr>
      <w:r>
        <w:rPr>
          <w:rFonts w:hint="eastAsia" w:ascii="仿宋_GB2312" w:hAnsi="仿宋_GB2312" w:eastAsia="仿宋_GB2312" w:cs="仿宋_GB2312"/>
          <w:color w:val="0000FF"/>
          <w:sz w:val="32"/>
          <w:szCs w:val="32"/>
          <w:lang w:val="en-US" w:eastAsia="zh-CN"/>
        </w:rPr>
        <w:t xml:space="preserve"> </w:t>
      </w:r>
      <w:r>
        <w:rPr>
          <w:rFonts w:hint="eastAsia" w:ascii="仿宋_GB2312" w:hAnsi="仿宋_GB2312" w:eastAsia="仿宋_GB2312" w:cs="仿宋_GB2312"/>
          <w:color w:val="auto"/>
          <w:sz w:val="32"/>
          <w:szCs w:val="32"/>
          <w:lang w:val="en-US" w:eastAsia="zh-CN"/>
        </w:rPr>
        <w:t xml:space="preserve">                           2026年1月15日</w:t>
      </w:r>
    </w:p>
    <w:sectPr>
      <w:footerReference r:id="rId3" w:type="default"/>
      <w:footerReference r:id="rId4" w:type="even"/>
      <w:footnotePr>
        <w:numFmt w:val="decimal"/>
      </w:footnotePr>
      <w:pgSz w:w="11905" w:h="16838"/>
      <w:pgMar w:top="2098" w:right="1531" w:bottom="1984" w:left="1531" w:header="0" w:footer="567" w:gutter="0"/>
      <w:pgBorders>
        <w:top w:val="none" w:sz="0" w:space="0"/>
        <w:left w:val="none" w:sz="0" w:space="0"/>
        <w:bottom w:val="none" w:sz="0" w:space="0"/>
        <w:right w:val="none" w:sz="0" w:space="0"/>
      </w:pgBorders>
      <w:pgNumType w:fmt="numberInDash" w:start="1"/>
      <w:cols w:space="0" w:num="1"/>
      <w:rtlGutter w:val="0"/>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F6D35D9-4DB7-4911-A4FA-791F4DAF711F}"/>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auto"/>
    <w:pitch w:val="default"/>
    <w:sig w:usb0="00000001" w:usb1="08000000" w:usb2="00000000" w:usb3="00000000" w:csb0="00040000" w:csb1="00000000"/>
    <w:embedRegular r:id="rId2" w:fontKey="{06B98954-D433-47C7-BA97-B57F6E84BB54}"/>
  </w:font>
  <w:font w:name="仿宋_GB2312">
    <w:altName w:val="仿宋"/>
    <w:panose1 w:val="02010609030101010101"/>
    <w:charset w:val="86"/>
    <w:family w:val="auto"/>
    <w:pitch w:val="default"/>
    <w:sig w:usb0="00000000" w:usb1="00000000" w:usb2="00000000" w:usb3="00000000" w:csb0="00040000" w:csb1="00000000"/>
    <w:embedRegular r:id="rId3" w:fontKey="{DCB38287-7B8D-4D2D-87E7-4E86E0E92E9D}"/>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embedRegular r:id="rId4" w:fontKey="{1B9136C0-EE8F-4D46-A960-ADFC2445794D}"/>
  </w:font>
  <w:font w:name="仿宋_GB2312">
    <w:altName w:val="仿宋"/>
    <w:panose1 w:val="00000000000000000000"/>
    <w:charset w:val="00"/>
    <w:family w:val="auto"/>
    <w:pitch w:val="default"/>
    <w:sig w:usb0="00000000" w:usb1="00000000" w:usb2="00000000" w:usb3="00000000" w:csb0="00000000" w:csb1="00000000"/>
  </w:font>
  <w:font w:name="等线">
    <w:altName w:val="Arial Unicode MS"/>
    <w:panose1 w:val="02010600030101010101"/>
    <w:charset w:val="86"/>
    <w:family w:val="auto"/>
    <w:pitch w:val="default"/>
    <w:sig w:usb0="00000000" w:usb1="00000000" w:usb2="00000016" w:usb3="00000000" w:csb0="0004000F" w:csb1="00000000"/>
  </w:font>
  <w:font w:name="汉仪中宋简">
    <w:panose1 w:val="02010600000101010101"/>
    <w:charset w:val="80"/>
    <w:family w:val="auto"/>
    <w:pitch w:val="default"/>
    <w:sig w:usb0="800002BF" w:usb1="184F6CF8" w:usb2="00000012" w:usb3="00000000" w:csb0="0002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D4410D">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2D064E">
                          <w:pPr>
                            <w:pStyle w:val="2"/>
                          </w:pPr>
                          <w:r>
                            <w:fldChar w:fldCharType="begin"/>
                          </w:r>
                          <w:r>
                            <w:instrText xml:space="preserve"> PAGE  \* MERGEFORMAT </w:instrText>
                          </w:r>
                          <w:r>
                            <w:fldChar w:fldCharType="separate"/>
                          </w:r>
                          <w:r>
                            <w:t>- 3 -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C2D064E">
                    <w:pPr>
                      <w:pStyle w:val="2"/>
                    </w:pPr>
                    <w:r>
                      <w:fldChar w:fldCharType="begin"/>
                    </w:r>
                    <w:r>
                      <w:instrText xml:space="preserve"> PAGE  \* MERGEFORMAT </w:instrText>
                    </w:r>
                    <w:r>
                      <w:fldChar w:fldCharType="separate"/>
                    </w:r>
                    <w:r>
                      <w:t>- 3 -</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325A52">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D9EF32">
                          <w:pPr>
                            <w:pStyle w:val="2"/>
                          </w:pPr>
                          <w:r>
                            <w:fldChar w:fldCharType="begin"/>
                          </w:r>
                          <w:r>
                            <w:instrText xml:space="preserve"> PAGE  \* MERGEFORMAT </w:instrText>
                          </w:r>
                          <w:r>
                            <w:fldChar w:fldCharType="separate"/>
                          </w:r>
                          <w:r>
                            <w:t>- 2 -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6DD9EF32">
                    <w:pPr>
                      <w:pStyle w:val="2"/>
                    </w:pPr>
                    <w:r>
                      <w:fldChar w:fldCharType="begin"/>
                    </w:r>
                    <w:r>
                      <w:instrText xml:space="preserve"> PAGE  \* MERGEFORMAT </w:instrText>
                    </w:r>
                    <w:r>
                      <w:fldChar w:fldCharType="separate"/>
                    </w:r>
                    <w:r>
                      <w:t>- 2 -</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evenAndOddHeaders w:val="1"/>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RlZjkzMDI0MTNjMzAzOTE5OTE2ZWJkOWI3YWYxZjIifQ=="/>
  </w:docVars>
  <w:rsids>
    <w:rsidRoot w:val="44830056"/>
    <w:rsid w:val="0013480E"/>
    <w:rsid w:val="002B5EC5"/>
    <w:rsid w:val="02A25FA3"/>
    <w:rsid w:val="032F22D7"/>
    <w:rsid w:val="041E03A6"/>
    <w:rsid w:val="064A3792"/>
    <w:rsid w:val="06C5246C"/>
    <w:rsid w:val="06E23172"/>
    <w:rsid w:val="07E30E6A"/>
    <w:rsid w:val="08882B8F"/>
    <w:rsid w:val="08A6011C"/>
    <w:rsid w:val="09B311D9"/>
    <w:rsid w:val="0A60541B"/>
    <w:rsid w:val="0A6A6356"/>
    <w:rsid w:val="0BBF7990"/>
    <w:rsid w:val="0BD83207"/>
    <w:rsid w:val="0D9C05B1"/>
    <w:rsid w:val="116E6670"/>
    <w:rsid w:val="147B4DD2"/>
    <w:rsid w:val="149734DE"/>
    <w:rsid w:val="157C09A2"/>
    <w:rsid w:val="159B76C0"/>
    <w:rsid w:val="177F4959"/>
    <w:rsid w:val="19443ED7"/>
    <w:rsid w:val="19860CBB"/>
    <w:rsid w:val="19F93196"/>
    <w:rsid w:val="1C4954A8"/>
    <w:rsid w:val="1F6446E9"/>
    <w:rsid w:val="1FA01D91"/>
    <w:rsid w:val="20500ED0"/>
    <w:rsid w:val="216A60EE"/>
    <w:rsid w:val="226E45A1"/>
    <w:rsid w:val="246C6674"/>
    <w:rsid w:val="254D4CED"/>
    <w:rsid w:val="264C3561"/>
    <w:rsid w:val="26587E05"/>
    <w:rsid w:val="26DD78FA"/>
    <w:rsid w:val="27285125"/>
    <w:rsid w:val="27767BD4"/>
    <w:rsid w:val="29D73F73"/>
    <w:rsid w:val="2B0D4CF3"/>
    <w:rsid w:val="2ED34265"/>
    <w:rsid w:val="2FD95190"/>
    <w:rsid w:val="3072641F"/>
    <w:rsid w:val="30BD4094"/>
    <w:rsid w:val="361D0CC8"/>
    <w:rsid w:val="389463E6"/>
    <w:rsid w:val="38D0667A"/>
    <w:rsid w:val="397057BA"/>
    <w:rsid w:val="3A287454"/>
    <w:rsid w:val="3A8E56D6"/>
    <w:rsid w:val="3BC40B6B"/>
    <w:rsid w:val="3BCF4F6D"/>
    <w:rsid w:val="3C217AB5"/>
    <w:rsid w:val="3C4F386E"/>
    <w:rsid w:val="3CB72FC7"/>
    <w:rsid w:val="3CE369A7"/>
    <w:rsid w:val="3D1322CC"/>
    <w:rsid w:val="404D068A"/>
    <w:rsid w:val="4064002A"/>
    <w:rsid w:val="40BF1F83"/>
    <w:rsid w:val="415D0350"/>
    <w:rsid w:val="41A9070B"/>
    <w:rsid w:val="42366307"/>
    <w:rsid w:val="42A7368D"/>
    <w:rsid w:val="44830056"/>
    <w:rsid w:val="45DF0B0C"/>
    <w:rsid w:val="4607430F"/>
    <w:rsid w:val="46481A28"/>
    <w:rsid w:val="482C3C45"/>
    <w:rsid w:val="4B6A67AF"/>
    <w:rsid w:val="4DED7949"/>
    <w:rsid w:val="4F7C5E20"/>
    <w:rsid w:val="4FC97105"/>
    <w:rsid w:val="506B2906"/>
    <w:rsid w:val="50912370"/>
    <w:rsid w:val="50F44A3F"/>
    <w:rsid w:val="50F60038"/>
    <w:rsid w:val="515D6240"/>
    <w:rsid w:val="5372556F"/>
    <w:rsid w:val="5491340A"/>
    <w:rsid w:val="555D576C"/>
    <w:rsid w:val="55D82008"/>
    <w:rsid w:val="56695AF8"/>
    <w:rsid w:val="56FA762A"/>
    <w:rsid w:val="57E51DFF"/>
    <w:rsid w:val="58F31111"/>
    <w:rsid w:val="5903789E"/>
    <w:rsid w:val="591F40F5"/>
    <w:rsid w:val="5A9D4803"/>
    <w:rsid w:val="5AC47178"/>
    <w:rsid w:val="5D361A90"/>
    <w:rsid w:val="5DA5282A"/>
    <w:rsid w:val="5E1E6E66"/>
    <w:rsid w:val="5E3E1E87"/>
    <w:rsid w:val="5FF033B4"/>
    <w:rsid w:val="60984AF0"/>
    <w:rsid w:val="60B035D2"/>
    <w:rsid w:val="60D9455E"/>
    <w:rsid w:val="611B3993"/>
    <w:rsid w:val="62492FC8"/>
    <w:rsid w:val="641E082D"/>
    <w:rsid w:val="65E07F9F"/>
    <w:rsid w:val="66BA2AB4"/>
    <w:rsid w:val="677166D9"/>
    <w:rsid w:val="6A6F058B"/>
    <w:rsid w:val="6B88203D"/>
    <w:rsid w:val="6DDA7AC5"/>
    <w:rsid w:val="70A740AF"/>
    <w:rsid w:val="71D27252"/>
    <w:rsid w:val="71F0683E"/>
    <w:rsid w:val="73133AF6"/>
    <w:rsid w:val="73F64EC7"/>
    <w:rsid w:val="755D741D"/>
    <w:rsid w:val="75612B02"/>
    <w:rsid w:val="761D3B0F"/>
    <w:rsid w:val="767E43DA"/>
    <w:rsid w:val="77262DDE"/>
    <w:rsid w:val="77426F77"/>
    <w:rsid w:val="796E5BA3"/>
    <w:rsid w:val="7A2B5BC9"/>
    <w:rsid w:val="7D020E63"/>
    <w:rsid w:val="7E4C6A48"/>
    <w:rsid w:val="7F3E3F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unhideWhenUsed/>
    <w:qFormat/>
    <w:uiPriority w:val="99"/>
    <w:pPr>
      <w:spacing w:before="100" w:beforeAutospacing="1" w:after="100" w:afterAutospacing="1"/>
      <w:ind w:left="0" w:right="0"/>
      <w:jc w:val="left"/>
    </w:pPr>
    <w:rPr>
      <w:kern w:val="0"/>
      <w:sz w:val="24"/>
      <w:lang w:val="en-US" w:eastAsia="zh-CN" w:bidi="ar-SA"/>
    </w:rPr>
  </w:style>
  <w:style w:type="character" w:styleId="7">
    <w:name w:val="Strong"/>
    <w:basedOn w:val="6"/>
    <w:qFormat/>
    <w:uiPriority w:val="0"/>
    <w:rPr>
      <w:b/>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1858</Words>
  <Characters>1909</Characters>
  <Lines>0</Lines>
  <Paragraphs>0</Paragraphs>
  <TotalTime>2</TotalTime>
  <ScaleCrop>false</ScaleCrop>
  <LinksUpToDate>false</LinksUpToDate>
  <CharactersWithSpaces>2084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2020-01-10T01:05:00Z</dcterms:created>
  <dc:creator>秋</dc:creator>
  <cp:lastModifiedBy>丽</cp:lastModifiedBy>
  <cp:lastPrinted>2026-02-11T02:12:20Z</cp:lastPrinted>
  <dcterms:modified xsi:type="dcterms:W3CDTF">2026-02-11T03:26:08Z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6591CBFB52224DEA9DA8EAAACA0FC56A_13</vt:lpwstr>
  </property>
  <property fmtid="{D5CDD505-2E9C-101B-9397-08002B2CF9AE}" pid="4" name="KSOTemplateDocerSaveRecord">
    <vt:lpwstr>eyJoZGlkIjoiM2RkNDJhOGU0YTNlMWI0OWViZjc3N2IxMTQwNzgyMWMiLCJ1c2VySWQiOiI2MDUzMDAzNzcifQ==</vt:lpwstr>
  </property>
</Properties>
</file>