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r>
        <w:fldChar w:fldCharType="begin"/>
      </w:r>
      <w:r>
        <w:instrText xml:space="preserve">TOC \o "4-4" \h \z \u </w:instrText>
      </w:r>
      <w:r>
        <w:fldChar w:fldCharType="separate"/>
      </w:r>
      <w:r>
        <w:rPr>
          <w:rFonts w:ascii="方正楷体_GBK" w:eastAsia="方正楷体_GBK" w:cs="方正楷体_GBK" w:hAnsi="方正楷体_GBK" w:hint="eastAsia"/>
          <w:b/>
          <w:color w:val="000000"/>
          <w:sz w:val="28"/>
          <w:lang w:val="en-US" w:eastAsia="zh-CN"/>
        </w:rPr>
        <w:t>单位</w:t>
      </w:r>
      <w:r>
        <w:rPr>
          <w:rFonts w:ascii="方正楷体_GBK" w:eastAsia="方正楷体_GBK" w:cs="方正楷体_GBK" w:hAnsi="方正楷体_GBK"/>
          <w:b/>
          <w:color w:val="000000"/>
          <w:sz w:val="28"/>
        </w:rPr>
        <w:t>预算公开表</w:t>
      </w:r>
    </w:p>
    <w:p>
      <w:pPr>
        <w:pStyle w:val="31"/>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tab/>
      </w:r>
      <w:r>
        <w:fldChar w:fldCharType="begin"/>
      </w:r>
      <w:r>
        <w:instrText>PAGEREF _Toc_2_2_0000000001 \h</w:instrText>
      </w:r>
      <w:r>
        <w:fldChar w:fldCharType="separate"/>
      </w:r>
      <w:r>
        <w:rPr>
          <w:rFonts w:hint="eastAsia"/>
          <w:lang w:val="en-US" w:eastAsia="zh-CN"/>
        </w:rPr>
        <w:t>1</w:t>
      </w:r>
      <w:r>
        <w:fldChar w:fldCharType="end"/>
      </w:r>
      <w:r>
        <w:fldChar w:fldCharType="end"/>
      </w:r>
    </w:p>
    <w:p>
      <w:pPr>
        <w:pStyle w:val="31"/>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tab/>
      </w:r>
      <w:r>
        <w:fldChar w:fldCharType="begin"/>
      </w:r>
      <w:r>
        <w:instrText>PAGEREF _Toc_2_2_0000000002 \h</w:instrText>
      </w:r>
      <w:r>
        <w:fldChar w:fldCharType="separate"/>
      </w:r>
      <w:r>
        <w:rPr>
          <w:rFonts w:hint="eastAsia"/>
          <w:lang w:val="en-US" w:eastAsia="zh-CN"/>
        </w:rPr>
        <w:t>3</w:t>
      </w:r>
      <w:r>
        <w:fldChar w:fldCharType="end"/>
      </w:r>
      <w:r>
        <w:fldChar w:fldCharType="end"/>
      </w:r>
    </w:p>
    <w:p>
      <w:pPr>
        <w:pStyle w:val="31"/>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tab/>
      </w:r>
      <w:r>
        <w:fldChar w:fldCharType="begin"/>
      </w:r>
      <w:r>
        <w:instrText>PAGEREF _Toc_2_2_0000000003 \h</w:instrText>
      </w:r>
      <w:r>
        <w:fldChar w:fldCharType="separate"/>
      </w:r>
      <w:r>
        <w:rPr>
          <w:rFonts w:hint="eastAsia"/>
          <w:lang w:val="en-US" w:eastAsia="zh-CN"/>
        </w:rPr>
        <w:t>.5</w:t>
      </w:r>
      <w:r>
        <w:fldChar w:fldCharType="end"/>
      </w:r>
      <w:r>
        <w:fldChar w:fldCharType="end"/>
      </w:r>
    </w:p>
    <w:p>
      <w:pPr>
        <w:pStyle w:val="31"/>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tab/>
      </w:r>
      <w:r>
        <w:fldChar w:fldCharType="end"/>
      </w:r>
      <w:r>
        <w:t>6</w:t>
      </w:r>
    </w:p>
    <w:p>
      <w:pPr>
        <w:pStyle w:val="31"/>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tab/>
      </w:r>
      <w:r>
        <w:fldChar w:fldCharType="end"/>
      </w:r>
      <w:r>
        <w:t>9</w:t>
      </w:r>
    </w:p>
    <w:p>
      <w:pPr>
        <w:pStyle w:val="31"/>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tab/>
      </w:r>
      <w:r>
        <w:rPr>
          <w:rFonts w:hint="eastAsia"/>
          <w:lang w:val="en-US" w:eastAsia="zh-CN"/>
        </w:rPr>
        <w:t>1</w:t>
      </w:r>
      <w:r>
        <w:fldChar w:fldCharType="end"/>
      </w:r>
      <w:r>
        <w:t>0</w:t>
      </w:r>
    </w:p>
    <w:p>
      <w:pPr>
        <w:pStyle w:val="31"/>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tab/>
      </w:r>
      <w:r>
        <w:rPr>
          <w:rFonts w:hint="eastAsia"/>
          <w:lang w:val="en-US" w:eastAsia="zh-CN"/>
        </w:rPr>
        <w:t>1</w:t>
      </w:r>
      <w:r>
        <w:fldChar w:fldCharType="end"/>
      </w:r>
      <w:r>
        <w:t>1</w:t>
      </w:r>
    </w:p>
    <w:p>
      <w:pPr>
        <w:pStyle w:val="31"/>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tab/>
      </w:r>
      <w:r>
        <w:rPr>
          <w:rFonts w:hint="eastAsia"/>
          <w:lang w:val="en-US" w:eastAsia="zh-CN"/>
        </w:rPr>
        <w:t>1</w:t>
      </w:r>
      <w:r>
        <w:fldChar w:fldCharType="end"/>
      </w:r>
      <w:r>
        <w:t>2</w:t>
      </w:r>
    </w:p>
    <w:p>
      <w:pPr>
        <w:pStyle w:val="31"/>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tab/>
      </w:r>
      <w:r>
        <w:rPr>
          <w:rFonts w:hint="eastAsia"/>
          <w:lang w:val="en-US" w:eastAsia="zh-CN"/>
        </w:rPr>
        <w:t>1</w:t>
      </w:r>
      <w:r>
        <w:fldChar w:fldCharType="end"/>
      </w:r>
      <w:r>
        <w:t>3</w:t>
      </w:r>
    </w:p>
    <w:p>
      <w:r>
        <w:fldChar w:fldCharType="end"/>
      </w:r>
    </w:p>
    <w:p>
      <w:r>
        <w:rPr>
          <w:rFonts w:ascii="方正楷体_GBK" w:eastAsia="方正楷体_GBK" w:cs="方正楷体_GBK" w:hAnsi="方正楷体_GBK" w:hint="eastAsia"/>
          <w:b/>
          <w:color w:val="000000"/>
          <w:sz w:val="28"/>
          <w:lang w:val="en-US" w:eastAsia="zh-CN"/>
        </w:rPr>
        <w:t>单位</w:t>
      </w:r>
      <w:r>
        <w:rPr>
          <w:rFonts w:ascii="方正楷体_GBK" w:eastAsia="方正楷体_GBK" w:cs="方正楷体_GBK" w:hAnsi="方正楷体_GBK"/>
          <w:b/>
          <w:color w:val="000000"/>
          <w:sz w:val="28"/>
        </w:rPr>
        <w:t>预算信息公开情况说明</w:t>
      </w:r>
    </w:p>
    <w:p>
      <w:pPr>
        <w:pStyle w:val="31"/>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tab/>
      </w:r>
      <w:r>
        <w:rPr>
          <w:rFonts w:hint="eastAsia"/>
          <w:lang w:val="en-US" w:eastAsia="zh-CN"/>
        </w:rPr>
        <w:t>1</w:t>
      </w:r>
      <w:r>
        <w:fldChar w:fldCharType="end"/>
      </w:r>
      <w:r>
        <w:t>4</w:t>
      </w:r>
    </w:p>
    <w:p>
      <w:pPr>
        <w:pStyle w:val="31"/>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tab/>
      </w:r>
      <w:r>
        <w:rPr>
          <w:rFonts w:hint="eastAsia"/>
          <w:lang w:val="en-US" w:eastAsia="zh-CN"/>
        </w:rPr>
        <w:t>1</w:t>
      </w:r>
      <w:r>
        <w:fldChar w:fldCharType="end"/>
      </w:r>
      <w:r>
        <w:t>5</w:t>
      </w:r>
    </w:p>
    <w:p>
      <w:pPr>
        <w:pStyle w:val="31"/>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rPr>
          <w:rFonts w:hint="eastAsia"/>
          <w:lang w:val="en-US" w:eastAsia="zh-CN"/>
        </w:rPr>
        <w:t>1</w:t>
      </w:r>
      <w:r>
        <w:fldChar w:fldCharType="end"/>
      </w:r>
      <w:r>
        <w:t>5</w:t>
      </w:r>
    </w:p>
    <w:p>
      <w:pPr>
        <w:pStyle w:val="31"/>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rPr>
          <w:rFonts w:hint="eastAsia"/>
          <w:lang w:val="en-US" w:eastAsia="zh-CN"/>
        </w:rPr>
        <w:t>.1</w:t>
      </w:r>
      <w:r>
        <w:fldChar w:fldCharType="end"/>
      </w:r>
      <w:r>
        <w:fldChar w:fldCharType="end"/>
      </w:r>
      <w:r>
        <w:t>5</w:t>
      </w:r>
    </w:p>
    <w:p>
      <w:pPr>
        <w:pStyle w:val="31"/>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w:t>
      </w:r>
      <w:r>
        <w:rPr>
          <w:rFonts w:hint="eastAsia"/>
          <w:lang w:val="en-US" w:eastAsia="zh-CN"/>
        </w:rPr>
        <w:t>单位项目预算安排情况及绩效目标</w:t>
      </w:r>
      <w:r>
        <w:tab/>
      </w:r>
      <w:r>
        <w:rPr>
          <w:rFonts w:hint="eastAsia"/>
          <w:lang w:val="en-US" w:eastAsia="zh-CN"/>
        </w:rPr>
        <w:t>1</w:t>
      </w:r>
      <w:r>
        <w:fldChar w:fldCharType="end"/>
      </w:r>
      <w:r>
        <w:t>6</w:t>
      </w:r>
    </w:p>
    <w:p>
      <w:pPr>
        <w:pStyle w:val="31"/>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tab/>
      </w:r>
      <w:r>
        <w:rPr>
          <w:rFonts w:hint="eastAsia"/>
          <w:lang w:val="en-US" w:eastAsia="zh-CN"/>
        </w:rPr>
        <w:t>2</w:t>
      </w:r>
      <w:r>
        <w:fldChar w:fldCharType="end"/>
      </w:r>
      <w:r>
        <w:t>1</w:t>
      </w:r>
    </w:p>
    <w:p>
      <w:pPr>
        <w:pStyle w:val="31"/>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tab/>
      </w:r>
      <w:r>
        <w:fldChar w:fldCharType="begin"/>
      </w:r>
      <w:r>
        <w:instrText>PAGEREF _Toc_3_3_0000000018 \h</w:instrText>
      </w:r>
      <w:r>
        <w:fldChar w:fldCharType="separate"/>
      </w:r>
      <w:r>
        <w:rPr>
          <w:rFonts w:hint="eastAsia"/>
          <w:lang w:val="en-US" w:eastAsia="zh-CN"/>
        </w:rPr>
        <w:t>2</w:t>
      </w:r>
      <w:r>
        <w:fldChar w:fldCharType="end"/>
      </w:r>
      <w:r>
        <w:fldChar w:fldCharType="end"/>
      </w:r>
      <w:r>
        <w:t>1</w:t>
      </w:r>
    </w:p>
    <w:p>
      <w:pPr>
        <w:pStyle w:val="31"/>
        <w:tabs>
          <w:tab w:val="right" w:leader="dot" w:pos="14562"/>
        </w:tabs>
        <w:rPr>
          <w:rFonts w:eastAsia="方正仿宋_GBK" w:hint="eastAsia"/>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tab/>
      </w:r>
      <w:r>
        <w:rPr>
          <w:rFonts w:hint="eastAsia"/>
          <w:lang w:val="en-US" w:eastAsia="zh-CN"/>
        </w:rPr>
        <w:t>2</w:t>
      </w:r>
      <w:r>
        <w:fldChar w:fldCharType="end"/>
      </w:r>
      <w:r>
        <w:t>2</w:t>
      </w:r>
    </w:p>
    <w:p>
      <w:pPr>
        <w:pStyle w:val="31"/>
        <w:tabs>
          <w:tab w:val="right" w:leader="dot" w:pos="14562"/>
        </w:tabs>
        <w:rPr>
          <w:rFonts w:eastAsia="方正仿宋_GBK" w:hint="eastAsia"/>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tab/>
      </w:r>
      <w:r>
        <w:rPr>
          <w:rFonts w:hint="eastAsia"/>
          <w:lang w:val="en-US" w:eastAsia="zh-CN"/>
        </w:rPr>
        <w:t>2</w:t>
      </w:r>
      <w:r>
        <w:fldChar w:fldCharType="end"/>
      </w:r>
      <w:r>
        <w:t>3</w:t>
      </w:r>
    </w:p>
    <w:p>
      <w:pPr>
        <w:pStyle w:val="31"/>
        <w:tabs>
          <w:tab w:val="right" w:leader="dot" w:pos="14562"/>
        </w:tabs>
      </w:pP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501001隆尧县信访局本级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174.99</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156.72</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8.15</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3.96</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6.16</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174.99</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174.99</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174.99</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174.99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501001隆尧县信访局本级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r>
              <w:t>174.99</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r>
              <w:t>156.72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20136</w:t>
            </w:r>
          </w:p>
        </w:tc>
        <w:tc>
          <w:tcPr>
            <w:tcW w:w="1559" w:type="dxa"/>
            <w:tcBorders>
              <w:left w:val="single" w:sz="6" w:space="0" w:color="000000"/>
            </w:tcBorders>
            <w:vAlign w:val="center"/>
          </w:tcPr>
          <w:p>
            <w:pPr>
              <w:pStyle w:val="20"/>
            </w:pPr>
            <w:r>
              <w:t>其他共产党事务支出</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2013601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r>
              <w:t>7.15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20140</w:t>
            </w:r>
          </w:p>
        </w:tc>
        <w:tc>
          <w:tcPr>
            <w:tcW w:w="1559" w:type="dxa"/>
            <w:tcBorders>
              <w:left w:val="single" w:sz="6" w:space="0" w:color="000000"/>
            </w:tcBorders>
            <w:vAlign w:val="center"/>
          </w:tcPr>
          <w:p>
            <w:pPr>
              <w:pStyle w:val="20"/>
            </w:pPr>
            <w:r>
              <w:t>信访事务</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r>
              <w:t>149.57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2014001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r>
              <w:t>70.92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2014002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r>
              <w:t>38.65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2014004</w:t>
            </w:r>
          </w:p>
        </w:tc>
        <w:tc>
          <w:tcPr>
            <w:tcW w:w="1559" w:type="dxa"/>
            <w:tcBorders>
              <w:left w:val="single" w:sz="6" w:space="0" w:color="000000"/>
            </w:tcBorders>
            <w:vAlign w:val="center"/>
          </w:tcPr>
          <w:p>
            <w:pPr>
              <w:pStyle w:val="20"/>
            </w:pPr>
            <w:r>
              <w:t>信访业务</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r>
              <w:t>40.00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r>
              <w:t>8.15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r>
              <w:t>3.96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r>
              <w:t>6.16</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174.99</w:t>
            </w:r>
          </w:p>
        </w:tc>
        <w:tc>
          <w:tcPr>
            <w:tcW w:w="1361" w:type="dxa"/>
            <w:tcBorders>
              <w:left w:val="single" w:sz="6" w:space="0" w:color="000000"/>
            </w:tcBorders>
            <w:vAlign w:val="center"/>
          </w:tcPr>
          <w:p>
            <w:pPr>
              <w:pStyle w:val="23"/>
            </w:pPr>
            <w:r>
              <w:t>96.34</w:t>
            </w:r>
          </w:p>
        </w:tc>
        <w:tc>
          <w:tcPr>
            <w:tcW w:w="1361" w:type="dxa"/>
            <w:tcBorders>
              <w:left w:val="single" w:sz="6" w:space="0" w:color="000000"/>
            </w:tcBorders>
            <w:vAlign w:val="center"/>
          </w:tcPr>
          <w:p>
            <w:pPr>
              <w:pStyle w:val="23"/>
            </w:pPr>
            <w:r>
              <w:t>78.65</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156.72</w:t>
            </w:r>
          </w:p>
        </w:tc>
        <w:tc>
          <w:tcPr>
            <w:tcW w:w="1361" w:type="dxa"/>
            <w:tcBorders>
              <w:left w:val="single" w:sz="6" w:space="0" w:color="000000"/>
            </w:tcBorders>
            <w:vAlign w:val="center"/>
          </w:tcPr>
          <w:p>
            <w:pPr>
              <w:pStyle w:val="19"/>
            </w:pPr>
            <w:r>
              <w:t>78.08</w:t>
            </w:r>
          </w:p>
        </w:tc>
        <w:tc>
          <w:tcPr>
            <w:tcW w:w="1361" w:type="dxa"/>
            <w:tcBorders>
              <w:left w:val="single" w:sz="6" w:space="0" w:color="000000"/>
            </w:tcBorders>
            <w:vAlign w:val="center"/>
          </w:tcPr>
          <w:p>
            <w:pPr>
              <w:pStyle w:val="19"/>
            </w:pPr>
            <w:r>
              <w:t>78.65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20136</w:t>
            </w:r>
          </w:p>
        </w:tc>
        <w:tc>
          <w:tcPr>
            <w:tcW w:w="4535" w:type="dxa"/>
            <w:tcBorders>
              <w:left w:val="single" w:sz="6" w:space="0" w:color="000000"/>
            </w:tcBorders>
            <w:vAlign w:val="center"/>
          </w:tcPr>
          <w:p>
            <w:pPr>
              <w:pStyle w:val="20"/>
            </w:pPr>
            <w:r>
              <w:t>其他共产党事务支出</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2013601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r>
              <w:t>7.15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20140</w:t>
            </w:r>
          </w:p>
        </w:tc>
        <w:tc>
          <w:tcPr>
            <w:tcW w:w="4535" w:type="dxa"/>
            <w:tcBorders>
              <w:left w:val="single" w:sz="6" w:space="0" w:color="000000"/>
            </w:tcBorders>
            <w:vAlign w:val="center"/>
          </w:tcPr>
          <w:p>
            <w:pPr>
              <w:pStyle w:val="20"/>
            </w:pPr>
            <w:r>
              <w:t>信访事务</w:t>
            </w:r>
          </w:p>
        </w:tc>
        <w:tc>
          <w:tcPr>
            <w:tcW w:w="1361" w:type="dxa"/>
            <w:tcBorders>
              <w:left w:val="single" w:sz="6" w:space="0" w:color="000000"/>
            </w:tcBorders>
            <w:vAlign w:val="center"/>
          </w:tcPr>
          <w:p>
            <w:pPr>
              <w:pStyle w:val="19"/>
            </w:pPr>
            <w:r>
              <w:t>149.57</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r>
              <w:t>78.65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2014001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r>
              <w:t>70.92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2014002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38.65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38.65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2014004</w:t>
            </w:r>
          </w:p>
        </w:tc>
        <w:tc>
          <w:tcPr>
            <w:tcW w:w="4535" w:type="dxa"/>
            <w:tcBorders>
              <w:left w:val="single" w:sz="6" w:space="0" w:color="000000"/>
            </w:tcBorders>
            <w:vAlign w:val="center"/>
          </w:tcPr>
          <w:p>
            <w:pPr>
              <w:pStyle w:val="20"/>
            </w:pPr>
            <w:r>
              <w:t>信访业务</w:t>
            </w:r>
          </w:p>
        </w:tc>
        <w:tc>
          <w:tcPr>
            <w:tcW w:w="1361" w:type="dxa"/>
            <w:tcBorders>
              <w:left w:val="single" w:sz="6" w:space="0" w:color="000000"/>
            </w:tcBorders>
            <w:vAlign w:val="center"/>
          </w:tcPr>
          <w:p>
            <w:pPr>
              <w:pStyle w:val="19"/>
            </w:pPr>
            <w:r>
              <w:t>40.00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40.00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r>
              <w:t>8.15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r>
              <w:t>3.96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r>
              <w:t>6.16</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174.99</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156.72</w:t>
            </w:r>
          </w:p>
        </w:tc>
        <w:tc>
          <w:tcPr>
            <w:tcW w:w="1474" w:type="dxa"/>
            <w:tcBorders>
              <w:left w:val="single" w:sz="6" w:space="0" w:color="000000"/>
            </w:tcBorders>
            <w:vAlign w:val="center"/>
          </w:tcPr>
          <w:p>
            <w:pPr>
              <w:pStyle w:val="19"/>
            </w:pPr>
            <w:r>
              <w:t>156.72</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8.15</w:t>
            </w:r>
          </w:p>
        </w:tc>
        <w:tc>
          <w:tcPr>
            <w:tcW w:w="1474" w:type="dxa"/>
            <w:tcBorders>
              <w:left w:val="single" w:sz="6" w:space="0" w:color="000000"/>
            </w:tcBorders>
            <w:vAlign w:val="center"/>
          </w:tcPr>
          <w:p>
            <w:pPr>
              <w:pStyle w:val="19"/>
            </w:pPr>
            <w:r>
              <w:t>8.15</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3.96</w:t>
            </w:r>
          </w:p>
        </w:tc>
        <w:tc>
          <w:tcPr>
            <w:tcW w:w="1474" w:type="dxa"/>
            <w:tcBorders>
              <w:left w:val="single" w:sz="6" w:space="0" w:color="000000"/>
            </w:tcBorders>
            <w:vAlign w:val="center"/>
          </w:tcPr>
          <w:p>
            <w:pPr>
              <w:pStyle w:val="19"/>
            </w:pPr>
            <w:r>
              <w:t>3.96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6.16</w:t>
            </w:r>
          </w:p>
        </w:tc>
        <w:tc>
          <w:tcPr>
            <w:tcW w:w="1474" w:type="dxa"/>
            <w:tcBorders>
              <w:left w:val="single" w:sz="6" w:space="0" w:color="000000"/>
            </w:tcBorders>
            <w:vAlign w:val="center"/>
          </w:tcPr>
          <w:p>
            <w:pPr>
              <w:pStyle w:val="19"/>
            </w:pPr>
            <w:r>
              <w:t>6.16</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174.99</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174.99</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r>
              <w:t>174.99</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174.99</w:t>
            </w:r>
          </w:p>
        </w:tc>
        <w:tc>
          <w:tcPr>
            <w:tcW w:w="2551" w:type="dxa"/>
            <w:tcBorders>
              <w:left w:val="single" w:sz="6" w:space="0" w:color="000000"/>
            </w:tcBorders>
            <w:vAlign w:val="center"/>
          </w:tcPr>
          <w:p>
            <w:pPr>
              <w:pStyle w:val="23"/>
            </w:pPr>
            <w:r>
              <w:t>96.34</w:t>
            </w:r>
          </w:p>
        </w:tc>
        <w:tc>
          <w:tcPr>
            <w:tcW w:w="2551" w:type="dxa"/>
            <w:tcBorders>
              <w:left w:val="single" w:sz="6" w:space="0" w:color="000000"/>
            </w:tcBorders>
            <w:vAlign w:val="center"/>
          </w:tcPr>
          <w:p>
            <w:pPr>
              <w:pStyle w:val="23"/>
            </w:pPr>
            <w:r>
              <w:t>78.65</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156.72</w:t>
            </w:r>
          </w:p>
        </w:tc>
        <w:tc>
          <w:tcPr>
            <w:tcW w:w="2551" w:type="dxa"/>
            <w:tcBorders>
              <w:left w:val="single" w:sz="6" w:space="0" w:color="000000"/>
            </w:tcBorders>
            <w:vAlign w:val="center"/>
          </w:tcPr>
          <w:p>
            <w:pPr>
              <w:pStyle w:val="19"/>
            </w:pPr>
            <w:r>
              <w:t>78.08</w:t>
            </w:r>
          </w:p>
        </w:tc>
        <w:tc>
          <w:tcPr>
            <w:tcW w:w="2551" w:type="dxa"/>
            <w:tcBorders>
              <w:left w:val="single" w:sz="6" w:space="0" w:color="000000"/>
            </w:tcBorders>
            <w:vAlign w:val="center"/>
          </w:tcPr>
          <w:p>
            <w:pPr>
              <w:pStyle w:val="19"/>
            </w:pPr>
            <w:r>
              <w:t>78.65</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20136</w:t>
            </w:r>
          </w:p>
        </w:tc>
        <w:tc>
          <w:tcPr>
            <w:tcW w:w="4535" w:type="dxa"/>
            <w:tcBorders>
              <w:left w:val="single" w:sz="6" w:space="0" w:color="000000"/>
            </w:tcBorders>
            <w:vAlign w:val="center"/>
          </w:tcPr>
          <w:p>
            <w:pPr>
              <w:pStyle w:val="20"/>
            </w:pPr>
            <w:r>
              <w:t>其他共产党事务支出</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2013601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20140</w:t>
            </w:r>
          </w:p>
        </w:tc>
        <w:tc>
          <w:tcPr>
            <w:tcW w:w="4535" w:type="dxa"/>
            <w:tcBorders>
              <w:left w:val="single" w:sz="6" w:space="0" w:color="000000"/>
            </w:tcBorders>
            <w:vAlign w:val="center"/>
          </w:tcPr>
          <w:p>
            <w:pPr>
              <w:pStyle w:val="20"/>
            </w:pPr>
            <w:r>
              <w:t>信访事务</w:t>
            </w:r>
          </w:p>
        </w:tc>
        <w:tc>
          <w:tcPr>
            <w:tcW w:w="2551" w:type="dxa"/>
            <w:tcBorders>
              <w:left w:val="single" w:sz="6" w:space="0" w:color="000000"/>
            </w:tcBorders>
            <w:vAlign w:val="center"/>
          </w:tcPr>
          <w:p>
            <w:pPr>
              <w:pStyle w:val="19"/>
            </w:pPr>
            <w:r>
              <w:t>149.57</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r>
              <w:t>78.65</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2014001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r>
              <w:t>70.92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2014002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38.65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38.65</w:t>
            </w: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2014004</w:t>
            </w:r>
          </w:p>
        </w:tc>
        <w:tc>
          <w:tcPr>
            <w:tcW w:w="4535" w:type="dxa"/>
            <w:tcBorders>
              <w:left w:val="single" w:sz="6" w:space="0" w:color="000000"/>
            </w:tcBorders>
            <w:vAlign w:val="center"/>
          </w:tcPr>
          <w:p>
            <w:pPr>
              <w:pStyle w:val="20"/>
            </w:pPr>
            <w:r>
              <w:t>信访业务</w:t>
            </w:r>
          </w:p>
        </w:tc>
        <w:tc>
          <w:tcPr>
            <w:tcW w:w="2551" w:type="dxa"/>
            <w:tcBorders>
              <w:left w:val="single" w:sz="6" w:space="0" w:color="000000"/>
            </w:tcBorders>
            <w:vAlign w:val="center"/>
          </w:tcPr>
          <w:p>
            <w:pPr>
              <w:pStyle w:val="19"/>
            </w:pPr>
            <w:r>
              <w:t>40.00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40.00</w:t>
            </w: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96.34</w:t>
            </w:r>
          </w:p>
        </w:tc>
        <w:tc>
          <w:tcPr>
            <w:tcW w:w="2551" w:type="dxa"/>
            <w:tcBorders>
              <w:left w:val="single" w:sz="6" w:space="0" w:color="000000"/>
            </w:tcBorders>
            <w:vAlign w:val="center"/>
          </w:tcPr>
          <w:p>
            <w:pPr>
              <w:pStyle w:val="23"/>
            </w:pPr>
            <w:r>
              <w:t>87.58</w:t>
            </w:r>
          </w:p>
        </w:tc>
        <w:tc>
          <w:tcPr>
            <w:tcW w:w="2551" w:type="dxa"/>
            <w:tcBorders>
              <w:left w:val="single" w:sz="6" w:space="0" w:color="000000"/>
            </w:tcBorders>
            <w:vAlign w:val="center"/>
          </w:tcPr>
          <w:p>
            <w:pPr>
              <w:pStyle w:val="23"/>
            </w:pPr>
            <w:r>
              <w:t>8.76</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80.43</w:t>
            </w:r>
          </w:p>
        </w:tc>
        <w:tc>
          <w:tcPr>
            <w:tcW w:w="2551" w:type="dxa"/>
            <w:tcBorders>
              <w:left w:val="single" w:sz="6" w:space="0" w:color="000000"/>
            </w:tcBorders>
            <w:vAlign w:val="center"/>
          </w:tcPr>
          <w:p>
            <w:pPr>
              <w:pStyle w:val="19"/>
            </w:pPr>
            <w:r>
              <w:t>80.43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32.69</w:t>
            </w:r>
          </w:p>
        </w:tc>
        <w:tc>
          <w:tcPr>
            <w:tcW w:w="2551" w:type="dxa"/>
            <w:tcBorders>
              <w:left w:val="single" w:sz="6" w:space="0" w:color="000000"/>
            </w:tcBorders>
            <w:vAlign w:val="center"/>
          </w:tcPr>
          <w:p>
            <w:pPr>
              <w:pStyle w:val="19"/>
            </w:pPr>
            <w:r>
              <w:t>32.69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13.64</w:t>
            </w:r>
          </w:p>
        </w:tc>
        <w:tc>
          <w:tcPr>
            <w:tcW w:w="2551" w:type="dxa"/>
            <w:tcBorders>
              <w:left w:val="single" w:sz="6" w:space="0" w:color="000000"/>
            </w:tcBorders>
            <w:vAlign w:val="center"/>
          </w:tcPr>
          <w:p>
            <w:pPr>
              <w:pStyle w:val="19"/>
            </w:pPr>
            <w:r>
              <w:t>13.64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13.04</w:t>
            </w:r>
          </w:p>
        </w:tc>
        <w:tc>
          <w:tcPr>
            <w:tcW w:w="2551" w:type="dxa"/>
            <w:tcBorders>
              <w:left w:val="single" w:sz="6" w:space="0" w:color="000000"/>
            </w:tcBorders>
            <w:vAlign w:val="center"/>
          </w:tcPr>
          <w:p>
            <w:pPr>
              <w:pStyle w:val="19"/>
            </w:pPr>
            <w:r>
              <w:t>13.04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r>
              <w:t>8.15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r>
              <w:t>3.96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0.23</w:t>
            </w:r>
          </w:p>
        </w:tc>
        <w:tc>
          <w:tcPr>
            <w:tcW w:w="2551" w:type="dxa"/>
            <w:tcBorders>
              <w:left w:val="single" w:sz="6" w:space="0" w:color="000000"/>
            </w:tcBorders>
            <w:vAlign w:val="center"/>
          </w:tcPr>
          <w:p>
            <w:pPr>
              <w:pStyle w:val="19"/>
            </w:pPr>
            <w:r>
              <w:t>0.23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r>
              <w:t>6.16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8.76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8.76</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1.18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1.18</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30202</w:t>
            </w:r>
          </w:p>
        </w:tc>
        <w:tc>
          <w:tcPr>
            <w:tcW w:w="4535" w:type="dxa"/>
            <w:tcBorders>
              <w:left w:val="single" w:sz="6" w:space="0" w:color="000000"/>
            </w:tcBorders>
            <w:vAlign w:val="center"/>
          </w:tcPr>
          <w:p>
            <w:pPr>
              <w:pStyle w:val="20"/>
            </w:pPr>
            <w:r>
              <w:t>印刷费</w:t>
            </w:r>
          </w:p>
        </w:tc>
        <w:tc>
          <w:tcPr>
            <w:tcW w:w="2551" w:type="dxa"/>
            <w:tcBorders>
              <w:left w:val="single" w:sz="6" w:space="0" w:color="000000"/>
            </w:tcBorders>
            <w:vAlign w:val="center"/>
          </w:tcPr>
          <w:p>
            <w:pPr>
              <w:pStyle w:val="19"/>
            </w:pPr>
            <w:r>
              <w:t>1.10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1.10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30213</w:t>
            </w:r>
          </w:p>
        </w:tc>
        <w:tc>
          <w:tcPr>
            <w:tcW w:w="4535" w:type="dxa"/>
            <w:tcBorders>
              <w:left w:val="single" w:sz="6" w:space="0" w:color="000000"/>
            </w:tcBorders>
            <w:vAlign w:val="center"/>
          </w:tcPr>
          <w:p>
            <w:pPr>
              <w:pStyle w:val="20"/>
            </w:pPr>
            <w:r>
              <w:t>维修（护）费</w:t>
            </w:r>
          </w:p>
        </w:tc>
        <w:tc>
          <w:tcPr>
            <w:tcW w:w="2551" w:type="dxa"/>
            <w:tcBorders>
              <w:left w:val="single" w:sz="6" w:space="0" w:color="000000"/>
            </w:tcBorders>
            <w:vAlign w:val="center"/>
          </w:tcPr>
          <w:p>
            <w:pPr>
              <w:pStyle w:val="19"/>
            </w:pPr>
            <w:r>
              <w:t>0.60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0.60</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30228</w:t>
            </w:r>
          </w:p>
        </w:tc>
        <w:tc>
          <w:tcPr>
            <w:tcW w:w="4535" w:type="dxa"/>
            <w:tcBorders>
              <w:left w:val="single" w:sz="6" w:space="0" w:color="000000"/>
            </w:tcBorders>
            <w:vAlign w:val="center"/>
          </w:tcPr>
          <w:p>
            <w:pPr>
              <w:pStyle w:val="20"/>
            </w:pPr>
            <w:r>
              <w:t>工会经费</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5.52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5.52</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0.18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0.18</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303</w:t>
            </w:r>
          </w:p>
        </w:tc>
        <w:tc>
          <w:tcPr>
            <w:tcW w:w="4535" w:type="dxa"/>
            <w:tcBorders>
              <w:left w:val="single" w:sz="6" w:space="0" w:color="000000"/>
            </w:tcBorders>
            <w:vAlign w:val="center"/>
          </w:tcPr>
          <w:p>
            <w:pPr>
              <w:pStyle w:val="20"/>
            </w:pPr>
            <w:r>
              <w:t>对个人和家庭的补助</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30302</w:t>
            </w:r>
          </w:p>
        </w:tc>
        <w:tc>
          <w:tcPr>
            <w:tcW w:w="4535" w:type="dxa"/>
            <w:tcBorders>
              <w:left w:val="single" w:sz="6" w:space="0" w:color="000000"/>
            </w:tcBorders>
            <w:vAlign w:val="center"/>
          </w:tcPr>
          <w:p>
            <w:pPr>
              <w:pStyle w:val="20"/>
            </w:pPr>
            <w:r>
              <w:t>退休费</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r>
              <w:t>7.15</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501001隆尧县信访局本级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隆尧县信访局本级2026年单位预算信息公开情况说明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按照《中华人民共和国预算法》、《地方预决算公开操作规程》和《关于进一步推进预算公开工作的实施意见》规定，现将隆尧县信访局本级2026年单位预算公开如下：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3"/>
      </w:pPr>
      <w:r>
        <w:t>隆尧县信访局是县委设立的主管信访工作的职能部门，依照宪法和地方组织法的规定，其主要职责是:</w:t>
      </w:r>
    </w:p>
    <w:p>
      <w:pPr>
        <w:pStyle w:val="33"/>
      </w:pPr>
      <w:r>
        <w:t xml:space="preserve">（一）依据党的路线、方针、政策和国家的法律、法规，受理、交办、转送信访人提出的信访事项。  </w:t>
      </w:r>
    </w:p>
    <w:p>
      <w:pPr>
        <w:pStyle w:val="33"/>
      </w:pPr>
      <w:r>
        <w:t xml:space="preserve">（二）贯彻落实各项信访工作制度，完成上级和本级党委、政府交办处理的信访事项。  </w:t>
      </w:r>
    </w:p>
    <w:p>
      <w:pPr>
        <w:pStyle w:val="33"/>
      </w:pPr>
      <w:r>
        <w:t xml:space="preserve">（三）指导各乡镇、县直部门的信访工作，负责对全县信访工作的协调处理和督查督办。  </w:t>
      </w:r>
    </w:p>
    <w:p>
      <w:pPr>
        <w:pStyle w:val="33"/>
      </w:pPr>
      <w:r>
        <w:t xml:space="preserve">（四）负责全县信访干部的教育培训工作。  </w:t>
      </w:r>
    </w:p>
    <w:p>
      <w:pPr>
        <w:pStyle w:val="33"/>
      </w:pPr>
      <w:r>
        <w:t xml:space="preserve">（五）负责县信访工作领导小组办公室和县信访联席会议办公室的日常工作，完成领导小组和联席会议交办的工作任务。  </w:t>
      </w:r>
    </w:p>
    <w:p>
      <w:pPr>
        <w:pStyle w:val="33"/>
      </w:pPr>
      <w:r>
        <w:t xml:space="preserve">（六）配合县委组织部做好到县信访局挂职锻炼干部的管理与考核。  </w:t>
      </w:r>
    </w:p>
    <w:p>
      <w:pPr>
        <w:pStyle w:val="33"/>
      </w:pPr>
      <w:r>
        <w:t>（七）完成领导交办的其他工作。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隆尧县信访局本级</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按照预算管理有关规定，目前我单位预算的编制实行综合预算管理，即全部收入和支出都反映在预算中。</w:t>
      </w:r>
    </w:p>
    <w:p>
      <w:pPr>
        <w:pStyle w:val="26"/>
      </w:pPr>
      <w:r>
        <w:t>1、收入说明</w:t>
      </w:r>
    </w:p>
    <w:p>
      <w:pPr>
        <w:pStyle w:val="26"/>
      </w:pPr>
      <w:r>
        <w:t>2026年预算收入174.99万元，其中：一般公共预算收入174.99万元，基金预算收入0万元，财政专户核拨收入0万元，其他来源收入（单位资金）0万元。</w:t>
      </w:r>
    </w:p>
    <w:p>
      <w:pPr>
        <w:pStyle w:val="26"/>
      </w:pPr>
      <w:r>
        <w:t>2、支出说明</w:t>
      </w:r>
    </w:p>
    <w:p>
      <w:pPr>
        <w:pStyle w:val="26"/>
      </w:pPr>
      <w:r>
        <w:t>收支预算总表支出栏、基本支出表、项目支出表按经济分类和支出功能分类科目编制，反映隆尧县信访局2026年度单位预算中支出预算的总体情况。2026年支出预算174.99万元，其中基本支出96.34万元，包括人员经费87.58万元和日常公用经费8.76万元；项目支出78.65万元，主要为信访运行经费25.77万元，信访事务经费40万元，退役军人公益岗8.08万元，劳务派遣人员4.8万元。</w:t>
      </w:r>
    </w:p>
    <w:p>
      <w:pPr>
        <w:pStyle w:val="26"/>
      </w:pPr>
      <w:r>
        <w:t>3、比上年增减情况</w:t>
      </w:r>
    </w:p>
    <w:p>
      <w:pPr>
        <w:pStyle w:val="26"/>
      </w:pPr>
      <w:r>
        <w:t>2026年预算收支安排174.99万元，较2025年年初预算减少2.68万元，其中：基本支出减少23.73万元，主要为人员经费支出减少；日常公用经费增加0.02万元，主要是人员增加；项目支出增加21.05万元，主要原因为信访运行经费增加。</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2026年，我局机关运行经费共计安排8.76万元，主要用于日常办公费、印刷费，差旅费、维修费等日常运行支出。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2026年，我局财政拨款“三公”经费预算安排0万元，其中因公出国（境）费0万元；公务用车购置及运维费0万元；公务接待费0万元。与2025年相比无变化。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1、劳务派遣人员绩效目标表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13052526P000003100072</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劳务派遣人员</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保证我单位热线劳务派遣人员社保及工资正常发放。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1.进一步畅通全县群众诉求反映渠道，按时发放劳务派遣人员劳务费。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通过信访热线一次性解决问题率</w:t>
            </w:r>
          </w:p>
        </w:tc>
        <w:tc>
          <w:tcPr>
            <w:tcW w:w="5386" w:type="dxa"/>
            <w:tcBorders>
              <w:left w:val="single" w:sz="6" w:space="0" w:color="000000"/>
            </w:tcBorders>
            <w:vAlign w:val="center"/>
          </w:tcPr>
          <w:p>
            <w:pPr>
              <w:pStyle w:val="20"/>
            </w:pPr>
            <w:r>
              <w:t>通过信访热线一次性解决问题件数占总信访热线件数的比例。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热线问题息诉罢访率</w:t>
            </w:r>
          </w:p>
        </w:tc>
        <w:tc>
          <w:tcPr>
            <w:tcW w:w="5386" w:type="dxa"/>
            <w:tcBorders>
              <w:left w:val="single" w:sz="6" w:space="0" w:color="000000"/>
            </w:tcBorders>
            <w:vAlign w:val="center"/>
          </w:tcPr>
          <w:p>
            <w:pPr>
              <w:pStyle w:val="20"/>
            </w:pPr>
            <w:r>
              <w:t>热线反映问题息诉件数占总反映信访热线问题件数比例（%）</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热线问题及时转送率（%）</w:t>
            </w:r>
          </w:p>
        </w:tc>
        <w:tc>
          <w:tcPr>
            <w:tcW w:w="5386" w:type="dxa"/>
            <w:tcBorders>
              <w:left w:val="single" w:sz="6" w:space="0" w:color="000000"/>
            </w:tcBorders>
            <w:vAlign w:val="center"/>
          </w:tcPr>
          <w:p>
            <w:pPr>
              <w:pStyle w:val="20"/>
            </w:pPr>
            <w:r>
              <w:t>及时转送信访热线问题占总接收信访热线问题件数比率（%）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热线工作人员补贴发放标准</w:t>
            </w:r>
          </w:p>
        </w:tc>
        <w:tc>
          <w:tcPr>
            <w:tcW w:w="5386" w:type="dxa"/>
            <w:tcBorders>
              <w:left w:val="single" w:sz="6" w:space="0" w:color="000000"/>
            </w:tcBorders>
            <w:vAlign w:val="center"/>
          </w:tcPr>
          <w:p>
            <w:pPr>
              <w:pStyle w:val="20"/>
            </w:pPr>
            <w:r>
              <w:t>信访热线工作人员每月津补贴发放标准数额。</w:t>
            </w:r>
          </w:p>
        </w:tc>
        <w:tc>
          <w:tcPr>
            <w:tcW w:w="2268" w:type="dxa"/>
            <w:tcBorders>
              <w:left w:val="single" w:sz="6" w:space="0" w:color="000000"/>
            </w:tcBorders>
            <w:vAlign w:val="center"/>
          </w:tcPr>
          <w:p>
            <w:pPr>
              <w:pStyle w:val="20"/>
            </w:pPr>
            <w:r>
              <w:t>2700元</w:t>
            </w:r>
          </w:p>
        </w:tc>
        <w:tc>
          <w:tcPr>
            <w:tcW w:w="1276" w:type="dxa"/>
            <w:tcBorders>
              <w:left w:val="single" w:sz="6" w:space="0" w:color="000000"/>
            </w:tcBorders>
            <w:vAlign w:val="center"/>
          </w:tcPr>
          <w:p>
            <w:pPr>
              <w:pStyle w:val="20"/>
            </w:pPr>
            <w:r>
              <w:t>根据相关文件测算。</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信访热线问题处理及时率</w:t>
            </w:r>
          </w:p>
        </w:tc>
        <w:tc>
          <w:tcPr>
            <w:tcW w:w="5386" w:type="dxa"/>
            <w:tcBorders>
              <w:left w:val="single" w:sz="6" w:space="0" w:color="000000"/>
            </w:tcBorders>
            <w:vAlign w:val="center"/>
          </w:tcPr>
          <w:p>
            <w:pPr>
              <w:pStyle w:val="20"/>
            </w:pPr>
            <w:r>
              <w:t>在规定时间内及时处理的信访热线问题占总信访热线数量的比率。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反映热线问题群众的满意度</w:t>
            </w:r>
          </w:p>
        </w:tc>
        <w:tc>
          <w:tcPr>
            <w:tcW w:w="5386" w:type="dxa"/>
            <w:tcBorders>
              <w:left w:val="single" w:sz="6" w:space="0" w:color="000000"/>
            </w:tcBorders>
            <w:vAlign w:val="center"/>
          </w:tcPr>
          <w:p>
            <w:pPr>
              <w:pStyle w:val="20"/>
            </w:pPr>
            <w:r>
              <w:t>通过问卷调查信访群众满意及较满意占总问卷调查信访群众的比率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根据相关文件测算。</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2、退役军人公益岗绩效目标表</w:t>
      </w:r>
    </w:p>
    <w:tbl>
      <w:tblPr>
        <w:jc w:val="center"/>
        <w:tblW w:w="1530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1815"/>
        <w:gridCol w:w="1729"/>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13052526P008707100106</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退役军人公益岗</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8.08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8.08</w:t>
            </w:r>
          </w:p>
        </w:tc>
        <w:tc>
          <w:tcPr>
            <w:tcW w:w="1815" w:type="dxa"/>
            <w:tcBorders>
              <w:left w:val="single" w:sz="6" w:space="0" w:color="000000"/>
            </w:tcBorders>
            <w:vAlign w:val="center"/>
          </w:tcPr>
          <w:p>
            <w:pPr>
              <w:pStyle w:val="18"/>
            </w:pPr>
            <w:r>
              <w:t>其他资金</w:t>
            </w:r>
          </w:p>
        </w:tc>
        <w:tc>
          <w:tcPr>
            <w:tcW w:w="1729"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保证我单位公益岗社保及津补贴及时发放。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1.2026年度退役专岗社保经费及津补贴及时发放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785"/>
        <w:gridCol w:w="1759"/>
      </w:tblGrid>
      <w:tr>
        <w:trPr>
          <w:trHeight w:val="396"/>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1785" w:type="dxa"/>
            <w:vAlign w:val="center"/>
          </w:tcPr>
          <w:p>
            <w:pPr>
              <w:pStyle w:val="18"/>
            </w:pPr>
            <w:r>
              <w:t>指标值</w:t>
            </w:r>
          </w:p>
        </w:tc>
        <w:tc>
          <w:tcPr>
            <w:tcW w:w="1759" w:type="dxa"/>
            <w:vAlign w:val="center"/>
          </w:tcPr>
          <w:p>
            <w:pPr>
              <w:pStyle w:val="18"/>
            </w:pPr>
            <w:r>
              <w:t>指标值确定依据</w:t>
            </w:r>
          </w:p>
        </w:tc>
      </w:tr>
      <w:tr>
        <w:trPr>
          <w:trHeight w:val="954"/>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退役军人享受待遇覆盖率</w:t>
            </w:r>
          </w:p>
        </w:tc>
        <w:tc>
          <w:tcPr>
            <w:tcW w:w="5386" w:type="dxa"/>
            <w:tcBorders>
              <w:left w:val="single" w:sz="6" w:space="0" w:color="000000"/>
            </w:tcBorders>
            <w:vAlign w:val="center"/>
          </w:tcPr>
          <w:p>
            <w:pPr>
              <w:pStyle w:val="20"/>
            </w:pPr>
            <w:r>
              <w:t>已享受退役军人专岗待遇人员占总符合条件的退役军人总量的比率</w:t>
            </w:r>
          </w:p>
        </w:tc>
        <w:tc>
          <w:tcPr>
            <w:tcW w:w="1785" w:type="dxa"/>
            <w:tcBorders>
              <w:left w:val="single" w:sz="6" w:space="0" w:color="000000"/>
            </w:tcBorders>
            <w:vAlign w:val="center"/>
          </w:tcPr>
          <w:p>
            <w:pPr>
              <w:pStyle w:val="20"/>
            </w:pPr>
            <w:r>
              <w:t>≥95%</w:t>
            </w:r>
          </w:p>
        </w:tc>
        <w:tc>
          <w:tcPr>
            <w:tcW w:w="1759" w:type="dxa"/>
            <w:tcBorders>
              <w:left w:val="single" w:sz="6" w:space="0" w:color="000000"/>
            </w:tcBorders>
            <w:vAlign w:val="center"/>
          </w:tcPr>
          <w:p>
            <w:pPr>
              <w:pStyle w:val="20"/>
            </w:pPr>
            <w:r>
              <w:t>隆尧县人民政府会议纪要[2020]15号</w:t>
            </w:r>
          </w:p>
        </w:tc>
      </w:tr>
      <w:tr>
        <w:trPr>
          <w:trHeight w:val="909"/>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退役军人专岗补贴发放符合率</w:t>
            </w:r>
          </w:p>
        </w:tc>
        <w:tc>
          <w:tcPr>
            <w:tcW w:w="5386" w:type="dxa"/>
            <w:tcBorders>
              <w:left w:val="single" w:sz="6" w:space="0" w:color="000000"/>
            </w:tcBorders>
            <w:vAlign w:val="center"/>
          </w:tcPr>
          <w:p>
            <w:pPr>
              <w:pStyle w:val="20"/>
            </w:pPr>
            <w:r>
              <w:t>已发放退役军人专岗补贴专岗补贴占总的应发放补贴人数的比率。</w:t>
            </w:r>
          </w:p>
        </w:tc>
        <w:tc>
          <w:tcPr>
            <w:tcW w:w="1785" w:type="dxa"/>
            <w:tcBorders>
              <w:left w:val="single" w:sz="6" w:space="0" w:color="000000"/>
            </w:tcBorders>
            <w:vAlign w:val="center"/>
          </w:tcPr>
          <w:p>
            <w:pPr>
              <w:pStyle w:val="20"/>
            </w:pPr>
            <w:r>
              <w:t>100%</w:t>
            </w:r>
          </w:p>
        </w:tc>
        <w:tc>
          <w:tcPr>
            <w:tcW w:w="1759" w:type="dxa"/>
            <w:tcBorders>
              <w:left w:val="single" w:sz="6" w:space="0" w:color="000000"/>
            </w:tcBorders>
            <w:vAlign w:val="center"/>
          </w:tcPr>
          <w:p>
            <w:pPr>
              <w:pStyle w:val="20"/>
            </w:pPr>
            <w:r>
              <w:t>隆尧县人民政府会议纪要[2020]15号</w:t>
            </w:r>
          </w:p>
        </w:tc>
      </w:tr>
      <w:tr>
        <w:trPr>
          <w:trHeight w:val="1029"/>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退役专岗补贴发放及时率</w:t>
            </w:r>
          </w:p>
        </w:tc>
        <w:tc>
          <w:tcPr>
            <w:tcW w:w="5386" w:type="dxa"/>
            <w:tcBorders>
              <w:left w:val="single" w:sz="6" w:space="0" w:color="000000"/>
            </w:tcBorders>
            <w:vAlign w:val="center"/>
          </w:tcPr>
          <w:p>
            <w:pPr>
              <w:pStyle w:val="20"/>
            </w:pPr>
            <w:r>
              <w:t>已及时发放退役专岗补贴占总的应发放补贴的比率</w:t>
            </w:r>
          </w:p>
        </w:tc>
        <w:tc>
          <w:tcPr>
            <w:tcW w:w="1785" w:type="dxa"/>
            <w:tcBorders>
              <w:left w:val="single" w:sz="6" w:space="0" w:color="000000"/>
            </w:tcBorders>
            <w:vAlign w:val="center"/>
          </w:tcPr>
          <w:p>
            <w:pPr>
              <w:pStyle w:val="20"/>
            </w:pPr>
            <w:r>
              <w:t>100%</w:t>
            </w:r>
          </w:p>
        </w:tc>
        <w:tc>
          <w:tcPr>
            <w:tcW w:w="1759" w:type="dxa"/>
            <w:tcBorders>
              <w:left w:val="single" w:sz="6" w:space="0" w:color="000000"/>
            </w:tcBorders>
            <w:vAlign w:val="center"/>
          </w:tcPr>
          <w:p>
            <w:pPr>
              <w:pStyle w:val="20"/>
            </w:pPr>
            <w:r>
              <w:t>隆尧县人民政府会议纪要[2020]15号</w:t>
            </w:r>
          </w:p>
        </w:tc>
      </w:tr>
      <w:tr>
        <w:trPr>
          <w:trHeight w:val="1013"/>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经费使用率（%）</w:t>
            </w:r>
          </w:p>
        </w:tc>
        <w:tc>
          <w:tcPr>
            <w:tcW w:w="5386" w:type="dxa"/>
            <w:tcBorders>
              <w:left w:val="single" w:sz="6" w:space="0" w:color="000000"/>
            </w:tcBorders>
            <w:vAlign w:val="center"/>
          </w:tcPr>
          <w:p>
            <w:pPr>
              <w:pStyle w:val="20"/>
            </w:pPr>
            <w:r>
              <w:t>退役专岗补贴经费使用占总补贴的比率</w:t>
            </w:r>
          </w:p>
        </w:tc>
        <w:tc>
          <w:tcPr>
            <w:tcW w:w="1785" w:type="dxa"/>
            <w:tcBorders>
              <w:left w:val="single" w:sz="6" w:space="0" w:color="000000"/>
            </w:tcBorders>
            <w:vAlign w:val="center"/>
          </w:tcPr>
          <w:p>
            <w:pPr>
              <w:pStyle w:val="20"/>
            </w:pPr>
            <w:r>
              <w:t>≥95%</w:t>
            </w:r>
          </w:p>
        </w:tc>
        <w:tc>
          <w:tcPr>
            <w:tcW w:w="1759" w:type="dxa"/>
            <w:tcBorders>
              <w:left w:val="single" w:sz="6" w:space="0" w:color="000000"/>
            </w:tcBorders>
            <w:vAlign w:val="center"/>
          </w:tcPr>
          <w:p>
            <w:pPr>
              <w:pStyle w:val="20"/>
            </w:pPr>
            <w:r>
              <w:t>隆尧县人民政府会议纪要[2020]15号</w:t>
            </w:r>
          </w:p>
        </w:tc>
      </w:tr>
      <w:tr>
        <w:trPr>
          <w:trHeight w:val="396"/>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补贴政策知晓率（%）</w:t>
            </w:r>
          </w:p>
        </w:tc>
        <w:tc>
          <w:tcPr>
            <w:tcW w:w="5386" w:type="dxa"/>
            <w:tcBorders>
              <w:left w:val="single" w:sz="6" w:space="0" w:color="000000"/>
            </w:tcBorders>
            <w:vAlign w:val="center"/>
          </w:tcPr>
          <w:p>
            <w:pPr>
              <w:pStyle w:val="20"/>
            </w:pPr>
            <w:r>
              <w:t>知晓补贴政策的退役军人占总退役军人的比率。</w:t>
            </w:r>
          </w:p>
        </w:tc>
        <w:tc>
          <w:tcPr>
            <w:tcW w:w="1785" w:type="dxa"/>
            <w:tcBorders>
              <w:left w:val="single" w:sz="6" w:space="0" w:color="000000"/>
            </w:tcBorders>
            <w:vAlign w:val="center"/>
          </w:tcPr>
          <w:p>
            <w:pPr>
              <w:pStyle w:val="20"/>
            </w:pPr>
            <w:r>
              <w:t>≥95%</w:t>
            </w:r>
          </w:p>
        </w:tc>
        <w:tc>
          <w:tcPr>
            <w:tcW w:w="1759" w:type="dxa"/>
            <w:tcBorders>
              <w:left w:val="single" w:sz="6" w:space="0" w:color="000000"/>
            </w:tcBorders>
            <w:vAlign w:val="center"/>
          </w:tcPr>
          <w:p>
            <w:pPr>
              <w:pStyle w:val="20"/>
            </w:pPr>
            <w:r>
              <w:t>历史数据统计结果</w:t>
            </w:r>
          </w:p>
        </w:tc>
      </w:tr>
      <w:tr>
        <w:trPr>
          <w:trHeight w:val="396"/>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退役专岗满意度（%）</w:t>
            </w:r>
          </w:p>
        </w:tc>
        <w:tc>
          <w:tcPr>
            <w:tcW w:w="5386" w:type="dxa"/>
            <w:tcBorders>
              <w:left w:val="single" w:sz="6" w:space="0" w:color="000000"/>
            </w:tcBorders>
            <w:vAlign w:val="center"/>
          </w:tcPr>
          <w:p>
            <w:pPr>
              <w:pStyle w:val="20"/>
            </w:pPr>
            <w:r>
              <w:t>对补贴政策满意的退役军人占总退役军人的比率（%）</w:t>
            </w:r>
          </w:p>
        </w:tc>
        <w:tc>
          <w:tcPr>
            <w:tcW w:w="1785" w:type="dxa"/>
            <w:tcBorders>
              <w:left w:val="single" w:sz="6" w:space="0" w:color="000000"/>
            </w:tcBorders>
            <w:vAlign w:val="center"/>
          </w:tcPr>
          <w:p>
            <w:pPr>
              <w:pStyle w:val="20"/>
            </w:pPr>
            <w:r>
              <w:t>≥95%</w:t>
            </w:r>
          </w:p>
        </w:tc>
        <w:tc>
          <w:tcPr>
            <w:tcW w:w="1759" w:type="dxa"/>
            <w:tcBorders>
              <w:left w:val="single" w:sz="6" w:space="0" w:color="000000"/>
            </w:tcBorders>
            <w:vAlign w:val="center"/>
          </w:tcPr>
          <w:p>
            <w:pPr>
              <w:pStyle w:val="20"/>
            </w:pPr>
            <w:r>
              <w:t>历史数据统计结果</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3、信访事务经费绩效目标表</w:t>
      </w:r>
    </w:p>
    <w:tbl>
      <w:tblPr>
        <w:jc w:val="center"/>
        <w:tblW w:w="1530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1799"/>
        <w:gridCol w:w="1745"/>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13052526P000031100080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信访事务经费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40.00</w:t>
            </w:r>
          </w:p>
        </w:tc>
        <w:tc>
          <w:tcPr>
            <w:tcW w:w="1799" w:type="dxa"/>
            <w:tcBorders>
              <w:left w:val="single" w:sz="6" w:space="0" w:color="000000"/>
            </w:tcBorders>
            <w:vAlign w:val="center"/>
          </w:tcPr>
          <w:p>
            <w:pPr>
              <w:pStyle w:val="18"/>
            </w:pPr>
            <w:r>
              <w:t>其他资金</w:t>
            </w:r>
          </w:p>
        </w:tc>
        <w:tc>
          <w:tcPr>
            <w:tcW w:w="1744"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做好应急预防准备，保证驻京工作顺利开展，确保最后一道防线不疏漏。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1.按时保障驻京经费按序时进度支出。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814"/>
        <w:gridCol w:w="1729"/>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1814" w:type="dxa"/>
            <w:vAlign w:val="center"/>
          </w:tcPr>
          <w:p>
            <w:pPr>
              <w:pStyle w:val="18"/>
            </w:pPr>
            <w:r>
              <w:t>指标值</w:t>
            </w:r>
          </w:p>
        </w:tc>
        <w:tc>
          <w:tcPr>
            <w:tcW w:w="1729"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办理网上信访事项受理率</w:t>
            </w:r>
          </w:p>
        </w:tc>
        <w:tc>
          <w:tcPr>
            <w:tcW w:w="5386" w:type="dxa"/>
            <w:tcBorders>
              <w:left w:val="single" w:sz="6" w:space="0" w:color="000000"/>
            </w:tcBorders>
            <w:vAlign w:val="center"/>
          </w:tcPr>
          <w:p>
            <w:pPr>
              <w:pStyle w:val="20"/>
            </w:pPr>
            <w:r>
              <w:t>受理办理网上信访事项数量占网上总信访事项比率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息诉罢访率</w:t>
            </w:r>
          </w:p>
        </w:tc>
        <w:tc>
          <w:tcPr>
            <w:tcW w:w="5386" w:type="dxa"/>
            <w:tcBorders>
              <w:left w:val="single" w:sz="6" w:space="0" w:color="000000"/>
            </w:tcBorders>
            <w:vAlign w:val="center"/>
          </w:tcPr>
          <w:p>
            <w:pPr>
              <w:pStyle w:val="20"/>
            </w:pPr>
            <w:r>
              <w:t>已息诉罢访信访件占全年总办结信访件的比率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网上信访系统导出数据计算结果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网上信访受理及时率</w:t>
            </w:r>
          </w:p>
        </w:tc>
        <w:tc>
          <w:tcPr>
            <w:tcW w:w="5386" w:type="dxa"/>
            <w:tcBorders>
              <w:left w:val="single" w:sz="6" w:space="0" w:color="000000"/>
            </w:tcBorders>
            <w:vAlign w:val="center"/>
          </w:tcPr>
          <w:p>
            <w:pPr>
              <w:pStyle w:val="20"/>
            </w:pPr>
            <w:r>
              <w:t>按照时限及时受理的信访事项占应受理信访事项的比率(％)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经费使用率</w:t>
            </w:r>
          </w:p>
        </w:tc>
        <w:tc>
          <w:tcPr>
            <w:tcW w:w="5386" w:type="dxa"/>
            <w:tcBorders>
              <w:left w:val="single" w:sz="6" w:space="0" w:color="000000"/>
            </w:tcBorders>
            <w:vAlign w:val="center"/>
          </w:tcPr>
          <w:p>
            <w:pPr>
              <w:pStyle w:val="20"/>
            </w:pPr>
            <w:r>
              <w:t>驻京值班经费已经使用的金额占总使用金额的比率(%)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网上信访系统“三率”统计结果</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信访矛盾化解率</w:t>
            </w:r>
          </w:p>
        </w:tc>
        <w:tc>
          <w:tcPr>
            <w:tcW w:w="5386" w:type="dxa"/>
            <w:tcBorders>
              <w:left w:val="single" w:sz="6" w:space="0" w:color="000000"/>
            </w:tcBorders>
            <w:vAlign w:val="center"/>
          </w:tcPr>
          <w:p>
            <w:pPr>
              <w:pStyle w:val="20"/>
            </w:pPr>
            <w:r>
              <w:t>已化解信访事项占应化解信访事项总数的比率(%)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网上信访系统“三率”统计结果</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信访群众满意度</w:t>
            </w:r>
          </w:p>
        </w:tc>
        <w:tc>
          <w:tcPr>
            <w:tcW w:w="5386" w:type="dxa"/>
            <w:tcBorders>
              <w:left w:val="single" w:sz="6" w:space="0" w:color="000000"/>
            </w:tcBorders>
            <w:vAlign w:val="center"/>
          </w:tcPr>
          <w:p>
            <w:pPr>
              <w:pStyle w:val="20"/>
            </w:pPr>
            <w:r>
              <w:t>进京上访群众对信访事项处理满意的数量占总的信访事项的比率</w:t>
            </w:r>
          </w:p>
        </w:tc>
        <w:tc>
          <w:tcPr>
            <w:tcW w:w="1814" w:type="dxa"/>
            <w:tcBorders>
              <w:left w:val="single" w:sz="6" w:space="0" w:color="000000"/>
            </w:tcBorders>
            <w:vAlign w:val="center"/>
          </w:tcPr>
          <w:p>
            <w:pPr>
              <w:pStyle w:val="20"/>
            </w:pPr>
            <w:r>
              <w:t>≥95%</w:t>
            </w:r>
          </w:p>
        </w:tc>
        <w:tc>
          <w:tcPr>
            <w:tcW w:w="1729" w:type="dxa"/>
            <w:tcBorders>
              <w:left w:val="single" w:sz="6" w:space="0" w:color="000000"/>
            </w:tcBorders>
            <w:vAlign w:val="center"/>
          </w:tcPr>
          <w:p>
            <w:pPr>
              <w:pStyle w:val="20"/>
            </w:pPr>
            <w:r>
              <w:t>网上信访系统“三率”统计结果</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4、信访运行经费绩效目标表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13052526P000039102080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信访运行经费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25.77</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25.77</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保证我单位日常工作正常开展。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1.保障工作时间网络畅通，办公设备及时维修，各方面工作正常运行。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每日接待上访人数(人）</w:t>
            </w:r>
          </w:p>
        </w:tc>
        <w:tc>
          <w:tcPr>
            <w:tcW w:w="5386" w:type="dxa"/>
            <w:tcBorders>
              <w:left w:val="single" w:sz="6" w:space="0" w:color="000000"/>
            </w:tcBorders>
            <w:vAlign w:val="center"/>
          </w:tcPr>
          <w:p>
            <w:pPr>
              <w:pStyle w:val="20"/>
            </w:pPr>
            <w:r>
              <w:t>平均每日接待上访人数</w:t>
            </w:r>
          </w:p>
        </w:tc>
        <w:tc>
          <w:tcPr>
            <w:tcW w:w="2268" w:type="dxa"/>
            <w:tcBorders>
              <w:left w:val="single" w:sz="6" w:space="0" w:color="000000"/>
            </w:tcBorders>
            <w:vAlign w:val="center"/>
          </w:tcPr>
          <w:p>
            <w:pPr>
              <w:pStyle w:val="20"/>
            </w:pPr>
            <w:r>
              <w:t>≤20人</w:t>
            </w:r>
          </w:p>
        </w:tc>
        <w:tc>
          <w:tcPr>
            <w:tcW w:w="1276" w:type="dxa"/>
            <w:tcBorders>
              <w:left w:val="single" w:sz="6" w:space="0" w:color="000000"/>
            </w:tcBorders>
            <w:vAlign w:val="center"/>
          </w:tcPr>
          <w:p>
            <w:pPr>
              <w:pStyle w:val="20"/>
            </w:pPr>
            <w:r>
              <w:t>历史数据统计结果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来访群众接待率</w:t>
            </w:r>
          </w:p>
        </w:tc>
        <w:tc>
          <w:tcPr>
            <w:tcW w:w="5386" w:type="dxa"/>
            <w:tcBorders>
              <w:left w:val="single" w:sz="6" w:space="0" w:color="000000"/>
            </w:tcBorders>
            <w:vAlign w:val="center"/>
          </w:tcPr>
          <w:p>
            <w:pPr>
              <w:pStyle w:val="20"/>
            </w:pPr>
            <w:r>
              <w:t>已接待来访群众占总上访群众比率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信访接待中心日报数据统计结果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按期答复率</w:t>
            </w:r>
          </w:p>
        </w:tc>
        <w:tc>
          <w:tcPr>
            <w:tcW w:w="5386" w:type="dxa"/>
            <w:tcBorders>
              <w:left w:val="single" w:sz="6" w:space="0" w:color="000000"/>
            </w:tcBorders>
            <w:vAlign w:val="center"/>
          </w:tcPr>
          <w:p>
            <w:pPr>
              <w:pStyle w:val="20"/>
            </w:pPr>
            <w:r>
              <w:t>按期答复信访事项占总的信访事项的比率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阳光信访系统三率统计结果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经费支付率</w:t>
            </w:r>
          </w:p>
        </w:tc>
        <w:tc>
          <w:tcPr>
            <w:tcW w:w="5386" w:type="dxa"/>
            <w:tcBorders>
              <w:left w:val="single" w:sz="6" w:space="0" w:color="000000"/>
            </w:tcBorders>
            <w:vAlign w:val="center"/>
          </w:tcPr>
          <w:p>
            <w:pPr>
              <w:pStyle w:val="20"/>
            </w:pPr>
            <w:r>
              <w:t>群众工作中心已支付经费数量占应支付总金额的比率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国库股支出统计结果</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来访事项化解率（%）</w:t>
            </w:r>
          </w:p>
        </w:tc>
        <w:tc>
          <w:tcPr>
            <w:tcW w:w="5386" w:type="dxa"/>
            <w:tcBorders>
              <w:left w:val="single" w:sz="6" w:space="0" w:color="000000"/>
            </w:tcBorders>
            <w:vAlign w:val="center"/>
          </w:tcPr>
          <w:p>
            <w:pPr>
              <w:pStyle w:val="20"/>
            </w:pPr>
            <w:r>
              <w:t>来访信访事项中已化解的数量占总来访事项的比率（%）</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阳光信访系统三率统计结果</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工作人员满意度</w:t>
            </w:r>
          </w:p>
        </w:tc>
        <w:tc>
          <w:tcPr>
            <w:tcW w:w="5386" w:type="dxa"/>
            <w:tcBorders>
              <w:left w:val="single" w:sz="6" w:space="0" w:color="000000"/>
            </w:tcBorders>
            <w:vAlign w:val="center"/>
          </w:tcPr>
          <w:p>
            <w:pPr>
              <w:pStyle w:val="20"/>
            </w:pPr>
            <w:r>
              <w:t>工作人员对办公场所的满意程度</w:t>
            </w:r>
          </w:p>
        </w:tc>
        <w:tc>
          <w:tcPr>
            <w:tcW w:w="2268" w:type="dxa"/>
            <w:tcBorders>
              <w:left w:val="single" w:sz="6" w:space="0" w:color="000000"/>
            </w:tcBorders>
            <w:vAlign w:val="center"/>
          </w:tcPr>
          <w:p>
            <w:pPr>
              <w:pStyle w:val="20"/>
            </w:pPr>
            <w:r>
              <w:t>≥95%</w:t>
            </w:r>
          </w:p>
        </w:tc>
        <w:tc>
          <w:tcPr>
            <w:tcW w:w="1276" w:type="dxa"/>
            <w:tcBorders>
              <w:left w:val="single" w:sz="6" w:space="0" w:color="000000"/>
            </w:tcBorders>
            <w:vAlign w:val="center"/>
          </w:tcPr>
          <w:p>
            <w:pPr>
              <w:pStyle w:val="20"/>
            </w:pPr>
            <w:r>
              <w:t>历年数据统计结果</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60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339"/>
        <w:gridCol w:w="1305"/>
        <w:gridCol w:w="540"/>
        <w:gridCol w:w="643"/>
        <w:gridCol w:w="850"/>
        <w:gridCol w:w="964"/>
        <w:gridCol w:w="1098"/>
        <w:gridCol w:w="830"/>
        <w:gridCol w:w="964"/>
        <w:gridCol w:w="964"/>
        <w:gridCol w:w="964"/>
        <w:gridCol w:w="658"/>
        <w:gridCol w:w="1095"/>
        <w:gridCol w:w="1139"/>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501001隆尧县信访局本级</w:t>
            </w:r>
          </w:p>
        </w:tc>
        <w:tc>
          <w:tcPr>
            <w:tcW w:w="8675"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339" w:type="dxa"/>
            <w:vMerge w:val="restart"/>
            <w:tcBorders>
              <w:left w:val="single" w:sz="6" w:space="0" w:color="000000"/>
            </w:tcBorders>
            <w:vAlign w:val="center"/>
          </w:tcPr>
          <w:p>
            <w:pPr>
              <w:pStyle w:val="18"/>
            </w:pPr>
            <w:r>
              <w:t>采购物品名称</w:t>
            </w:r>
          </w:p>
        </w:tc>
        <w:tc>
          <w:tcPr>
            <w:tcW w:w="1305" w:type="dxa"/>
            <w:vMerge w:val="restart"/>
            <w:tcBorders>
              <w:left w:val="single" w:sz="6" w:space="0" w:color="000000"/>
            </w:tcBorders>
            <w:vAlign w:val="center"/>
          </w:tcPr>
          <w:p>
            <w:pPr>
              <w:pStyle w:val="18"/>
            </w:pPr>
            <w:r>
              <w:t>政府采购目录序号</w:t>
            </w:r>
          </w:p>
        </w:tc>
        <w:tc>
          <w:tcPr>
            <w:tcW w:w="540" w:type="dxa"/>
            <w:vMerge w:val="restart"/>
            <w:tcBorders>
              <w:left w:val="single" w:sz="6" w:space="0" w:color="000000"/>
            </w:tcBorders>
            <w:vAlign w:val="center"/>
          </w:tcPr>
          <w:p>
            <w:pPr>
              <w:pStyle w:val="18"/>
            </w:pPr>
            <w:r>
              <w:t>计量  单位</w:t>
            </w:r>
          </w:p>
        </w:tc>
        <w:tc>
          <w:tcPr>
            <w:tcW w:w="643"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537" w:type="dxa"/>
            <w:gridSpan w:val="8"/>
            <w:tcBorders>
              <w:left w:val="single" w:sz="6" w:space="0" w:color="000000"/>
            </w:tcBorders>
            <w:vAlign w:val="center"/>
          </w:tcPr>
          <w:p>
            <w:pPr>
              <w:pStyle w:val="18"/>
            </w:pPr>
            <w:r>
              <w:t>政府采购金额（当年部门预算安排资金）</w:t>
            </w:r>
          </w:p>
        </w:tc>
        <w:tc>
          <w:tcPr>
            <w:tcW w:w="1139"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1098" w:type="dxa"/>
            <w:tcBorders>
              <w:left w:val="single" w:sz="6" w:space="0" w:color="000000"/>
            </w:tcBorders>
            <w:vAlign w:val="center"/>
          </w:tcPr>
          <w:p>
            <w:pPr>
              <w:pStyle w:val="18"/>
            </w:pPr>
            <w:r>
              <w:t>一般公共预算拨款</w:t>
            </w:r>
          </w:p>
        </w:tc>
        <w:tc>
          <w:tcPr>
            <w:tcW w:w="830"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658" w:type="dxa"/>
            <w:tcBorders>
              <w:left w:val="single" w:sz="6" w:space="0" w:color="000000"/>
            </w:tcBorders>
            <w:vAlign w:val="center"/>
          </w:tcPr>
          <w:p>
            <w:pPr>
              <w:pStyle w:val="18"/>
            </w:pPr>
            <w:r>
              <w:t>财政拨款结转</w:t>
            </w:r>
          </w:p>
        </w:tc>
        <w:tc>
          <w:tcPr>
            <w:tcW w:w="1095"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tcBorders>
            <w:vAlign w:val="center"/>
          </w:tcPr>
          <w:p>
            <w:pPr>
              <w:pStyle w:val="23"/>
            </w:pPr>
          </w:p>
        </w:tc>
        <w:tc>
          <w:tcPr>
            <w:tcW w:w="1339" w:type="dxa"/>
            <w:tcBorders>
              <w:left w:val="single" w:sz="6" w:space="0" w:color="000000"/>
            </w:tcBorders>
            <w:vAlign w:val="center"/>
          </w:tcPr>
          <w:p>
            <w:pPr>
              <w:pStyle w:val="24"/>
            </w:pPr>
          </w:p>
        </w:tc>
        <w:tc>
          <w:tcPr>
            <w:tcW w:w="1305" w:type="dxa"/>
            <w:tcBorders>
              <w:left w:val="single" w:sz="6" w:space="0" w:color="000000"/>
            </w:tcBorders>
            <w:vAlign w:val="center"/>
          </w:tcPr>
          <w:p>
            <w:pPr>
              <w:pStyle w:val="24"/>
            </w:pPr>
          </w:p>
        </w:tc>
        <w:tc>
          <w:tcPr>
            <w:tcW w:w="540" w:type="dxa"/>
            <w:tcBorders>
              <w:left w:val="single" w:sz="6" w:space="0" w:color="000000"/>
            </w:tcBorders>
            <w:vAlign w:val="center"/>
          </w:tcPr>
          <w:p>
            <w:pPr>
              <w:pStyle w:val="22"/>
            </w:pPr>
          </w:p>
        </w:tc>
        <w:tc>
          <w:tcPr>
            <w:tcW w:w="643"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c>
          <w:tcPr>
            <w:tcW w:w="1098" w:type="dxa"/>
            <w:tcBorders>
              <w:left w:val="single" w:sz="6" w:space="0" w:color="000000"/>
            </w:tcBorders>
            <w:vAlign w:val="center"/>
          </w:tcPr>
          <w:p>
            <w:pPr>
              <w:pStyle w:val="23"/>
            </w:pPr>
            <w:r>
              <w:t>5.55</w:t>
            </w:r>
          </w:p>
        </w:tc>
        <w:tc>
          <w:tcPr>
            <w:tcW w:w="83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658"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139" w:type="dxa"/>
            <w:tcBorders>
              <w:left w:val="single" w:sz="6" w:space="0" w:color="000000"/>
            </w:tcBorders>
            <w:vAlign w:val="center"/>
          </w:tcPr>
          <w:p>
            <w:pPr>
              <w:pStyle w:val="23"/>
            </w:pPr>
            <w:r>
              <w:t>5.55</w:t>
            </w:r>
          </w:p>
        </w:tc>
      </w:tr>
      <w:tr>
        <w:tc>
          <w:tcPr>
            <w:tcW w:w="1701" w:type="dxa"/>
            <w:vAlign w:val="center"/>
          </w:tcPr>
          <w:p>
            <w:pPr>
              <w:pStyle w:val="22"/>
            </w:pPr>
            <w:r>
              <w:t>隆尧县信访局本级小计</w:t>
            </w:r>
          </w:p>
        </w:tc>
        <w:tc>
          <w:tcPr>
            <w:tcW w:w="964" w:type="dxa"/>
            <w:tcBorders>
              <w:left w:val="single" w:sz="6" w:space="0" w:color="000000"/>
            </w:tcBorders>
            <w:vAlign w:val="center"/>
          </w:tcPr>
          <w:p>
            <w:pPr>
              <w:pStyle w:val="23"/>
            </w:pPr>
          </w:p>
        </w:tc>
        <w:tc>
          <w:tcPr>
            <w:tcW w:w="1339" w:type="dxa"/>
            <w:tcBorders>
              <w:left w:val="single" w:sz="6" w:space="0" w:color="000000"/>
            </w:tcBorders>
            <w:vAlign w:val="center"/>
          </w:tcPr>
          <w:p>
            <w:pPr>
              <w:pStyle w:val="24"/>
            </w:pPr>
          </w:p>
        </w:tc>
        <w:tc>
          <w:tcPr>
            <w:tcW w:w="1305" w:type="dxa"/>
            <w:tcBorders>
              <w:left w:val="single" w:sz="6" w:space="0" w:color="000000"/>
            </w:tcBorders>
            <w:vAlign w:val="center"/>
          </w:tcPr>
          <w:p>
            <w:pPr>
              <w:pStyle w:val="24"/>
            </w:pPr>
          </w:p>
        </w:tc>
        <w:tc>
          <w:tcPr>
            <w:tcW w:w="540" w:type="dxa"/>
            <w:tcBorders>
              <w:left w:val="single" w:sz="6" w:space="0" w:color="000000"/>
            </w:tcBorders>
            <w:vAlign w:val="center"/>
          </w:tcPr>
          <w:p>
            <w:pPr>
              <w:pStyle w:val="22"/>
            </w:pPr>
          </w:p>
        </w:tc>
        <w:tc>
          <w:tcPr>
            <w:tcW w:w="643"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5.55</w:t>
            </w:r>
          </w:p>
        </w:tc>
        <w:tc>
          <w:tcPr>
            <w:tcW w:w="1098" w:type="dxa"/>
            <w:tcBorders>
              <w:left w:val="single" w:sz="6" w:space="0" w:color="000000"/>
            </w:tcBorders>
            <w:vAlign w:val="center"/>
          </w:tcPr>
          <w:p>
            <w:pPr>
              <w:pStyle w:val="23"/>
            </w:pPr>
            <w:r>
              <w:t>5.55</w:t>
            </w:r>
          </w:p>
        </w:tc>
        <w:tc>
          <w:tcPr>
            <w:tcW w:w="83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658"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139" w:type="dxa"/>
            <w:tcBorders>
              <w:left w:val="single" w:sz="6" w:space="0" w:color="000000"/>
            </w:tcBorders>
            <w:vAlign w:val="center"/>
          </w:tcPr>
          <w:p>
            <w:pPr>
              <w:pStyle w:val="23"/>
            </w:pPr>
            <w:r>
              <w:t>5.55</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2.88</w:t>
            </w:r>
          </w:p>
        </w:tc>
        <w:tc>
          <w:tcPr>
            <w:tcW w:w="1339" w:type="dxa"/>
            <w:tcBorders>
              <w:left w:val="single" w:sz="6" w:space="0" w:color="000000"/>
            </w:tcBorders>
            <w:vAlign w:val="center"/>
          </w:tcPr>
          <w:p>
            <w:pPr>
              <w:pStyle w:val="20"/>
            </w:pPr>
            <w:r>
              <w:t>复印纸</w:t>
            </w:r>
          </w:p>
        </w:tc>
        <w:tc>
          <w:tcPr>
            <w:tcW w:w="1305" w:type="dxa"/>
            <w:tcBorders>
              <w:left w:val="single" w:sz="6" w:space="0" w:color="000000"/>
            </w:tcBorders>
            <w:vAlign w:val="center"/>
          </w:tcPr>
          <w:p>
            <w:pPr>
              <w:pStyle w:val="20"/>
            </w:pPr>
            <w:r>
              <w:t>A05040101</w:t>
            </w:r>
          </w:p>
        </w:tc>
        <w:tc>
          <w:tcPr>
            <w:tcW w:w="540" w:type="dxa"/>
            <w:tcBorders>
              <w:left w:val="single" w:sz="6" w:space="0" w:color="000000"/>
            </w:tcBorders>
            <w:vAlign w:val="center"/>
          </w:tcPr>
          <w:p>
            <w:pPr>
              <w:pStyle w:val="21"/>
            </w:pPr>
            <w:r>
              <w:t>批</w:t>
            </w:r>
          </w:p>
        </w:tc>
        <w:tc>
          <w:tcPr>
            <w:tcW w:w="643" w:type="dxa"/>
            <w:tcBorders>
              <w:left w:val="single" w:sz="6" w:space="0" w:color="000000"/>
            </w:tcBorders>
            <w:vAlign w:val="center"/>
          </w:tcPr>
          <w:p>
            <w:pPr>
              <w:pStyle w:val="19"/>
            </w:pPr>
            <w:r>
              <w:t>30</w:t>
            </w:r>
          </w:p>
        </w:tc>
        <w:tc>
          <w:tcPr>
            <w:tcW w:w="850" w:type="dxa"/>
            <w:tcBorders>
              <w:left w:val="single" w:sz="6" w:space="0" w:color="000000"/>
            </w:tcBorders>
            <w:vAlign w:val="center"/>
          </w:tcPr>
          <w:p>
            <w:pPr>
              <w:pStyle w:val="19"/>
            </w:pPr>
            <w:r>
              <w:t>0.02</w:t>
            </w:r>
          </w:p>
        </w:tc>
        <w:tc>
          <w:tcPr>
            <w:tcW w:w="964" w:type="dxa"/>
            <w:tcBorders>
              <w:left w:val="single" w:sz="6" w:space="0" w:color="000000"/>
            </w:tcBorders>
            <w:vAlign w:val="center"/>
          </w:tcPr>
          <w:p>
            <w:pPr>
              <w:pStyle w:val="19"/>
            </w:pPr>
            <w:r>
              <w:t>0.45</w:t>
            </w:r>
          </w:p>
        </w:tc>
        <w:tc>
          <w:tcPr>
            <w:tcW w:w="1098" w:type="dxa"/>
            <w:tcBorders>
              <w:left w:val="single" w:sz="6" w:space="0" w:color="000000"/>
            </w:tcBorders>
            <w:vAlign w:val="center"/>
          </w:tcPr>
          <w:p>
            <w:pPr>
              <w:pStyle w:val="19"/>
            </w:pPr>
            <w:r>
              <w:t>0.45</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0.45</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多功能一体机</w:t>
            </w:r>
          </w:p>
        </w:tc>
        <w:tc>
          <w:tcPr>
            <w:tcW w:w="1305" w:type="dxa"/>
            <w:tcBorders>
              <w:left w:val="single" w:sz="6" w:space="0" w:color="000000"/>
            </w:tcBorders>
            <w:vAlign w:val="center"/>
          </w:tcPr>
          <w:p>
            <w:pPr>
              <w:pStyle w:val="20"/>
            </w:pPr>
            <w:r>
              <w:t>A02020400</w:t>
            </w:r>
          </w:p>
        </w:tc>
        <w:tc>
          <w:tcPr>
            <w:tcW w:w="540" w:type="dxa"/>
            <w:tcBorders>
              <w:left w:val="single" w:sz="6" w:space="0" w:color="000000"/>
            </w:tcBorders>
            <w:vAlign w:val="center"/>
          </w:tcPr>
          <w:p>
            <w:pPr>
              <w:pStyle w:val="21"/>
            </w:pPr>
            <w:r>
              <w:t>台</w:t>
            </w:r>
          </w:p>
        </w:tc>
        <w:tc>
          <w:tcPr>
            <w:tcW w:w="643" w:type="dxa"/>
            <w:tcBorders>
              <w:left w:val="single" w:sz="6" w:space="0" w:color="000000"/>
            </w:tcBorders>
            <w:vAlign w:val="center"/>
          </w:tcPr>
          <w:p>
            <w:pPr>
              <w:pStyle w:val="19"/>
            </w:pPr>
            <w:r>
              <w:t>1</w:t>
            </w:r>
          </w:p>
        </w:tc>
        <w:tc>
          <w:tcPr>
            <w:tcW w:w="850" w:type="dxa"/>
            <w:tcBorders>
              <w:left w:val="single" w:sz="6" w:space="0" w:color="000000"/>
            </w:tcBorders>
            <w:vAlign w:val="center"/>
          </w:tcPr>
          <w:p>
            <w:pPr>
              <w:pStyle w:val="19"/>
            </w:pPr>
            <w:r>
              <w:t>0.60</w:t>
            </w:r>
          </w:p>
        </w:tc>
        <w:tc>
          <w:tcPr>
            <w:tcW w:w="964" w:type="dxa"/>
            <w:tcBorders>
              <w:left w:val="single" w:sz="6" w:space="0" w:color="000000"/>
            </w:tcBorders>
            <w:vAlign w:val="center"/>
          </w:tcPr>
          <w:p>
            <w:pPr>
              <w:pStyle w:val="19"/>
            </w:pPr>
            <w:r>
              <w:t>0.60</w:t>
            </w:r>
          </w:p>
        </w:tc>
        <w:tc>
          <w:tcPr>
            <w:tcW w:w="1098" w:type="dxa"/>
            <w:tcBorders>
              <w:left w:val="single" w:sz="6" w:space="0" w:color="000000"/>
            </w:tcBorders>
            <w:vAlign w:val="center"/>
          </w:tcPr>
          <w:p>
            <w:pPr>
              <w:pStyle w:val="19"/>
            </w:pPr>
            <w:r>
              <w:t>0.60</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0.60</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空调机</w:t>
            </w:r>
          </w:p>
        </w:tc>
        <w:tc>
          <w:tcPr>
            <w:tcW w:w="1305" w:type="dxa"/>
            <w:tcBorders>
              <w:left w:val="single" w:sz="6" w:space="0" w:color="000000"/>
            </w:tcBorders>
            <w:vAlign w:val="center"/>
          </w:tcPr>
          <w:p>
            <w:pPr>
              <w:pStyle w:val="20"/>
            </w:pPr>
            <w:r>
              <w:t>A02061804</w:t>
            </w:r>
          </w:p>
        </w:tc>
        <w:tc>
          <w:tcPr>
            <w:tcW w:w="540" w:type="dxa"/>
            <w:tcBorders>
              <w:left w:val="single" w:sz="6" w:space="0" w:color="000000"/>
            </w:tcBorders>
            <w:vAlign w:val="center"/>
          </w:tcPr>
          <w:p>
            <w:pPr>
              <w:pStyle w:val="21"/>
            </w:pPr>
            <w:r>
              <w:t>台</w:t>
            </w:r>
          </w:p>
        </w:tc>
        <w:tc>
          <w:tcPr>
            <w:tcW w:w="643" w:type="dxa"/>
            <w:tcBorders>
              <w:left w:val="single" w:sz="6" w:space="0" w:color="000000"/>
            </w:tcBorders>
            <w:vAlign w:val="center"/>
          </w:tcPr>
          <w:p>
            <w:pPr>
              <w:pStyle w:val="19"/>
            </w:pPr>
            <w:r>
              <w:t>2</w:t>
            </w:r>
          </w:p>
        </w:tc>
        <w:tc>
          <w:tcPr>
            <w:tcW w:w="850" w:type="dxa"/>
            <w:tcBorders>
              <w:left w:val="single" w:sz="6" w:space="0" w:color="000000"/>
            </w:tcBorders>
            <w:vAlign w:val="center"/>
          </w:tcPr>
          <w:p>
            <w:pPr>
              <w:pStyle w:val="19"/>
            </w:pPr>
            <w:r>
              <w:t>0.76</w:t>
            </w:r>
          </w:p>
        </w:tc>
        <w:tc>
          <w:tcPr>
            <w:tcW w:w="964" w:type="dxa"/>
            <w:tcBorders>
              <w:left w:val="single" w:sz="6" w:space="0" w:color="000000"/>
            </w:tcBorders>
            <w:vAlign w:val="center"/>
          </w:tcPr>
          <w:p>
            <w:pPr>
              <w:pStyle w:val="19"/>
            </w:pPr>
            <w:r>
              <w:t>1.51</w:t>
            </w:r>
          </w:p>
        </w:tc>
        <w:tc>
          <w:tcPr>
            <w:tcW w:w="1098" w:type="dxa"/>
            <w:tcBorders>
              <w:left w:val="single" w:sz="6" w:space="0" w:color="000000"/>
            </w:tcBorders>
            <w:vAlign w:val="center"/>
          </w:tcPr>
          <w:p>
            <w:pPr>
              <w:pStyle w:val="19"/>
            </w:pPr>
            <w:r>
              <w:t>1.51</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1.51</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办公桌</w:t>
            </w:r>
          </w:p>
        </w:tc>
        <w:tc>
          <w:tcPr>
            <w:tcW w:w="1305" w:type="dxa"/>
            <w:tcBorders>
              <w:left w:val="single" w:sz="6" w:space="0" w:color="000000"/>
            </w:tcBorders>
            <w:vAlign w:val="center"/>
          </w:tcPr>
          <w:p>
            <w:pPr>
              <w:pStyle w:val="20"/>
            </w:pPr>
            <w:r>
              <w:t>A05010201</w:t>
            </w:r>
          </w:p>
        </w:tc>
        <w:tc>
          <w:tcPr>
            <w:tcW w:w="540" w:type="dxa"/>
            <w:tcBorders>
              <w:left w:val="single" w:sz="6" w:space="0" w:color="000000"/>
            </w:tcBorders>
            <w:vAlign w:val="center"/>
          </w:tcPr>
          <w:p>
            <w:pPr>
              <w:pStyle w:val="21"/>
            </w:pPr>
            <w:r>
              <w:t>件</w:t>
            </w:r>
          </w:p>
        </w:tc>
        <w:tc>
          <w:tcPr>
            <w:tcW w:w="643" w:type="dxa"/>
            <w:tcBorders>
              <w:left w:val="single" w:sz="6" w:space="0" w:color="000000"/>
            </w:tcBorders>
            <w:vAlign w:val="center"/>
          </w:tcPr>
          <w:p>
            <w:pPr>
              <w:pStyle w:val="19"/>
            </w:pPr>
            <w:r>
              <w:t>9</w:t>
            </w:r>
          </w:p>
        </w:tc>
        <w:tc>
          <w:tcPr>
            <w:tcW w:w="850" w:type="dxa"/>
            <w:tcBorders>
              <w:left w:val="single" w:sz="6" w:space="0" w:color="000000"/>
            </w:tcBorders>
            <w:vAlign w:val="center"/>
          </w:tcPr>
          <w:p>
            <w:pPr>
              <w:pStyle w:val="19"/>
            </w:pPr>
            <w:r>
              <w:t>0.12</w:t>
            </w:r>
          </w:p>
        </w:tc>
        <w:tc>
          <w:tcPr>
            <w:tcW w:w="964" w:type="dxa"/>
            <w:tcBorders>
              <w:left w:val="single" w:sz="6" w:space="0" w:color="000000"/>
            </w:tcBorders>
            <w:vAlign w:val="center"/>
          </w:tcPr>
          <w:p>
            <w:pPr>
              <w:pStyle w:val="19"/>
            </w:pPr>
            <w:r>
              <w:t>1.08</w:t>
            </w:r>
          </w:p>
        </w:tc>
        <w:tc>
          <w:tcPr>
            <w:tcW w:w="1098" w:type="dxa"/>
            <w:tcBorders>
              <w:left w:val="single" w:sz="6" w:space="0" w:color="000000"/>
            </w:tcBorders>
            <w:vAlign w:val="center"/>
          </w:tcPr>
          <w:p>
            <w:pPr>
              <w:pStyle w:val="19"/>
            </w:pPr>
            <w:r>
              <w:t>1.08</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1.08</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办公椅</w:t>
            </w:r>
          </w:p>
        </w:tc>
        <w:tc>
          <w:tcPr>
            <w:tcW w:w="1305" w:type="dxa"/>
            <w:tcBorders>
              <w:left w:val="single" w:sz="6" w:space="0" w:color="000000"/>
            </w:tcBorders>
            <w:vAlign w:val="center"/>
          </w:tcPr>
          <w:p>
            <w:pPr>
              <w:pStyle w:val="20"/>
            </w:pPr>
            <w:r>
              <w:t>A05010301</w:t>
            </w:r>
          </w:p>
        </w:tc>
        <w:tc>
          <w:tcPr>
            <w:tcW w:w="540" w:type="dxa"/>
            <w:tcBorders>
              <w:left w:val="single" w:sz="6" w:space="0" w:color="000000"/>
            </w:tcBorders>
            <w:vAlign w:val="center"/>
          </w:tcPr>
          <w:p>
            <w:pPr>
              <w:pStyle w:val="21"/>
            </w:pPr>
            <w:r>
              <w:t>件</w:t>
            </w:r>
          </w:p>
        </w:tc>
        <w:tc>
          <w:tcPr>
            <w:tcW w:w="643" w:type="dxa"/>
            <w:tcBorders>
              <w:left w:val="single" w:sz="6" w:space="0" w:color="000000"/>
            </w:tcBorders>
            <w:vAlign w:val="center"/>
          </w:tcPr>
          <w:p>
            <w:pPr>
              <w:pStyle w:val="19"/>
            </w:pPr>
            <w:r>
              <w:t>2</w:t>
            </w:r>
          </w:p>
        </w:tc>
        <w:tc>
          <w:tcPr>
            <w:tcW w:w="850" w:type="dxa"/>
            <w:tcBorders>
              <w:left w:val="single" w:sz="6" w:space="0" w:color="000000"/>
            </w:tcBorders>
            <w:vAlign w:val="center"/>
          </w:tcPr>
          <w:p>
            <w:pPr>
              <w:pStyle w:val="19"/>
            </w:pPr>
            <w:r>
              <w:t>0.06</w:t>
            </w:r>
          </w:p>
        </w:tc>
        <w:tc>
          <w:tcPr>
            <w:tcW w:w="964" w:type="dxa"/>
            <w:tcBorders>
              <w:left w:val="single" w:sz="6" w:space="0" w:color="000000"/>
            </w:tcBorders>
            <w:vAlign w:val="center"/>
          </w:tcPr>
          <w:p>
            <w:pPr>
              <w:pStyle w:val="19"/>
            </w:pPr>
            <w:r>
              <w:t>0.11</w:t>
            </w:r>
          </w:p>
        </w:tc>
        <w:tc>
          <w:tcPr>
            <w:tcW w:w="1098" w:type="dxa"/>
            <w:tcBorders>
              <w:left w:val="single" w:sz="6" w:space="0" w:color="000000"/>
            </w:tcBorders>
            <w:vAlign w:val="center"/>
          </w:tcPr>
          <w:p>
            <w:pPr>
              <w:pStyle w:val="19"/>
            </w:pPr>
            <w:r>
              <w:t>0.11</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0.11</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办公椅</w:t>
            </w:r>
          </w:p>
        </w:tc>
        <w:tc>
          <w:tcPr>
            <w:tcW w:w="1305" w:type="dxa"/>
            <w:tcBorders>
              <w:left w:val="single" w:sz="6" w:space="0" w:color="000000"/>
            </w:tcBorders>
            <w:vAlign w:val="center"/>
          </w:tcPr>
          <w:p>
            <w:pPr>
              <w:pStyle w:val="20"/>
            </w:pPr>
            <w:r>
              <w:t>A05010301</w:t>
            </w:r>
          </w:p>
        </w:tc>
        <w:tc>
          <w:tcPr>
            <w:tcW w:w="540" w:type="dxa"/>
            <w:tcBorders>
              <w:left w:val="single" w:sz="6" w:space="0" w:color="000000"/>
            </w:tcBorders>
            <w:vAlign w:val="center"/>
          </w:tcPr>
          <w:p>
            <w:pPr>
              <w:pStyle w:val="21"/>
            </w:pPr>
            <w:r>
              <w:t>件</w:t>
            </w:r>
          </w:p>
        </w:tc>
        <w:tc>
          <w:tcPr>
            <w:tcW w:w="643" w:type="dxa"/>
            <w:tcBorders>
              <w:left w:val="single" w:sz="6" w:space="0" w:color="000000"/>
            </w:tcBorders>
            <w:vAlign w:val="center"/>
          </w:tcPr>
          <w:p>
            <w:pPr>
              <w:pStyle w:val="19"/>
            </w:pPr>
            <w:r>
              <w:t>4</w:t>
            </w:r>
          </w:p>
        </w:tc>
        <w:tc>
          <w:tcPr>
            <w:tcW w:w="850" w:type="dxa"/>
            <w:tcBorders>
              <w:left w:val="single" w:sz="6" w:space="0" w:color="000000"/>
            </w:tcBorders>
            <w:vAlign w:val="center"/>
          </w:tcPr>
          <w:p>
            <w:pPr>
              <w:pStyle w:val="19"/>
            </w:pPr>
            <w:r>
              <w:t>0.09</w:t>
            </w:r>
          </w:p>
        </w:tc>
        <w:tc>
          <w:tcPr>
            <w:tcW w:w="964" w:type="dxa"/>
            <w:tcBorders>
              <w:left w:val="single" w:sz="6" w:space="0" w:color="000000"/>
            </w:tcBorders>
            <w:vAlign w:val="center"/>
          </w:tcPr>
          <w:p>
            <w:pPr>
              <w:pStyle w:val="19"/>
            </w:pPr>
            <w:r>
              <w:t>0.36</w:t>
            </w:r>
          </w:p>
        </w:tc>
        <w:tc>
          <w:tcPr>
            <w:tcW w:w="1098" w:type="dxa"/>
            <w:tcBorders>
              <w:left w:val="single" w:sz="6" w:space="0" w:color="000000"/>
            </w:tcBorders>
            <w:vAlign w:val="center"/>
          </w:tcPr>
          <w:p>
            <w:pPr>
              <w:pStyle w:val="19"/>
            </w:pPr>
            <w:r>
              <w:t>0.36</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0.36</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单人沙发</w:t>
            </w:r>
          </w:p>
        </w:tc>
        <w:tc>
          <w:tcPr>
            <w:tcW w:w="1305" w:type="dxa"/>
            <w:tcBorders>
              <w:left w:val="single" w:sz="6" w:space="0" w:color="000000"/>
            </w:tcBorders>
            <w:vAlign w:val="center"/>
          </w:tcPr>
          <w:p>
            <w:pPr>
              <w:pStyle w:val="20"/>
            </w:pPr>
            <w:r>
              <w:t>A05010402</w:t>
            </w:r>
          </w:p>
        </w:tc>
        <w:tc>
          <w:tcPr>
            <w:tcW w:w="540" w:type="dxa"/>
            <w:tcBorders>
              <w:left w:val="single" w:sz="6" w:space="0" w:color="000000"/>
            </w:tcBorders>
            <w:vAlign w:val="center"/>
          </w:tcPr>
          <w:p>
            <w:pPr>
              <w:pStyle w:val="21"/>
            </w:pPr>
            <w:r>
              <w:t>件</w:t>
            </w:r>
          </w:p>
        </w:tc>
        <w:tc>
          <w:tcPr>
            <w:tcW w:w="643" w:type="dxa"/>
            <w:tcBorders>
              <w:left w:val="single" w:sz="6" w:space="0" w:color="000000"/>
            </w:tcBorders>
            <w:vAlign w:val="center"/>
          </w:tcPr>
          <w:p>
            <w:pPr>
              <w:pStyle w:val="19"/>
            </w:pPr>
            <w:r>
              <w:t>4</w:t>
            </w:r>
          </w:p>
        </w:tc>
        <w:tc>
          <w:tcPr>
            <w:tcW w:w="850" w:type="dxa"/>
            <w:tcBorders>
              <w:left w:val="single" w:sz="6" w:space="0" w:color="000000"/>
            </w:tcBorders>
            <w:vAlign w:val="center"/>
          </w:tcPr>
          <w:p>
            <w:pPr>
              <w:pStyle w:val="19"/>
            </w:pPr>
            <w:r>
              <w:t>0.17</w:t>
            </w:r>
          </w:p>
        </w:tc>
        <w:tc>
          <w:tcPr>
            <w:tcW w:w="964" w:type="dxa"/>
            <w:tcBorders>
              <w:left w:val="single" w:sz="6" w:space="0" w:color="000000"/>
            </w:tcBorders>
            <w:vAlign w:val="center"/>
          </w:tcPr>
          <w:p>
            <w:pPr>
              <w:pStyle w:val="19"/>
            </w:pPr>
            <w:r>
              <w:t>0.66</w:t>
            </w:r>
          </w:p>
        </w:tc>
        <w:tc>
          <w:tcPr>
            <w:tcW w:w="1098" w:type="dxa"/>
            <w:tcBorders>
              <w:left w:val="single" w:sz="6" w:space="0" w:color="000000"/>
            </w:tcBorders>
            <w:vAlign w:val="center"/>
          </w:tcPr>
          <w:p>
            <w:pPr>
              <w:pStyle w:val="19"/>
            </w:pPr>
            <w:r>
              <w:t>0.66</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0.66</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文件柜</w:t>
            </w:r>
          </w:p>
        </w:tc>
        <w:tc>
          <w:tcPr>
            <w:tcW w:w="1305" w:type="dxa"/>
            <w:tcBorders>
              <w:left w:val="single" w:sz="6" w:space="0" w:color="000000"/>
            </w:tcBorders>
            <w:vAlign w:val="center"/>
          </w:tcPr>
          <w:p>
            <w:pPr>
              <w:pStyle w:val="20"/>
            </w:pPr>
            <w:r>
              <w:t>A05010502</w:t>
            </w:r>
          </w:p>
        </w:tc>
        <w:tc>
          <w:tcPr>
            <w:tcW w:w="540" w:type="dxa"/>
            <w:tcBorders>
              <w:left w:val="single" w:sz="6" w:space="0" w:color="000000"/>
            </w:tcBorders>
            <w:vAlign w:val="center"/>
          </w:tcPr>
          <w:p>
            <w:pPr>
              <w:pStyle w:val="21"/>
            </w:pPr>
            <w:r>
              <w:t>个</w:t>
            </w:r>
          </w:p>
        </w:tc>
        <w:tc>
          <w:tcPr>
            <w:tcW w:w="643" w:type="dxa"/>
            <w:tcBorders>
              <w:left w:val="single" w:sz="6" w:space="0" w:color="000000"/>
            </w:tcBorders>
            <w:vAlign w:val="center"/>
          </w:tcPr>
          <w:p>
            <w:pPr>
              <w:pStyle w:val="19"/>
            </w:pPr>
            <w:r>
              <w:t>6</w:t>
            </w:r>
          </w:p>
        </w:tc>
        <w:tc>
          <w:tcPr>
            <w:tcW w:w="850" w:type="dxa"/>
            <w:tcBorders>
              <w:left w:val="single" w:sz="6" w:space="0" w:color="000000"/>
            </w:tcBorders>
            <w:vAlign w:val="center"/>
          </w:tcPr>
          <w:p>
            <w:pPr>
              <w:pStyle w:val="19"/>
            </w:pPr>
            <w:r>
              <w:t>0.06</w:t>
            </w:r>
          </w:p>
        </w:tc>
        <w:tc>
          <w:tcPr>
            <w:tcW w:w="964" w:type="dxa"/>
            <w:tcBorders>
              <w:left w:val="single" w:sz="6" w:space="0" w:color="000000"/>
            </w:tcBorders>
            <w:vAlign w:val="center"/>
          </w:tcPr>
          <w:p>
            <w:pPr>
              <w:pStyle w:val="19"/>
            </w:pPr>
            <w:r>
              <w:t>0.33</w:t>
            </w:r>
          </w:p>
        </w:tc>
        <w:tc>
          <w:tcPr>
            <w:tcW w:w="1098" w:type="dxa"/>
            <w:tcBorders>
              <w:left w:val="single" w:sz="6" w:space="0" w:color="000000"/>
            </w:tcBorders>
            <w:vAlign w:val="center"/>
          </w:tcPr>
          <w:p>
            <w:pPr>
              <w:pStyle w:val="19"/>
            </w:pPr>
            <w:r>
              <w:t>0.33</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0.33</w:t>
            </w:r>
          </w:p>
        </w:tc>
      </w:tr>
      <w:tr>
        <w:tc>
          <w:tcPr>
            <w:tcW w:w="1701" w:type="dxa"/>
            <w:vAlign w:val="center"/>
          </w:tcPr>
          <w:p>
            <w:pPr>
              <w:pStyle w:val="20"/>
            </w:pPr>
            <w:r>
              <w:t>信访运行经费</w:t>
            </w:r>
          </w:p>
        </w:tc>
        <w:tc>
          <w:tcPr>
            <w:tcW w:w="964" w:type="dxa"/>
            <w:tcBorders>
              <w:left w:val="single" w:sz="6" w:space="0" w:color="000000"/>
            </w:tcBorders>
            <w:vAlign w:val="center"/>
          </w:tcPr>
          <w:p>
            <w:pPr>
              <w:pStyle w:val="19"/>
            </w:pPr>
            <w:r>
              <w:t>25.77</w:t>
            </w:r>
          </w:p>
        </w:tc>
        <w:tc>
          <w:tcPr>
            <w:tcW w:w="1339" w:type="dxa"/>
            <w:tcBorders>
              <w:left w:val="single" w:sz="6" w:space="0" w:color="000000"/>
            </w:tcBorders>
            <w:vAlign w:val="center"/>
          </w:tcPr>
          <w:p>
            <w:pPr>
              <w:pStyle w:val="20"/>
            </w:pPr>
            <w:r>
              <w:t>复印纸</w:t>
            </w:r>
          </w:p>
        </w:tc>
        <w:tc>
          <w:tcPr>
            <w:tcW w:w="1305" w:type="dxa"/>
            <w:tcBorders>
              <w:left w:val="single" w:sz="6" w:space="0" w:color="000000"/>
            </w:tcBorders>
            <w:vAlign w:val="center"/>
          </w:tcPr>
          <w:p>
            <w:pPr>
              <w:pStyle w:val="20"/>
            </w:pPr>
            <w:r>
              <w:t>A05040101</w:t>
            </w:r>
          </w:p>
        </w:tc>
        <w:tc>
          <w:tcPr>
            <w:tcW w:w="540" w:type="dxa"/>
            <w:tcBorders>
              <w:left w:val="single" w:sz="6" w:space="0" w:color="000000"/>
            </w:tcBorders>
            <w:vAlign w:val="center"/>
          </w:tcPr>
          <w:p>
            <w:pPr>
              <w:pStyle w:val="21"/>
            </w:pPr>
            <w:r>
              <w:t>批</w:t>
            </w:r>
          </w:p>
        </w:tc>
        <w:tc>
          <w:tcPr>
            <w:tcW w:w="643" w:type="dxa"/>
            <w:tcBorders>
              <w:left w:val="single" w:sz="6" w:space="0" w:color="000000"/>
            </w:tcBorders>
            <w:vAlign w:val="center"/>
          </w:tcPr>
          <w:p>
            <w:pPr>
              <w:pStyle w:val="19"/>
            </w:pPr>
            <w:r>
              <w:t>25</w:t>
            </w:r>
          </w:p>
        </w:tc>
        <w:tc>
          <w:tcPr>
            <w:tcW w:w="850" w:type="dxa"/>
            <w:tcBorders>
              <w:left w:val="single" w:sz="6" w:space="0" w:color="000000"/>
            </w:tcBorders>
            <w:vAlign w:val="center"/>
          </w:tcPr>
          <w:p>
            <w:pPr>
              <w:pStyle w:val="19"/>
            </w:pPr>
            <w:r>
              <w:t>0.02</w:t>
            </w:r>
          </w:p>
        </w:tc>
        <w:tc>
          <w:tcPr>
            <w:tcW w:w="964" w:type="dxa"/>
            <w:tcBorders>
              <w:left w:val="single" w:sz="6" w:space="0" w:color="000000"/>
            </w:tcBorders>
            <w:vAlign w:val="center"/>
          </w:tcPr>
          <w:p>
            <w:pPr>
              <w:pStyle w:val="19"/>
            </w:pPr>
            <w:r>
              <w:t>0.45</w:t>
            </w:r>
          </w:p>
        </w:tc>
        <w:tc>
          <w:tcPr>
            <w:tcW w:w="1098" w:type="dxa"/>
            <w:tcBorders>
              <w:left w:val="single" w:sz="6" w:space="0" w:color="000000"/>
            </w:tcBorders>
            <w:vAlign w:val="center"/>
          </w:tcPr>
          <w:p>
            <w:pPr>
              <w:pStyle w:val="19"/>
            </w:pPr>
            <w:r>
              <w:t>0.45</w:t>
            </w:r>
          </w:p>
        </w:tc>
        <w:tc>
          <w:tcPr>
            <w:tcW w:w="83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658" w:type="dxa"/>
            <w:tcBorders>
              <w:left w:val="single" w:sz="6" w:space="0" w:color="000000"/>
            </w:tcBorders>
            <w:vAlign w:val="center"/>
          </w:tcPr>
          <w:p>
            <w:pPr>
              <w:pStyle w:val="19"/>
            </w:pPr>
          </w:p>
        </w:tc>
        <w:tc>
          <w:tcPr>
            <w:tcW w:w="1095" w:type="dxa"/>
            <w:tcBorders>
              <w:left w:val="single" w:sz="6" w:space="0" w:color="000000"/>
            </w:tcBorders>
            <w:vAlign w:val="center"/>
          </w:tcPr>
          <w:p>
            <w:pPr>
              <w:pStyle w:val="19"/>
            </w:pPr>
          </w:p>
        </w:tc>
        <w:tc>
          <w:tcPr>
            <w:tcW w:w="1139" w:type="dxa"/>
            <w:tcBorders>
              <w:left w:val="single" w:sz="6" w:space="0" w:color="000000"/>
            </w:tcBorders>
            <w:vAlign w:val="center"/>
          </w:tcPr>
          <w:p>
            <w:pPr>
              <w:pStyle w:val="19"/>
            </w:pPr>
            <w:r>
              <w:t>0.45</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隆尧县信访局本级上年末固定资产金额为53.068</w:t>
      </w:r>
      <w:bookmarkStart w:id="0" w:name="_GoBack"/>
      <w:bookmarkEnd w:id="0"/>
      <w:r>
        <w:rPr>
          <w:rFonts w:ascii="Times New Roman" w:eastAsia="方正仿宋_GBK" w:cs="Times New Roman" w:hAnsi="Times New Roman"/>
          <w:b w:val="0"/>
          <w:color w:val="000000"/>
          <w:sz w:val="28"/>
        </w:rPr>
        <w:t>万元（详见下表）。本年度拟购置固定资产总额为5万元，已按要求列入政府采购预算，详见政府采购预算表。</w:t>
      </w:r>
    </w:p>
    <w:p>
      <w:pPr>
        <w:spacing w:before="0" w:after="0"/>
        <w:ind w:firstLine="0"/>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rPr>
                <w:rFonts w:eastAsia="方正小标宋_GBK"/>
                <w:lang w:val="en-US" w:eastAsia="zh-CN"/>
              </w:rPr>
            </w:pPr>
            <w:r>
              <w:t>501</w:t>
            </w:r>
            <w:r>
              <w:rPr>
                <w:rFonts w:hint="eastAsia"/>
                <w:lang w:val="en-US" w:eastAsia="zh-CN"/>
              </w:rPr>
              <w:t>001</w:t>
            </w:r>
            <w:r>
              <w:t>隆尧县信访局</w:t>
            </w:r>
            <w:r>
              <w:rPr>
                <w:rFonts w:hint="eastAsia"/>
                <w:lang w:val="en-US" w:eastAsia="zh-CN"/>
              </w:rPr>
              <w:t>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ind w:firstLine="0"/>
            </w:pPr>
            <w:r>
              <w:t>资产总额</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r>
              <w:t>53.068</w:t>
            </w:r>
          </w:p>
        </w:tc>
      </w:tr>
      <w:tr>
        <w:tc>
          <w:tcPr>
            <w:tcW w:w="7370" w:type="dxa"/>
            <w:vAlign w:val="center"/>
          </w:tcPr>
          <w:p>
            <w:pPr>
              <w:pStyle w:val="20"/>
              <w:ind w:firstLine="0"/>
            </w:pPr>
            <w:r>
              <w:t>1、房屋（平方米）</w:t>
            </w:r>
          </w:p>
        </w:tc>
        <w:tc>
          <w:tcPr>
            <w:tcW w:w="2835" w:type="dxa"/>
            <w:tcBorders>
              <w:left w:val="single" w:sz="6" w:space="0" w:color="auto"/>
            </w:tcBorders>
            <w:vAlign w:val="center"/>
          </w:tcPr>
          <w:p>
            <w:pPr>
              <w:pStyle w:val="21"/>
              <w:ind w:firstLine="0"/>
            </w:pPr>
            <w:r>
              <w:t>377</w:t>
            </w:r>
          </w:p>
        </w:tc>
        <w:tc>
          <w:tcPr>
            <w:tcW w:w="2835" w:type="dxa"/>
            <w:tcBorders>
              <w:left w:val="single" w:sz="6" w:space="0" w:color="auto"/>
            </w:tcBorders>
            <w:vAlign w:val="center"/>
          </w:tcPr>
          <w:p>
            <w:pPr>
              <w:pStyle w:val="19"/>
              <w:ind w:firstLine="0"/>
            </w:pPr>
            <w:r>
              <w:t>40000</w:t>
            </w:r>
          </w:p>
        </w:tc>
      </w:tr>
      <w:tr>
        <w:tc>
          <w:tcPr>
            <w:tcW w:w="7370" w:type="dxa"/>
            <w:vAlign w:val="center"/>
          </w:tcPr>
          <w:p>
            <w:pPr>
              <w:pStyle w:val="20"/>
              <w:ind w:firstLine="0"/>
            </w:pPr>
            <w:r>
              <w:t>　　其中：办公用房（平方米）</w:t>
            </w:r>
          </w:p>
        </w:tc>
        <w:tc>
          <w:tcPr>
            <w:tcW w:w="2835" w:type="dxa"/>
            <w:tcBorders>
              <w:left w:val="single" w:sz="6" w:space="0" w:color="auto"/>
            </w:tcBorders>
            <w:vAlign w:val="center"/>
          </w:tcPr>
          <w:p>
            <w:pPr>
              <w:pStyle w:val="21"/>
              <w:ind w:firstLine="0"/>
            </w:pPr>
            <w:r>
              <w:t>32</w:t>
            </w: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2、车辆（台、辆）</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3、单价在20万元以上的设备</w:t>
            </w:r>
          </w:p>
        </w:tc>
        <w:tc>
          <w:tcPr>
            <w:tcW w:w="2835" w:type="dxa"/>
            <w:tcBorders>
              <w:left w:val="single" w:sz="6" w:space="0" w:color="auto"/>
            </w:tcBorders>
            <w:vAlign w:val="center"/>
          </w:tcPr>
          <w:p>
            <w:pPr>
              <w:pStyle w:val="21"/>
              <w:ind w:firstLine="0"/>
            </w:pPr>
          </w:p>
        </w:tc>
        <w:tc>
          <w:tcPr>
            <w:tcW w:w="2835" w:type="dxa"/>
            <w:tcBorders>
              <w:left w:val="single" w:sz="6" w:space="0" w:color="auto"/>
            </w:tcBorders>
            <w:vAlign w:val="center"/>
          </w:tcPr>
          <w:p>
            <w:pPr>
              <w:pStyle w:val="19"/>
              <w:ind w:firstLine="0"/>
            </w:pPr>
          </w:p>
        </w:tc>
      </w:tr>
      <w:tr>
        <w:tc>
          <w:tcPr>
            <w:tcW w:w="7370" w:type="dxa"/>
            <w:vAlign w:val="center"/>
          </w:tcPr>
          <w:p>
            <w:pPr>
              <w:pStyle w:val="20"/>
              <w:ind w:firstLine="0"/>
            </w:pPr>
            <w:r>
              <w:t>4、其他固定资产</w:t>
            </w:r>
          </w:p>
        </w:tc>
        <w:tc>
          <w:tcPr>
            <w:tcW w:w="2835" w:type="dxa"/>
            <w:tcBorders>
              <w:left w:val="single" w:sz="6" w:space="0" w:color="auto"/>
            </w:tcBorders>
            <w:vAlign w:val="center"/>
          </w:tcPr>
          <w:p>
            <w:pPr>
              <w:pStyle w:val="21"/>
              <w:ind w:firstLine="0"/>
              <w:rPr>
                <w:rFonts w:eastAsia="方正书宋_GBK" w:hint="eastAsia"/>
                <w:lang w:eastAsia="zh-CN"/>
              </w:rPr>
            </w:pPr>
            <w:r>
              <w:t>354</w:t>
            </w:r>
          </w:p>
        </w:tc>
        <w:tc>
          <w:tcPr>
            <w:tcW w:w="2835" w:type="dxa"/>
            <w:tcBorders>
              <w:left w:val="single" w:sz="6" w:space="0" w:color="auto"/>
            </w:tcBorders>
            <w:vAlign w:val="center"/>
          </w:tcPr>
          <w:p>
            <w:pPr>
              <w:pStyle w:val="19"/>
              <w:ind w:firstLine="0"/>
              <w:rPr>
                <w:rFonts w:eastAsia="方正书宋_GBK"/>
                <w:lang w:val="en-US" w:eastAsia="zh-CN"/>
              </w:rPr>
            </w:pPr>
            <w:r>
              <w:t>49.068</w:t>
            </w:r>
          </w:p>
        </w:tc>
      </w:tr>
    </w:tbl>
    <w:p>
      <w:pPr>
        <w:spacing w:before="0" w:after="0"/>
        <w:ind w:firstLine="640"/>
        <w:jc w:val="left"/>
      </w:pPr>
      <w:r>
        <w:rPr>
          <w:rFonts w:ascii="Times New Roman" w:eastAsia="方正仿宋_GBK" w:cs="Times New Roman" w:hAnsi="Times New Roman"/>
          <w:color w:val="000000"/>
          <w:sz w:val="32"/>
        </w:rPr>
        <w:t xml:space="preserve"> </w:t>
      </w:r>
    </w:p>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仿宋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32">
    <w:name w:val="index 7"/>
    <w:qFormat/>
    <w:basedOn w:val="0"/>
    <w:autoRedefine/>
    <w:next w:val="0"/>
    <w:pPr>
      <w:ind w:left="2520"/>
    </w:pPr>
  </w:style>
  <w:style w:type="paragraph" w:customStyle="1" w:styleId="33">
    <w:name w:val="插入文本样式-插入部门职责文件"/>
    <w:qFormat/>
    <w:basedOn w:val="0"/>
    <w:pPr>
      <w:spacing w:line="500" w:lineRule="exact"/>
      <w:ind w:firstLine="560"/>
    </w:pPr>
    <w:rPr>
      <w:rFonts w:ascii="Times New Roman" w:eastAsia="方正仿宋_GBK" w:cs="Arial" w:hAnsi="Times New Roman"/>
      <w:sz w:val="28"/>
      <w:szCs w:val="24"/>
      <w:lang w:val="en-US" w:eastAsia="uk-UA" w:bidi="ar-SA"/>
    </w:rPr>
  </w:style>
  <w:style w:type="paragraph" w:styleId="50">
    <w:name w:val="header"/>
    <w:qFormat/>
    <w:basedOn w:val="0"/>
    <w:pPr>
      <w:pBdr>
        <w:bottom w:val="single" w:sz="6" w:space="1" w:color="auto"/>
      </w:pBdr>
      <w:tabs>
        <w:tab w:val="center" w:pos="4153"/>
        <w:tab w:val="right" w:pos="8307"/>
      </w:tabs>
      <w:snapToGrid w:val="0"/>
      <w:jc w:val="center"/>
    </w:pPr>
    <w:rPr>
      <w:sz w:val="18"/>
      <w:szCs w:val="18"/>
    </w:rPr>
  </w:style>
  <w:style w:type="paragraph" w:styleId="51">
    <w:name w:val="footer"/>
    <w:qFormat/>
    <w:basedOn w:val="0"/>
    <w:pPr>
      <w:tabs>
        <w:tab w:val="center" w:pos="4153"/>
        <w:tab w:val="right" w:pos="8307"/>
      </w:tabs>
      <w:snapToGrid w:val="0"/>
      <w:jc w:val="left"/>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2E8A891-F3B6-4035-B7B4-FACF6B42D09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104</TotalTime>
  <Application>Yozo_Office27021597764231189</Application>
  <Pages>25</Pages>
  <Words>0</Words>
  <Characters>9018</Characters>
  <Lines>0</Lines>
  <Paragraphs>125</Paragraphs>
  <CharactersWithSpaces>12025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wo</cp:lastModifiedBy>
  <cp:revision>1</cp:revision>
  <dcterms:created xsi:type="dcterms:W3CDTF">2026-02-04T09:58:04Z</dcterms:created>
  <dcterms:modified xsi:type="dcterms:W3CDTF">2026-02-04T08:51:55Z</dcterms:modified>
</cp:coreProperties>
</file>