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725.59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669.50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725.59</w:t>
            </w:r>
          </w:p>
        </w:tc>
        <w:tc>
          <w:tcPr>
            <w:tcW w:w="4535" w:type="dxa"/>
            <w:vAlign w:val="center"/>
          </w:tcPr>
          <w:p>
            <w:pPr>
              <w:pStyle w:val="15"/>
            </w:pPr>
            <w:r>
              <w:t>本年支出合计</w:t>
            </w:r>
          </w:p>
        </w:tc>
        <w:tc>
          <w:tcPr>
            <w:tcW w:w="2126" w:type="dxa"/>
            <w:vAlign w:val="center"/>
          </w:tcPr>
          <w:p>
            <w:pPr>
              <w:pStyle w:val="16"/>
            </w:pPr>
            <w:r>
              <w:t>725.59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725.59</w:t>
            </w:r>
          </w:p>
        </w:tc>
        <w:tc>
          <w:tcPr>
            <w:tcW w:w="4535" w:type="dxa"/>
            <w:vAlign w:val="center"/>
          </w:tcPr>
          <w:p>
            <w:pPr>
              <w:pStyle w:val="15"/>
            </w:pPr>
            <w:r>
              <w:t>支出总计</w:t>
            </w:r>
          </w:p>
        </w:tc>
        <w:tc>
          <w:tcPr>
            <w:tcW w:w="2126" w:type="dxa"/>
            <w:vAlign w:val="center"/>
          </w:tcPr>
          <w:p>
            <w:pPr>
              <w:pStyle w:val="16"/>
            </w:pPr>
            <w:r>
              <w:t>725.59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725.59</w:t>
            </w:r>
          </w:p>
        </w:tc>
        <w:tc>
          <w:tcPr>
            <w:tcW w:w="1134" w:type="dxa"/>
            <w:vAlign w:val="center"/>
          </w:tcPr>
          <w:p>
            <w:pPr>
              <w:pStyle w:val="16"/>
            </w:pPr>
            <w:r>
              <w:t>725.59</w:t>
            </w:r>
          </w:p>
        </w:tc>
        <w:tc>
          <w:tcPr>
            <w:tcW w:w="1134" w:type="dxa"/>
            <w:vAlign w:val="center"/>
          </w:tcPr>
          <w:p>
            <w:pPr>
              <w:pStyle w:val="16"/>
            </w:pPr>
            <w:r>
              <w:t>725.59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2040299</w:t>
            </w:r>
          </w:p>
        </w:tc>
        <w:tc>
          <w:tcPr>
            <w:tcW w:w="1559" w:type="dxa"/>
            <w:vAlign w:val="center"/>
          </w:tcPr>
          <w:p>
            <w:pPr>
              <w:pStyle w:val="13"/>
            </w:pPr>
            <w:r>
              <w:t>其他公安支出</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725.59</w:t>
            </w:r>
          </w:p>
        </w:tc>
        <w:tc>
          <w:tcPr>
            <w:tcW w:w="1361" w:type="dxa"/>
            <w:vAlign w:val="center"/>
          </w:tcPr>
          <w:p>
            <w:pPr>
              <w:pStyle w:val="16"/>
            </w:pPr>
            <w:r>
              <w:t>282.03</w:t>
            </w:r>
          </w:p>
        </w:tc>
        <w:tc>
          <w:tcPr>
            <w:tcW w:w="1361" w:type="dxa"/>
            <w:vAlign w:val="center"/>
          </w:tcPr>
          <w:p>
            <w:pPr>
              <w:pStyle w:val="16"/>
            </w:pPr>
            <w:r>
              <w:t>443.57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2040299</w:t>
            </w:r>
          </w:p>
        </w:tc>
        <w:tc>
          <w:tcPr>
            <w:tcW w:w="4535" w:type="dxa"/>
            <w:vAlign w:val="center"/>
          </w:tcPr>
          <w:p>
            <w:pPr>
              <w:pStyle w:val="13"/>
            </w:pPr>
            <w:r>
              <w:t>其他公安支出</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725.59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669.50</w:t>
            </w:r>
          </w:p>
        </w:tc>
        <w:tc>
          <w:tcPr>
            <w:tcW w:w="1474" w:type="dxa"/>
            <w:vAlign w:val="center"/>
          </w:tcPr>
          <w:p>
            <w:pPr>
              <w:pStyle w:val="12"/>
            </w:pPr>
            <w:r>
              <w:t>669.50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25.51</w:t>
            </w:r>
          </w:p>
        </w:tc>
        <w:tc>
          <w:tcPr>
            <w:tcW w:w="1474" w:type="dxa"/>
            <w:vAlign w:val="center"/>
          </w:tcPr>
          <w:p>
            <w:pPr>
              <w:pStyle w:val="12"/>
            </w:pPr>
            <w:r>
              <w:t>25.51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11.85</w:t>
            </w:r>
          </w:p>
        </w:tc>
        <w:tc>
          <w:tcPr>
            <w:tcW w:w="1474" w:type="dxa"/>
            <w:vAlign w:val="center"/>
          </w:tcPr>
          <w:p>
            <w:pPr>
              <w:pStyle w:val="12"/>
            </w:pPr>
            <w:r>
              <w:t>11.85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18.73</w:t>
            </w:r>
          </w:p>
        </w:tc>
        <w:tc>
          <w:tcPr>
            <w:tcW w:w="1474" w:type="dxa"/>
            <w:vAlign w:val="center"/>
          </w:tcPr>
          <w:p>
            <w:pPr>
              <w:pStyle w:val="12"/>
            </w:pPr>
            <w:r>
              <w:t>18.73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725.59</w:t>
            </w:r>
          </w:p>
        </w:tc>
        <w:tc>
          <w:tcPr>
            <w:tcW w:w="3402" w:type="dxa"/>
            <w:vAlign w:val="center"/>
          </w:tcPr>
          <w:p>
            <w:pPr>
              <w:pStyle w:val="15"/>
            </w:pPr>
            <w:r>
              <w:t>本年支出合计</w:t>
            </w:r>
          </w:p>
        </w:tc>
        <w:tc>
          <w:tcPr>
            <w:tcW w:w="1474" w:type="dxa"/>
            <w:vAlign w:val="center"/>
          </w:tcPr>
          <w:p>
            <w:pPr>
              <w:pStyle w:val="16"/>
            </w:pPr>
            <w:r>
              <w:t>725.59</w:t>
            </w:r>
          </w:p>
        </w:tc>
        <w:tc>
          <w:tcPr>
            <w:tcW w:w="1474" w:type="dxa"/>
            <w:vAlign w:val="center"/>
          </w:tcPr>
          <w:p>
            <w:pPr>
              <w:pStyle w:val="16"/>
            </w:pPr>
            <w:r>
              <w:t>725.59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725.59</w:t>
            </w:r>
          </w:p>
        </w:tc>
        <w:tc>
          <w:tcPr>
            <w:tcW w:w="3402" w:type="dxa"/>
            <w:vAlign w:val="center"/>
          </w:tcPr>
          <w:p>
            <w:pPr>
              <w:pStyle w:val="15"/>
            </w:pPr>
            <w:r>
              <w:t>支出总计</w:t>
            </w:r>
          </w:p>
        </w:tc>
        <w:tc>
          <w:tcPr>
            <w:tcW w:w="1474" w:type="dxa"/>
            <w:vAlign w:val="center"/>
          </w:tcPr>
          <w:p>
            <w:pPr>
              <w:pStyle w:val="16"/>
            </w:pPr>
            <w:r>
              <w:t>725.59</w:t>
            </w:r>
          </w:p>
        </w:tc>
        <w:tc>
          <w:tcPr>
            <w:tcW w:w="1474" w:type="dxa"/>
            <w:vAlign w:val="center"/>
          </w:tcPr>
          <w:p>
            <w:pPr>
              <w:pStyle w:val="16"/>
            </w:pPr>
            <w:r>
              <w:t>725.59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725.59</w:t>
            </w:r>
          </w:p>
        </w:tc>
        <w:tc>
          <w:tcPr>
            <w:tcW w:w="2551" w:type="dxa"/>
            <w:vAlign w:val="center"/>
          </w:tcPr>
          <w:p>
            <w:pPr>
              <w:pStyle w:val="16"/>
            </w:pPr>
            <w:r>
              <w:t>282.03</w:t>
            </w:r>
          </w:p>
        </w:tc>
        <w:tc>
          <w:tcPr>
            <w:tcW w:w="2551" w:type="dxa"/>
            <w:vAlign w:val="center"/>
          </w:tcPr>
          <w:p>
            <w:pPr>
              <w:pStyle w:val="16"/>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2040299</w:t>
            </w:r>
          </w:p>
        </w:tc>
        <w:tc>
          <w:tcPr>
            <w:tcW w:w="4535" w:type="dxa"/>
            <w:vAlign w:val="center"/>
          </w:tcPr>
          <w:p>
            <w:pPr>
              <w:pStyle w:val="13"/>
            </w:pPr>
            <w:r>
              <w:t>其他公安支出</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282.03</w:t>
            </w:r>
          </w:p>
        </w:tc>
        <w:tc>
          <w:tcPr>
            <w:tcW w:w="2551" w:type="dxa"/>
            <w:vAlign w:val="center"/>
          </w:tcPr>
          <w:p>
            <w:pPr>
              <w:pStyle w:val="16"/>
            </w:pPr>
            <w:r>
              <w:t>260.25</w:t>
            </w:r>
          </w:p>
        </w:tc>
        <w:tc>
          <w:tcPr>
            <w:tcW w:w="2551" w:type="dxa"/>
            <w:vAlign w:val="center"/>
          </w:tcPr>
          <w:p>
            <w:pPr>
              <w:pStyle w:val="16"/>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251.88</w:t>
            </w:r>
          </w:p>
        </w:tc>
        <w:tc>
          <w:tcPr>
            <w:tcW w:w="2551" w:type="dxa"/>
            <w:vAlign w:val="center"/>
          </w:tcPr>
          <w:p>
            <w:pPr>
              <w:pStyle w:val="12"/>
            </w:pPr>
            <w:r>
              <w:t>251.88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105.51</w:t>
            </w:r>
          </w:p>
        </w:tc>
        <w:tc>
          <w:tcPr>
            <w:tcW w:w="2551" w:type="dxa"/>
            <w:vAlign w:val="center"/>
          </w:tcPr>
          <w:p>
            <w:pPr>
              <w:pStyle w:val="12"/>
            </w:pPr>
            <w:r>
              <w:t>105.51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44.61</w:t>
            </w:r>
          </w:p>
        </w:tc>
        <w:tc>
          <w:tcPr>
            <w:tcW w:w="2551" w:type="dxa"/>
            <w:vAlign w:val="center"/>
          </w:tcPr>
          <w:p>
            <w:pPr>
              <w:pStyle w:val="12"/>
            </w:pPr>
            <w:r>
              <w:t>44.61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26.04</w:t>
            </w:r>
          </w:p>
        </w:tc>
        <w:tc>
          <w:tcPr>
            <w:tcW w:w="2551" w:type="dxa"/>
            <w:vAlign w:val="center"/>
          </w:tcPr>
          <w:p>
            <w:pPr>
              <w:pStyle w:val="12"/>
            </w:pPr>
            <w:r>
              <w:t>26.04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18.90</w:t>
            </w:r>
          </w:p>
        </w:tc>
        <w:tc>
          <w:tcPr>
            <w:tcW w:w="2551" w:type="dxa"/>
            <w:vAlign w:val="center"/>
          </w:tcPr>
          <w:p>
            <w:pPr>
              <w:pStyle w:val="12"/>
            </w:pPr>
            <w:r>
              <w:t>18.90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21.78</w:t>
            </w:r>
          </w:p>
        </w:tc>
        <w:tc>
          <w:tcPr>
            <w:tcW w:w="2551" w:type="dxa"/>
            <w:vAlign w:val="center"/>
          </w:tcPr>
          <w:p>
            <w:pPr>
              <w:pStyle w:val="12"/>
            </w:pPr>
          </w:p>
        </w:tc>
        <w:tc>
          <w:tcPr>
            <w:tcW w:w="2551" w:type="dxa"/>
            <w:vAlign w:val="center"/>
          </w:tcPr>
          <w:p>
            <w:pPr>
              <w:pStyle w:val="12"/>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0.19</w:t>
            </w:r>
          </w:p>
        </w:tc>
        <w:tc>
          <w:tcPr>
            <w:tcW w:w="2551" w:type="dxa"/>
            <w:vAlign w:val="center"/>
          </w:tcPr>
          <w:p>
            <w:pPr>
              <w:pStyle w:val="12"/>
            </w:pPr>
          </w:p>
        </w:tc>
        <w:tc>
          <w:tcPr>
            <w:tcW w:w="2551"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0.63</w:t>
            </w:r>
          </w:p>
        </w:tc>
        <w:tc>
          <w:tcPr>
            <w:tcW w:w="2551" w:type="dxa"/>
            <w:vAlign w:val="center"/>
          </w:tcPr>
          <w:p>
            <w:pPr>
              <w:pStyle w:val="12"/>
            </w:pPr>
          </w:p>
        </w:tc>
        <w:tc>
          <w:tcPr>
            <w:tcW w:w="2551" w:type="dxa"/>
            <w:vAlign w:val="center"/>
          </w:tcPr>
          <w:p>
            <w:pPr>
              <w:pStyle w:val="12"/>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14.22</w:t>
            </w:r>
          </w:p>
        </w:tc>
        <w:tc>
          <w:tcPr>
            <w:tcW w:w="2551" w:type="dxa"/>
            <w:vAlign w:val="center"/>
          </w:tcPr>
          <w:p>
            <w:pPr>
              <w:pStyle w:val="12"/>
            </w:pPr>
          </w:p>
        </w:tc>
        <w:tc>
          <w:tcPr>
            <w:tcW w:w="2551" w:type="dxa"/>
            <w:vAlign w:val="center"/>
          </w:tcPr>
          <w:p>
            <w:pPr>
              <w:pStyle w:val="12"/>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pPr>
        <w:spacing w:before="0" w:after="0" w:line="240" w:lineRule="auto"/>
        <w:ind w:firstLine="640"/>
        <w:jc w:val="left"/>
        <w:outlineLvl w:val="9"/>
        <w:rPr>
          <w:rFonts w:hint="eastAsia" w:ascii="Times New Roman" w:hAnsi="Times New Roman" w:eastAsia="方正仿宋_GBK" w:cs="Times New Roman"/>
          <w:color w:val="000000"/>
          <w:sz w:val="28"/>
        </w:rPr>
      </w:pPr>
    </w:p>
    <w:p>
      <w:pPr>
        <w:spacing w:before="0" w:after="0" w:line="240" w:lineRule="auto"/>
        <w:ind w:firstLine="640"/>
        <w:jc w:val="left"/>
        <w:outlineLvl w:val="9"/>
        <w:rPr>
          <w:rFonts w:hint="eastAsia" w:ascii="Times New Roman" w:hAnsi="Times New Roman" w:eastAsia="方正仿宋_GBK" w:cs="Times New Roman"/>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中国共产党隆尧县委员会政法委员会本级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按照预算管理有关规定，目前我省部门预算的编制实行综合预算管理，即全部收入和支出都反映的预算中。中共隆尧县委政法委员会的收支包含在部门预算中。</w:t>
      </w:r>
    </w:p>
    <w:p>
      <w:pPr>
        <w:pStyle w:val="19"/>
      </w:pPr>
      <w:r>
        <w:t>1、收入说明</w:t>
      </w:r>
    </w:p>
    <w:p>
      <w:pPr>
        <w:pStyle w:val="19"/>
      </w:pPr>
      <w:r>
        <w:t>反映本单位当年全部收入。202</w:t>
      </w:r>
      <w:r>
        <w:rPr>
          <w:rFonts w:hint="eastAsia"/>
          <w:lang w:val="en-US" w:eastAsia="zh-CN"/>
        </w:rPr>
        <w:t>6</w:t>
      </w:r>
      <w:r>
        <w:t>年预算收入</w:t>
      </w:r>
      <w:r>
        <w:rPr>
          <w:rFonts w:hint="eastAsia"/>
          <w:lang w:val="en-US" w:eastAsia="zh-CN"/>
        </w:rPr>
        <w:t>725.59</w:t>
      </w:r>
      <w:r>
        <w:t>万元，其中：一般公共预算收入</w:t>
      </w:r>
      <w:r>
        <w:rPr>
          <w:rFonts w:hint="eastAsia"/>
          <w:lang w:val="en-US" w:eastAsia="zh-CN"/>
        </w:rPr>
        <w:t>725.59</w:t>
      </w:r>
      <w:r>
        <w:t>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收支预算总表支出栏、基本支出表、项目支出表按经济分类和支出功能分类科目编制，反映中共隆尧县委政法委员会年度部门预算中支出预算的总体情况。202</w:t>
      </w:r>
      <w:r>
        <w:rPr>
          <w:rFonts w:hint="eastAsia"/>
          <w:lang w:val="en-US" w:eastAsia="zh-CN"/>
        </w:rPr>
        <w:t>6</w:t>
      </w:r>
      <w:r>
        <w:t>年部门支出预算为</w:t>
      </w:r>
      <w:r>
        <w:rPr>
          <w:rFonts w:hint="eastAsia"/>
          <w:lang w:val="en-US" w:eastAsia="zh-CN"/>
        </w:rPr>
        <w:t>725.59</w:t>
      </w:r>
      <w:r>
        <w:t>万元，其中基本支出</w:t>
      </w:r>
      <w:r>
        <w:rPr>
          <w:rFonts w:hint="eastAsia"/>
          <w:lang w:val="en-US" w:eastAsia="zh-CN"/>
        </w:rPr>
        <w:t>282.03</w:t>
      </w:r>
      <w:r>
        <w:t>万元，包括人员经费</w:t>
      </w:r>
      <w:r>
        <w:rPr>
          <w:rFonts w:hint="eastAsia"/>
          <w:lang w:val="en-US" w:eastAsia="zh-CN"/>
        </w:rPr>
        <w:t>260.25</w:t>
      </w:r>
      <w:r>
        <w:t>万元和日常公用经费</w:t>
      </w:r>
      <w:r>
        <w:rPr>
          <w:rFonts w:hint="eastAsia"/>
          <w:lang w:val="en-US" w:eastAsia="zh-CN"/>
        </w:rPr>
        <w:t>21.78</w:t>
      </w:r>
      <w:r>
        <w:t>万元；项目支出</w:t>
      </w:r>
      <w:r>
        <w:rPr>
          <w:rFonts w:hint="eastAsia"/>
          <w:lang w:val="en-US" w:eastAsia="zh-CN"/>
        </w:rPr>
        <w:t>443.57</w:t>
      </w:r>
      <w:r>
        <w:t>万元，主要为基层治理“织网”专项行动项目</w:t>
      </w:r>
      <w:r>
        <w:rPr>
          <w:rFonts w:hint="eastAsia"/>
          <w:lang w:val="en-US" w:eastAsia="zh-CN"/>
        </w:rPr>
        <w:t>188</w:t>
      </w:r>
      <w:r>
        <w:t>万元；综治视联网经费72.</w:t>
      </w:r>
      <w:r>
        <w:rPr>
          <w:rFonts w:hint="eastAsia"/>
          <w:lang w:val="en-US" w:eastAsia="zh-CN"/>
        </w:rPr>
        <w:t>22</w:t>
      </w:r>
      <w:r>
        <w:t>万元；综治经费（含扫黑除恶）1</w:t>
      </w:r>
      <w:r>
        <w:rPr>
          <w:rFonts w:hint="eastAsia"/>
          <w:lang w:val="en-US" w:eastAsia="zh-CN"/>
        </w:rPr>
        <w:t>8</w:t>
      </w:r>
      <w:r>
        <w:t>万元；政法网经费14.88万元；铁路护路经费</w:t>
      </w:r>
      <w:r>
        <w:rPr>
          <w:rFonts w:hint="eastAsia"/>
          <w:lang w:val="en-US" w:eastAsia="zh-CN"/>
        </w:rPr>
        <w:t>5</w:t>
      </w:r>
      <w:r>
        <w:t>万元；精神障碍监护人责任险和以奖代补经费</w:t>
      </w:r>
      <w:r>
        <w:rPr>
          <w:rFonts w:hint="eastAsia"/>
          <w:lang w:val="en-US" w:eastAsia="zh-CN"/>
        </w:rPr>
        <w:t>45.75</w:t>
      </w:r>
      <w:r>
        <w:t>万元</w:t>
      </w:r>
      <w:r>
        <w:rPr>
          <w:rFonts w:hint="eastAsia"/>
          <w:lang w:eastAsia="zh-CN"/>
        </w:rPr>
        <w:t>；自收自支人员工资</w:t>
      </w:r>
      <w:r>
        <w:rPr>
          <w:rFonts w:hint="eastAsia"/>
          <w:lang w:val="en-US" w:eastAsia="zh-CN"/>
        </w:rPr>
        <w:t>25.6万元；隆尧县政法接入网和综治平台升级扩容项目48万；劳务派遣人员24.12万元；见义勇为奖励金2万元</w:t>
      </w:r>
      <w:r>
        <w:t>。</w:t>
      </w:r>
    </w:p>
    <w:p>
      <w:pPr>
        <w:pStyle w:val="19"/>
      </w:pPr>
      <w:r>
        <w:t>3、比上年增减情况</w:t>
      </w:r>
    </w:p>
    <w:p>
      <w:pPr>
        <w:pStyle w:val="19"/>
      </w:pPr>
      <w:r>
        <w:t>202</w:t>
      </w:r>
      <w:r>
        <w:rPr>
          <w:rFonts w:hint="eastAsia"/>
          <w:lang w:val="en-US" w:eastAsia="zh-CN"/>
        </w:rPr>
        <w:t>6</w:t>
      </w:r>
      <w:r>
        <w:t>年部门预算收支安排</w:t>
      </w:r>
      <w:r>
        <w:rPr>
          <w:rFonts w:hint="eastAsia"/>
          <w:lang w:val="en-US" w:eastAsia="zh-CN"/>
        </w:rPr>
        <w:t>725.59</w:t>
      </w:r>
      <w:r>
        <w:t>万元，较202</w:t>
      </w:r>
      <w:r>
        <w:rPr>
          <w:rFonts w:hint="eastAsia"/>
          <w:lang w:val="en-US" w:eastAsia="zh-CN"/>
        </w:rPr>
        <w:t>5</w:t>
      </w:r>
      <w:r>
        <w:t>年增加</w:t>
      </w:r>
      <w:r>
        <w:rPr>
          <w:rFonts w:hint="eastAsia"/>
          <w:lang w:val="en-US" w:eastAsia="zh-CN"/>
        </w:rPr>
        <w:t>61.1</w:t>
      </w:r>
      <w:r>
        <w:t>万元，其中：基本支出增加</w:t>
      </w:r>
      <w:r>
        <w:rPr>
          <w:rFonts w:hint="eastAsia"/>
          <w:lang w:val="en-US" w:eastAsia="zh-CN"/>
        </w:rPr>
        <w:t>70.74</w:t>
      </w:r>
      <w:r>
        <w:t>万元，主要是人员经费增加所至；项目支出</w:t>
      </w:r>
      <w:r>
        <w:rPr>
          <w:rFonts w:hint="eastAsia"/>
          <w:lang w:eastAsia="zh-CN"/>
        </w:rPr>
        <w:t>减少</w:t>
      </w:r>
      <w:r>
        <w:rPr>
          <w:rFonts w:hint="eastAsia"/>
          <w:lang w:val="en-US" w:eastAsia="zh-CN"/>
        </w:rPr>
        <w:t>9.63</w:t>
      </w:r>
      <w:r>
        <w:t>万元，主要为本年度基层治理“织网”专项行动项目</w:t>
      </w:r>
      <w:r>
        <w:rPr>
          <w:rFonts w:hint="eastAsia"/>
          <w:lang w:eastAsia="zh-CN"/>
        </w:rPr>
        <w:t>建设费用减少</w:t>
      </w:r>
      <w:r>
        <w:t>所至。</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21.78</w:t>
      </w:r>
      <w:r>
        <w:t>万元，主要用于保证单位正常运转的办公支出。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密围绕县委、县政府中心工作，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一、根据党的路线、方针、政策和县委、县政府、市委政法委的部署，统一全县政法各部门的思想和行动。</w:t>
      </w:r>
    </w:p>
    <w:p>
      <w:pPr>
        <w:pStyle w:val="23"/>
      </w:pPr>
      <w:r>
        <w:t>二、对一定时期内全县政法工作作出全局性部署，并督促贯彻落实。</w:t>
      </w:r>
    </w:p>
    <w:p>
      <w:pPr>
        <w:pStyle w:val="23"/>
      </w:pPr>
      <w:r>
        <w:t>三、组织、协调、指导全县社会稳定和矛盾排查调处工作。</w:t>
      </w:r>
    </w:p>
    <w:p>
      <w:pPr>
        <w:pStyle w:val="23"/>
      </w:pPr>
      <w:r>
        <w:t>四、检查县政法各部门执行法律法规和党的方针政策情况，结合实际研究制定严格公正执法、落实党的方针政策的具体措施。</w:t>
      </w:r>
    </w:p>
    <w:p>
      <w:pPr>
        <w:pStyle w:val="23"/>
      </w:pPr>
      <w:r>
        <w:t>五、大力支持和严格监督县政法各部门依法行使职权，指导、协助县政法各部门在依法相互制约的同时密切配合，督促、推动大案要案查处工作，研究、协调有争议的重大、疑难案件。</w:t>
      </w:r>
    </w:p>
    <w:p>
      <w:pPr>
        <w:pStyle w:val="23"/>
      </w:pPr>
      <w:r>
        <w:t>六、组织协调全县社会治安综合治理工作，充分发挥各职能部门作用，推进各项措施的落实。</w:t>
      </w:r>
    </w:p>
    <w:p>
      <w:pPr>
        <w:pStyle w:val="23"/>
      </w:pPr>
      <w:r>
        <w:t>七、组织、协调、指导、督促全县法治建设工作。</w:t>
      </w:r>
    </w:p>
    <w:p>
      <w:pPr>
        <w:pStyle w:val="23"/>
      </w:pPr>
      <w:r>
        <w:t>八、研究本地涉及国家安全稳定相关问题并作出决策。</w:t>
      </w:r>
    </w:p>
    <w:p>
      <w:pPr>
        <w:pStyle w:val="23"/>
      </w:pPr>
      <w:r>
        <w:t>九、认真开展政法工作的调研和宣传工作，总结新经验，解决新问题。</w:t>
      </w:r>
    </w:p>
    <w:p>
      <w:pPr>
        <w:pStyle w:val="23"/>
      </w:pPr>
      <w:r>
        <w:t>十、掌握全县政法队伍建设情况；研究加强政法队伍建设和领导班子建设的措施；协助纪检监察部门查处涉及政法领导干部的大案要案。</w:t>
      </w:r>
    </w:p>
    <w:p>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十一、办理县委、县政府和市委政法委交办的其他事项。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防范化解风险隐患。依托县综治中心</w:t>
      </w:r>
      <w:r>
        <w:rPr>
          <w:rFonts w:hint="eastAsia" w:ascii="Times New Roman" w:hAnsi="Times New Roman"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社会综合治理网格服务平台，加强情报信息工作，加强重点领域、重点人群的风险防范工作，防止发生各类不稳定事件</w:t>
      </w:r>
      <w:r>
        <w:rPr>
          <w:rFonts w:hint="eastAsia" w:ascii="Times New Roman" w:hAnsi="Times New Roman" w:eastAsia="方正仿宋_GBK" w:cs="Times New Roman"/>
          <w:sz w:val="28"/>
          <w:szCs w:val="24"/>
          <w:lang w:val="en-US" w:eastAsia="zh-CN" w:bidi="ar-SA"/>
        </w:rPr>
        <w:t>。组织开展涉法涉诉重点案件评查活动，切实保障公平正义，从源头上预防和化解涉法涉诉问题的发生。</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维护社会治安秩序。坚持扫黑除恶斗争常态化，深入摸排涉黑恶线索，加大打击力度，遏制黑恶违法犯罪反弹。</w:t>
      </w:r>
      <w:r>
        <w:rPr>
          <w:rFonts w:hint="eastAsia" w:ascii="Times New Roman" w:hAnsi="Times New Roman" w:eastAsia="方正仿宋_GBK" w:cs="Times New Roman"/>
          <w:sz w:val="28"/>
          <w:szCs w:val="24"/>
          <w:lang w:val="en-US" w:eastAsia="zh-CN" w:bidi="ar-SA"/>
        </w:rPr>
        <w:t>加强社会治安形势分析研判，及时打击影响突出的违法犯罪活动，切保障人民群众切身利益，维护全县稳定大局</w:t>
      </w:r>
      <w:r>
        <w:rPr>
          <w:rFonts w:hint="eastAsia" w:ascii="Times New Roman" w:hAnsi="Times New Roman" w:eastAsia="方正仿宋_GBK" w:cs="Times New Roman"/>
          <w:sz w:val="28"/>
          <w:szCs w:val="24"/>
          <w:lang w:val="en-US" w:eastAsia="uk-UA" w:bidi="ar-SA"/>
        </w:rPr>
        <w:t>。</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完善“织网”系统功能。在专业力量逐步到位的基础上，加强网格员业务培训，强化实战操作技能，提升工作质效，拓宽问题收集覆盖面，</w:t>
      </w:r>
      <w:r>
        <w:rPr>
          <w:rFonts w:hint="default" w:ascii="Times New Roman" w:hAnsi="Times New Roman" w:eastAsia="方正仿宋_GBK" w:cs="Times New Roman"/>
          <w:sz w:val="28"/>
          <w:szCs w:val="24"/>
          <w:lang w:val="en-US" w:eastAsia="zh-CN" w:bidi="ar-SA"/>
        </w:rPr>
        <w:t>加大</w:t>
      </w:r>
      <w:r>
        <w:rPr>
          <w:rFonts w:hint="eastAsia" w:ascii="Times New Roman" w:hAnsi="Times New Roman" w:eastAsia="方正仿宋_GBK" w:cs="Times New Roman"/>
          <w:sz w:val="28"/>
          <w:szCs w:val="24"/>
          <w:lang w:val="en-US" w:eastAsia="zh-CN" w:bidi="ar-SA"/>
        </w:rPr>
        <w:t>“尧事通”APP及</w:t>
      </w:r>
      <w:r>
        <w:rPr>
          <w:rFonts w:hint="default" w:ascii="Times New Roman" w:hAnsi="Times New Roman" w:eastAsia="方正仿宋_GBK" w:cs="Times New Roman"/>
          <w:sz w:val="28"/>
          <w:szCs w:val="24"/>
          <w:lang w:val="en-US" w:eastAsia="zh-CN" w:bidi="ar-SA"/>
        </w:rPr>
        <w:t>平台宣传推广力度，</w:t>
      </w:r>
      <w:r>
        <w:rPr>
          <w:rFonts w:hint="eastAsia" w:ascii="Times New Roman" w:hAnsi="Times New Roman" w:eastAsia="方正仿宋_GBK" w:cs="Times New Roman"/>
          <w:sz w:val="28"/>
          <w:szCs w:val="24"/>
          <w:lang w:val="en-US" w:eastAsia="zh-CN" w:bidi="ar-SA"/>
        </w:rPr>
        <w:t>在矛盾发现和问题处置上进一步加深层次，提升群众满意度，增强群众获得感，努力</w:t>
      </w:r>
      <w:r>
        <w:rPr>
          <w:rFonts w:hint="eastAsia" w:ascii="Times New Roman" w:hAnsi="Times New Roman" w:eastAsia="方正仿宋_GBK" w:cs="Times New Roman"/>
          <w:sz w:val="28"/>
          <w:szCs w:val="24"/>
          <w:lang w:val="en-US" w:eastAsia="uk-UA" w:bidi="ar-SA"/>
        </w:rPr>
        <w:t>打造新时代“枫桥经验”新模式</w:t>
      </w:r>
      <w:r>
        <w:rPr>
          <w:rFonts w:hint="eastAsia" w:ascii="Times New Roman" w:hAnsi="Times New Roman" w:eastAsia="方正仿宋_GBK" w:cs="Times New Roman"/>
          <w:sz w:val="28"/>
          <w:szCs w:val="24"/>
          <w:lang w:val="en-US" w:eastAsia="zh-CN" w:bidi="ar-SA"/>
        </w:rPr>
        <w:t>、新</w:t>
      </w:r>
      <w:r>
        <w:rPr>
          <w:rFonts w:hint="eastAsia" w:ascii="Times New Roman" w:hAnsi="Times New Roman" w:eastAsia="方正仿宋_GBK" w:cs="Times New Roman"/>
          <w:sz w:val="28"/>
          <w:szCs w:val="24"/>
          <w:lang w:val="en-US" w:eastAsia="uk-UA" w:bidi="ar-SA"/>
        </w:rPr>
        <w:t>亮点</w:t>
      </w:r>
      <w:r>
        <w:rPr>
          <w:rFonts w:hint="eastAsia" w:ascii="Times New Roman" w:hAnsi="Times New Roman" w:eastAsia="方正仿宋_GBK" w:cs="Times New Roman"/>
          <w:sz w:val="28"/>
          <w:szCs w:val="24"/>
          <w:lang w:val="en-US" w:eastAsia="zh-CN" w:bidi="ar-SA"/>
        </w:rPr>
        <w:t>。</w:t>
      </w:r>
    </w:p>
    <w:p>
      <w:p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推进法治隆尧建设。</w:t>
      </w:r>
      <w:r>
        <w:rPr>
          <w:rFonts w:hint="eastAsia" w:ascii="Times New Roman" w:hAnsi="Times New Roman" w:eastAsia="方正仿宋_GBK" w:cs="Times New Roman"/>
          <w:sz w:val="28"/>
          <w:szCs w:val="24"/>
          <w:lang w:val="en-US" w:eastAsia="uk-UA" w:bidi="ar-SA"/>
        </w:rPr>
        <w:t>以创建法治政府为龙头，开展多种形式的法治创建活动，推出更多具有时代意义、进步意义的法治人物、法治范例。</w:t>
      </w:r>
      <w:r>
        <w:rPr>
          <w:rFonts w:hint="eastAsia" w:ascii="Times New Roman" w:hAnsi="Times New Roman" w:eastAsia="方正仿宋_GBK" w:cs="Times New Roman"/>
          <w:sz w:val="28"/>
          <w:szCs w:val="24"/>
          <w:lang w:val="en-US" w:eastAsia="zh-CN" w:bidi="ar-SA"/>
        </w:rPr>
        <w:t>做好2026年度党政主要负责人述法工作；</w:t>
      </w:r>
      <w:r>
        <w:rPr>
          <w:rFonts w:hint="default" w:ascii="Times New Roman" w:hAnsi="Times New Roman" w:eastAsia="方正仿宋_GBK" w:cs="Times New Roman"/>
          <w:sz w:val="28"/>
          <w:szCs w:val="24"/>
          <w:lang w:val="en-US" w:eastAsia="zh-CN" w:bidi="ar-SA"/>
        </w:rPr>
        <w:t>深入开展法治宣传教育</w:t>
      </w:r>
      <w:r>
        <w:rPr>
          <w:rFonts w:hint="eastAsia" w:ascii="Times New Roman" w:hAnsi="Times New Roman" w:eastAsia="方正仿宋_GBK" w:cs="Times New Roman"/>
          <w:sz w:val="28"/>
          <w:szCs w:val="24"/>
          <w:lang w:val="en-US" w:eastAsia="zh-CN" w:bidi="ar-SA"/>
        </w:rPr>
        <w:t>；扎实推进落实司法领域改革，</w:t>
      </w:r>
      <w:r>
        <w:rPr>
          <w:rFonts w:hint="eastAsia" w:ascii="Times New Roman" w:hAnsi="Times New Roman" w:eastAsia="方正仿宋_GBK" w:cs="Times New Roman"/>
          <w:sz w:val="28"/>
          <w:szCs w:val="24"/>
          <w:lang w:val="en-US" w:eastAsia="uk-UA" w:bidi="ar-SA"/>
        </w:rPr>
        <w:t>强化司法执法监督，加大涉法涉诉信访问题化解力度，减少信访上行隐患。</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加强机关政治建设。认真落实党风廉政建设主体责任，积极开展政治性警示教育，强化纪律作风建设</w:t>
      </w:r>
      <w:r>
        <w:rPr>
          <w:rFonts w:hint="eastAsia" w:ascii="Times New Roman" w:hAnsi="Times New Roman" w:eastAsia="方正仿宋_GBK" w:cs="Times New Roman"/>
          <w:sz w:val="28"/>
          <w:szCs w:val="24"/>
          <w:lang w:val="en-US" w:eastAsia="zh-CN" w:bidi="ar-SA"/>
        </w:rPr>
        <w:t>。持续推动县委巡察反馈问题整改落实，持续净化机关政治生态，全面提升机关工作质效。深入学习贯彻二十届四中全会精神，做到深学笃行，指导政法工作再上新台阶。</w:t>
      </w:r>
      <w:r>
        <w:rPr>
          <w:rFonts w:hint="eastAsia" w:ascii="Times New Roman" w:hAnsi="Times New Roman" w:eastAsia="方正仿宋_GBK" w:cs="Times New Roman"/>
          <w:sz w:val="28"/>
          <w:szCs w:val="24"/>
          <w:lang w:val="en-US" w:eastAsia="uk-UA" w:bidi="ar-SA"/>
        </w:rPr>
        <w:t>深入贯彻</w:t>
      </w:r>
      <w:r>
        <w:rPr>
          <w:rFonts w:hint="eastAsia" w:ascii="Times New Roman" w:hAnsi="Times New Roman" w:eastAsia="方正仿宋_GBK" w:cs="Times New Roman"/>
          <w:sz w:val="28"/>
          <w:szCs w:val="24"/>
          <w:lang w:val="en-US" w:eastAsia="zh-CN" w:bidi="ar-SA"/>
        </w:rPr>
        <w:t>落实</w:t>
      </w:r>
      <w:r>
        <w:rPr>
          <w:rFonts w:hint="eastAsia" w:ascii="Times New Roman" w:hAnsi="Times New Roman" w:eastAsia="方正仿宋_GBK" w:cs="Times New Roman"/>
          <w:sz w:val="28"/>
          <w:szCs w:val="24"/>
          <w:lang w:val="en-US" w:eastAsia="uk-UA" w:bidi="ar-SA"/>
        </w:rPr>
        <w:t>《中国共产党政法工作条例》，</w:t>
      </w:r>
      <w:r>
        <w:rPr>
          <w:rFonts w:hint="eastAsia" w:ascii="Times New Roman" w:hAnsi="Times New Roman" w:eastAsia="方正仿宋_GBK" w:cs="Times New Roman"/>
          <w:sz w:val="28"/>
          <w:szCs w:val="24"/>
          <w:lang w:val="en-US" w:eastAsia="zh-CN" w:bidi="ar-SA"/>
        </w:rPr>
        <w:t>组织开展政法单位政治督察活动，加强政法机关政治建设，推进政治建设与业务建设深度融合，</w:t>
      </w:r>
      <w:r>
        <w:rPr>
          <w:rFonts w:hint="eastAsia" w:ascii="Times New Roman" w:hAnsi="Times New Roman" w:eastAsia="方正仿宋_GBK" w:cs="Times New Roman"/>
          <w:sz w:val="28"/>
          <w:szCs w:val="24"/>
          <w:lang w:val="en-US" w:eastAsia="uk-UA" w:bidi="ar-SA"/>
        </w:rPr>
        <w:t>推动群众安全感和满意度“双提升”。</w:t>
      </w:r>
    </w:p>
    <w:p>
      <w:pPr>
        <w:keepNext w:val="0"/>
        <w:keepLines w:val="0"/>
        <w:pageBreakBefore w:val="0"/>
        <w:widowControl w:val="0"/>
        <w:kinsoku/>
        <w:wordWrap/>
        <w:overflowPunct/>
        <w:topLinePunct w:val="0"/>
        <w:autoSpaceDE/>
        <w:autoSpaceDN/>
        <w:bidi w:val="0"/>
        <w:adjustRightInd w:val="0"/>
        <w:snapToGrid w:val="0"/>
        <w:spacing w:line="600" w:lineRule="atLeast"/>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1、基层治理“织网”专项行动经费绩效目标表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13052526P000033100206</w:t>
            </w:r>
          </w:p>
        </w:tc>
        <w:tc>
          <w:tcPr>
            <w:tcW w:w="2835" w:type="dxa"/>
            <w:vAlign w:val="center"/>
          </w:tcPr>
          <w:p>
            <w:pPr>
              <w:pStyle w:val="11"/>
            </w:pPr>
            <w:r>
              <w:t>项目名称</w:t>
            </w:r>
          </w:p>
        </w:tc>
        <w:tc>
          <w:tcPr>
            <w:tcW w:w="6095" w:type="dxa"/>
            <w:gridSpan w:val="3"/>
            <w:vAlign w:val="center"/>
          </w:tcPr>
          <w:p>
            <w:pPr>
              <w:pStyle w:val="13"/>
            </w:pPr>
            <w:r>
              <w:t>基层治理“织网”专项行动经费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188.00</w:t>
            </w:r>
          </w:p>
        </w:tc>
        <w:tc>
          <w:tcPr>
            <w:tcW w:w="2835" w:type="dxa"/>
            <w:vAlign w:val="center"/>
          </w:tcPr>
          <w:p>
            <w:pPr>
              <w:pStyle w:val="11"/>
            </w:pPr>
            <w:r>
              <w:t>其中：财政    资金</w:t>
            </w:r>
          </w:p>
        </w:tc>
        <w:tc>
          <w:tcPr>
            <w:tcW w:w="2551" w:type="dxa"/>
            <w:vAlign w:val="center"/>
          </w:tcPr>
          <w:p>
            <w:pPr>
              <w:pStyle w:val="13"/>
            </w:pPr>
            <w:r>
              <w:t>188.00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用于支付网格员劳务费及优秀网格员奖励金，开展宣传活动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1.动态掌握网格情况，及时上报信息，维护社会稳定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维护系统（软件）数量</w:t>
            </w:r>
          </w:p>
        </w:tc>
        <w:tc>
          <w:tcPr>
            <w:tcW w:w="5386" w:type="dxa"/>
            <w:vAlign w:val="center"/>
          </w:tcPr>
          <w:p>
            <w:pPr>
              <w:pStyle w:val="13"/>
            </w:pPr>
            <w:r>
              <w:t>反映维护系统（软件）数量情况。</w:t>
            </w:r>
          </w:p>
        </w:tc>
        <w:tc>
          <w:tcPr>
            <w:tcW w:w="2268" w:type="dxa"/>
            <w:vAlign w:val="center"/>
          </w:tcPr>
          <w:p>
            <w:pPr>
              <w:pStyle w:val="13"/>
            </w:pPr>
            <w:r>
              <w:t>≥2次</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保障平台运行</w:t>
            </w:r>
          </w:p>
        </w:tc>
        <w:tc>
          <w:tcPr>
            <w:tcW w:w="5386" w:type="dxa"/>
            <w:vAlign w:val="center"/>
          </w:tcPr>
          <w:p>
            <w:pPr>
              <w:pStyle w:val="13"/>
            </w:pPr>
            <w:r>
              <w:t>保障平台运行</w:t>
            </w:r>
          </w:p>
        </w:tc>
        <w:tc>
          <w:tcPr>
            <w:tcW w:w="2268" w:type="dxa"/>
            <w:vAlign w:val="center"/>
          </w:tcPr>
          <w:p>
            <w:pPr>
              <w:pStyle w:val="13"/>
            </w:pPr>
            <w:r>
              <w:t>平稳运行</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按照日常巡查进度完成</w:t>
            </w:r>
          </w:p>
        </w:tc>
        <w:tc>
          <w:tcPr>
            <w:tcW w:w="2268" w:type="dxa"/>
            <w:vAlign w:val="center"/>
          </w:tcPr>
          <w:p>
            <w:pPr>
              <w:pStyle w:val="13"/>
            </w:pPr>
            <w:r>
              <w:t>100%</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项目预算金额</w:t>
            </w:r>
          </w:p>
        </w:tc>
        <w:tc>
          <w:tcPr>
            <w:tcW w:w="2268" w:type="dxa"/>
            <w:vAlign w:val="center"/>
          </w:tcPr>
          <w:p>
            <w:pPr>
              <w:pStyle w:val="13"/>
            </w:pPr>
            <w:r>
              <w:t>控制在预算数内</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有效提高</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隆尧县基层治理“织网”重点任务实施方案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2、见义勇为奖励金绩效目标表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13052526P00003610014R</w:t>
            </w:r>
          </w:p>
        </w:tc>
        <w:tc>
          <w:tcPr>
            <w:tcW w:w="2835" w:type="dxa"/>
            <w:vAlign w:val="center"/>
          </w:tcPr>
          <w:p>
            <w:pPr>
              <w:pStyle w:val="11"/>
            </w:pPr>
            <w:r>
              <w:t>项目名称</w:t>
            </w:r>
          </w:p>
        </w:tc>
        <w:tc>
          <w:tcPr>
            <w:tcW w:w="6095" w:type="dxa"/>
            <w:gridSpan w:val="3"/>
            <w:vAlign w:val="center"/>
          </w:tcPr>
          <w:p>
            <w:pPr>
              <w:pStyle w:val="13"/>
            </w:pPr>
            <w:r>
              <w:t>见义勇为奖励金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用于支付见义勇为奖励金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1.保障见义勇为人员权益保护工作全面到位，形成见义勇为新风尚。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按照要求落实到位</w:t>
            </w:r>
          </w:p>
        </w:tc>
        <w:tc>
          <w:tcPr>
            <w:tcW w:w="5386" w:type="dxa"/>
            <w:vAlign w:val="center"/>
          </w:tcPr>
          <w:p>
            <w:pPr>
              <w:pStyle w:val="13"/>
            </w:pPr>
            <w:r>
              <w:t>奖励金落实到位</w:t>
            </w:r>
          </w:p>
        </w:tc>
        <w:tc>
          <w:tcPr>
            <w:tcW w:w="2268" w:type="dxa"/>
            <w:vAlign w:val="center"/>
          </w:tcPr>
          <w:p>
            <w:pPr>
              <w:pStyle w:val="13"/>
            </w:pPr>
            <w:r>
              <w:t>落实到位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按照要求落实</w:t>
            </w:r>
          </w:p>
        </w:tc>
        <w:tc>
          <w:tcPr>
            <w:tcW w:w="5386" w:type="dxa"/>
            <w:vAlign w:val="center"/>
          </w:tcPr>
          <w:p>
            <w:pPr>
              <w:pStyle w:val="13"/>
            </w:pPr>
            <w:r>
              <w:t>落实到位</w:t>
            </w:r>
          </w:p>
        </w:tc>
        <w:tc>
          <w:tcPr>
            <w:tcW w:w="2268" w:type="dxa"/>
            <w:vAlign w:val="center"/>
          </w:tcPr>
          <w:p>
            <w:pPr>
              <w:pStyle w:val="13"/>
            </w:pPr>
            <w:r>
              <w:t>落实到位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按期完成补助金支付</w:t>
            </w:r>
          </w:p>
        </w:tc>
        <w:tc>
          <w:tcPr>
            <w:tcW w:w="5386" w:type="dxa"/>
            <w:vAlign w:val="center"/>
          </w:tcPr>
          <w:p>
            <w:pPr>
              <w:pStyle w:val="13"/>
            </w:pPr>
            <w:r>
              <w:t>完成奖励金支付</w:t>
            </w:r>
          </w:p>
        </w:tc>
        <w:tc>
          <w:tcPr>
            <w:tcW w:w="2268" w:type="dxa"/>
            <w:vAlign w:val="center"/>
          </w:tcPr>
          <w:p>
            <w:pPr>
              <w:pStyle w:val="13"/>
            </w:pPr>
            <w:r>
              <w:t>12月底前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按要求落实补助金</w:t>
            </w:r>
          </w:p>
        </w:tc>
        <w:tc>
          <w:tcPr>
            <w:tcW w:w="5386" w:type="dxa"/>
            <w:vAlign w:val="center"/>
          </w:tcPr>
          <w:p>
            <w:pPr>
              <w:pStyle w:val="13"/>
            </w:pPr>
            <w:r>
              <w:t>按要求落实奖励金</w:t>
            </w:r>
          </w:p>
        </w:tc>
        <w:tc>
          <w:tcPr>
            <w:tcW w:w="2268" w:type="dxa"/>
            <w:vAlign w:val="center"/>
          </w:tcPr>
          <w:p>
            <w:pPr>
              <w:pStyle w:val="13"/>
            </w:pPr>
            <w:r>
              <w:t>2万元</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群众见义勇为知晓率</w:t>
            </w:r>
          </w:p>
        </w:tc>
        <w:tc>
          <w:tcPr>
            <w:tcW w:w="5386" w:type="dxa"/>
            <w:vAlign w:val="center"/>
          </w:tcPr>
          <w:p>
            <w:pPr>
              <w:pStyle w:val="13"/>
            </w:pPr>
            <w:r>
              <w:t>群众见义勇为知晓率</w:t>
            </w:r>
          </w:p>
        </w:tc>
        <w:tc>
          <w:tcPr>
            <w:tcW w:w="2268" w:type="dxa"/>
            <w:vAlign w:val="center"/>
          </w:tcPr>
          <w:p>
            <w:pPr>
              <w:pStyle w:val="13"/>
            </w:pPr>
            <w:r>
              <w:t>提升群众见义勇为知晓率</w:t>
            </w:r>
          </w:p>
        </w:tc>
        <w:tc>
          <w:tcPr>
            <w:tcW w:w="1276" w:type="dxa"/>
            <w:vAlign w:val="center"/>
          </w:tcPr>
          <w:p>
            <w:pPr>
              <w:pStyle w:val="13"/>
            </w:pPr>
            <w:r>
              <w:t>提升群众见义勇为知晓率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≥95群众满意</w:t>
            </w:r>
          </w:p>
        </w:tc>
        <w:tc>
          <w:tcPr>
            <w:tcW w:w="1276" w:type="dxa"/>
            <w:vAlign w:val="center"/>
          </w:tcPr>
          <w:p>
            <w:pPr>
              <w:pStyle w:val="13"/>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3、精神障碍患者监护人责任险及以奖代补经费绩效目标表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13052526P008697100042</w:t>
            </w:r>
          </w:p>
        </w:tc>
        <w:tc>
          <w:tcPr>
            <w:tcW w:w="2835" w:type="dxa"/>
            <w:vAlign w:val="center"/>
          </w:tcPr>
          <w:p>
            <w:pPr>
              <w:pStyle w:val="11"/>
            </w:pPr>
            <w:r>
              <w:t>项目名称</w:t>
            </w:r>
          </w:p>
        </w:tc>
        <w:tc>
          <w:tcPr>
            <w:tcW w:w="6095" w:type="dxa"/>
            <w:gridSpan w:val="3"/>
            <w:vAlign w:val="center"/>
          </w:tcPr>
          <w:p>
            <w:pPr>
              <w:pStyle w:val="13"/>
            </w:pPr>
            <w:r>
              <w:t>精神障碍患者监护人责任险及以奖代补经费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45.75</w:t>
            </w:r>
          </w:p>
        </w:tc>
        <w:tc>
          <w:tcPr>
            <w:tcW w:w="2835" w:type="dxa"/>
            <w:vAlign w:val="center"/>
          </w:tcPr>
          <w:p>
            <w:pPr>
              <w:pStyle w:val="11"/>
            </w:pPr>
            <w:r>
              <w:t>其中：财政    资金</w:t>
            </w:r>
          </w:p>
        </w:tc>
        <w:tc>
          <w:tcPr>
            <w:tcW w:w="2551" w:type="dxa"/>
            <w:vAlign w:val="center"/>
          </w:tcPr>
          <w:p>
            <w:pPr>
              <w:pStyle w:val="13"/>
            </w:pPr>
            <w:r>
              <w:t>45.75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投保精神障碍患者监护人责任险发放以奖代补经费，促进和谐稳定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1.按时投保精神障碍患者监护人责任险发放以奖代补经费，促进和谐稳定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386" w:type="dxa"/>
            <w:vAlign w:val="center"/>
          </w:tcPr>
          <w:p>
            <w:pPr>
              <w:pStyle w:val="13"/>
            </w:pPr>
            <w:r>
              <w:t>补助资金到位后，及时支付相关人员</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有所提高</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386" w:type="dxa"/>
            <w:vAlign w:val="center"/>
          </w:tcPr>
          <w:p>
            <w:pPr>
              <w:pStyle w:val="13"/>
            </w:pPr>
            <w:r>
              <w:t>服务受益对象满意度</w:t>
            </w:r>
          </w:p>
        </w:tc>
        <w:tc>
          <w:tcPr>
            <w:tcW w:w="2268" w:type="dxa"/>
            <w:vAlign w:val="center"/>
          </w:tcPr>
          <w:p>
            <w:pPr>
              <w:pStyle w:val="13"/>
            </w:pPr>
            <w:r>
              <w:t>≥90%</w:t>
            </w:r>
          </w:p>
        </w:tc>
        <w:tc>
          <w:tcPr>
            <w:tcW w:w="1276" w:type="dxa"/>
            <w:vAlign w:val="center"/>
          </w:tcPr>
          <w:p>
            <w:pPr>
              <w:pStyle w:val="13"/>
            </w:pPr>
            <w:r>
              <w:t>邢综治办【2016】2号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13052526P00000310016A</w:t>
            </w:r>
          </w:p>
        </w:tc>
        <w:tc>
          <w:tcPr>
            <w:tcW w:w="2835" w:type="dxa"/>
            <w:vAlign w:val="center"/>
          </w:tcPr>
          <w:p>
            <w:pPr>
              <w:pStyle w:val="11"/>
            </w:pPr>
            <w:r>
              <w:t>项目名称</w:t>
            </w:r>
          </w:p>
        </w:tc>
        <w:tc>
          <w:tcPr>
            <w:tcW w:w="6095" w:type="dxa"/>
            <w:gridSpan w:val="3"/>
            <w:vAlign w:val="center"/>
          </w:tcPr>
          <w:p>
            <w:pPr>
              <w:pStyle w:val="13"/>
            </w:pPr>
            <w:r>
              <w:t>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24.12</w:t>
            </w:r>
          </w:p>
        </w:tc>
        <w:tc>
          <w:tcPr>
            <w:tcW w:w="2835" w:type="dxa"/>
            <w:vAlign w:val="center"/>
          </w:tcPr>
          <w:p>
            <w:pPr>
              <w:pStyle w:val="11"/>
            </w:pPr>
            <w:r>
              <w:t>其中：财政    资金</w:t>
            </w:r>
          </w:p>
        </w:tc>
        <w:tc>
          <w:tcPr>
            <w:tcW w:w="2551" w:type="dxa"/>
            <w:vAlign w:val="center"/>
          </w:tcPr>
          <w:p>
            <w:pPr>
              <w:pStyle w:val="13"/>
            </w:pPr>
            <w:r>
              <w:t>24.12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1.按时发放劳务派遣人员工资，确保综治中心各项工作取得好成绩。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≥6次</w:t>
            </w:r>
          </w:p>
        </w:tc>
        <w:tc>
          <w:tcPr>
            <w:tcW w:w="1276" w:type="dxa"/>
            <w:vAlign w:val="center"/>
          </w:tcPr>
          <w:p>
            <w:pPr>
              <w:pStyle w:val="13"/>
            </w:pPr>
            <w:r>
              <w:t>参加培训人次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≥95%</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工作完成及时情况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合理安排</w:t>
            </w:r>
          </w:p>
        </w:tc>
        <w:tc>
          <w:tcPr>
            <w:tcW w:w="1276" w:type="dxa"/>
            <w:vAlign w:val="center"/>
          </w:tcPr>
          <w:p>
            <w:pPr>
              <w:pStyle w:val="13"/>
            </w:pPr>
            <w:r>
              <w:t>合理安排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386" w:type="dxa"/>
            <w:vAlign w:val="center"/>
          </w:tcPr>
          <w:p>
            <w:pPr>
              <w:pStyle w:val="13"/>
            </w:pPr>
            <w:r>
              <w:t>立体化社会治安防控体系覆盖率(%)</w:t>
            </w:r>
          </w:p>
        </w:tc>
        <w:tc>
          <w:tcPr>
            <w:tcW w:w="2268" w:type="dxa"/>
            <w:vAlign w:val="center"/>
          </w:tcPr>
          <w:p>
            <w:pPr>
              <w:pStyle w:val="13"/>
            </w:pPr>
            <w:r>
              <w:t>≥90%</w:t>
            </w:r>
          </w:p>
        </w:tc>
        <w:tc>
          <w:tcPr>
            <w:tcW w:w="1276" w:type="dxa"/>
            <w:vAlign w:val="center"/>
          </w:tcPr>
          <w:p>
            <w:pPr>
              <w:pStyle w:val="13"/>
            </w:pPr>
            <w:r>
              <w:t>社会治安防控体系覆盖率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13052526P00003310021R</w:t>
            </w:r>
          </w:p>
        </w:tc>
        <w:tc>
          <w:tcPr>
            <w:tcW w:w="2835" w:type="dxa"/>
            <w:vAlign w:val="center"/>
          </w:tcPr>
          <w:p>
            <w:pPr>
              <w:pStyle w:val="11"/>
            </w:pPr>
            <w:r>
              <w:t>项目名称</w:t>
            </w:r>
          </w:p>
        </w:tc>
        <w:tc>
          <w:tcPr>
            <w:tcW w:w="6095" w:type="dxa"/>
            <w:gridSpan w:val="3"/>
            <w:vAlign w:val="center"/>
          </w:tcPr>
          <w:p>
            <w:pPr>
              <w:pStyle w:val="13"/>
            </w:pPr>
            <w:r>
              <w:t>隆尧县政法接入网和综治中心平台升级扩容项目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用于支付隆尧县政法接入网和综治中心平台升级扩容技术服务费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1.保障政法网和综治中心平台正常运行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自检次数</w:t>
            </w:r>
          </w:p>
        </w:tc>
        <w:tc>
          <w:tcPr>
            <w:tcW w:w="5386" w:type="dxa"/>
            <w:vAlign w:val="center"/>
          </w:tcPr>
          <w:p>
            <w:pPr>
              <w:pStyle w:val="13"/>
            </w:pPr>
            <w:r>
              <w:t>反映自检次数情况。</w:t>
            </w:r>
          </w:p>
        </w:tc>
        <w:tc>
          <w:tcPr>
            <w:tcW w:w="2268" w:type="dxa"/>
            <w:vAlign w:val="center"/>
          </w:tcPr>
          <w:p>
            <w:pPr>
              <w:pStyle w:val="13"/>
            </w:pPr>
            <w:r>
              <w:t>≥2次/月</w:t>
            </w:r>
          </w:p>
        </w:tc>
        <w:tc>
          <w:tcPr>
            <w:tcW w:w="1276" w:type="dxa"/>
            <w:vAlign w:val="center"/>
          </w:tcPr>
          <w:p>
            <w:pPr>
              <w:pStyle w:val="13"/>
            </w:pPr>
            <w:r>
              <w:t>月自检次数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≥90%</w:t>
            </w:r>
          </w:p>
        </w:tc>
        <w:tc>
          <w:tcPr>
            <w:tcW w:w="1276" w:type="dxa"/>
            <w:vAlign w:val="center"/>
          </w:tcPr>
          <w:p>
            <w:pPr>
              <w:pStyle w:val="13"/>
            </w:pPr>
            <w:r>
              <w:t>故障排除率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故障维护完成时间</w:t>
            </w:r>
          </w:p>
        </w:tc>
        <w:tc>
          <w:tcPr>
            <w:tcW w:w="5386" w:type="dxa"/>
            <w:vAlign w:val="center"/>
          </w:tcPr>
          <w:p>
            <w:pPr>
              <w:pStyle w:val="13"/>
            </w:pPr>
            <w:r>
              <w:t>反映故障维护完成时间情况。</w:t>
            </w:r>
          </w:p>
        </w:tc>
        <w:tc>
          <w:tcPr>
            <w:tcW w:w="2268" w:type="dxa"/>
            <w:vAlign w:val="center"/>
          </w:tcPr>
          <w:p>
            <w:pPr>
              <w:pStyle w:val="13"/>
            </w:pPr>
            <w:r>
              <w:t>≤6小时</w:t>
            </w:r>
          </w:p>
        </w:tc>
        <w:tc>
          <w:tcPr>
            <w:tcW w:w="1276" w:type="dxa"/>
            <w:vAlign w:val="center"/>
          </w:tcPr>
          <w:p>
            <w:pPr>
              <w:pStyle w:val="13"/>
            </w:pPr>
            <w:r>
              <w:t>故障维护时间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费用标准</w:t>
            </w:r>
          </w:p>
        </w:tc>
        <w:tc>
          <w:tcPr>
            <w:tcW w:w="2268" w:type="dxa"/>
            <w:vAlign w:val="center"/>
          </w:tcPr>
          <w:p>
            <w:pPr>
              <w:pStyle w:val="13"/>
            </w:pPr>
            <w:r>
              <w:t>60万元</w:t>
            </w:r>
          </w:p>
        </w:tc>
        <w:tc>
          <w:tcPr>
            <w:tcW w:w="1276" w:type="dxa"/>
            <w:vAlign w:val="center"/>
          </w:tcPr>
          <w:p>
            <w:pPr>
              <w:pStyle w:val="13"/>
            </w:pPr>
            <w:r>
              <w:t>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业务培训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p>
        </w:tc>
        <w:tc>
          <w:tcPr>
            <w:tcW w:w="1276" w:type="dxa"/>
            <w:vAlign w:val="center"/>
          </w:tcPr>
          <w:p>
            <w:pPr>
              <w:pStyle w:val="13"/>
            </w:pPr>
            <w:r>
              <w:t>提升社会稳定情况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≥95%</w:t>
            </w:r>
          </w:p>
        </w:tc>
        <w:tc>
          <w:tcPr>
            <w:tcW w:w="1276" w:type="dxa"/>
            <w:vAlign w:val="center"/>
          </w:tcPr>
          <w:p>
            <w:pPr>
              <w:pStyle w:val="13"/>
            </w:pPr>
            <w:r>
              <w:t>满足要求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维修人员培训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使用人员满意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13052526P000033100258</w:t>
            </w:r>
          </w:p>
        </w:tc>
        <w:tc>
          <w:tcPr>
            <w:tcW w:w="2835" w:type="dxa"/>
            <w:vAlign w:val="center"/>
          </w:tcPr>
          <w:p>
            <w:pPr>
              <w:pStyle w:val="11"/>
            </w:pPr>
            <w:r>
              <w:t>项目名称</w:t>
            </w:r>
          </w:p>
        </w:tc>
        <w:tc>
          <w:tcPr>
            <w:tcW w:w="6095" w:type="dxa"/>
            <w:gridSpan w:val="3"/>
            <w:vAlign w:val="center"/>
          </w:tcPr>
          <w:p>
            <w:pPr>
              <w:pStyle w:val="13"/>
            </w:pPr>
            <w:r>
              <w:t>隆尧县政法接入网和综治中心平台升级扩容项目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保障政法网和综治中心平台正常运行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1.保障政法网和综治中心平台正常运行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自检次数</w:t>
            </w:r>
          </w:p>
        </w:tc>
        <w:tc>
          <w:tcPr>
            <w:tcW w:w="5386" w:type="dxa"/>
            <w:vAlign w:val="center"/>
          </w:tcPr>
          <w:p>
            <w:pPr>
              <w:pStyle w:val="13"/>
            </w:pPr>
            <w:r>
              <w:t>反映自检次数情况。</w:t>
            </w:r>
          </w:p>
        </w:tc>
        <w:tc>
          <w:tcPr>
            <w:tcW w:w="2268" w:type="dxa"/>
            <w:vAlign w:val="center"/>
          </w:tcPr>
          <w:p>
            <w:pPr>
              <w:pStyle w:val="13"/>
            </w:pPr>
            <w:r>
              <w:t>≥2次/月</w:t>
            </w:r>
          </w:p>
        </w:tc>
        <w:tc>
          <w:tcPr>
            <w:tcW w:w="1276" w:type="dxa"/>
            <w:vAlign w:val="center"/>
          </w:tcPr>
          <w:p>
            <w:pPr>
              <w:pStyle w:val="13"/>
            </w:pPr>
            <w:r>
              <w:t>月自检次数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≥90%</w:t>
            </w:r>
          </w:p>
        </w:tc>
        <w:tc>
          <w:tcPr>
            <w:tcW w:w="1276" w:type="dxa"/>
            <w:vAlign w:val="center"/>
          </w:tcPr>
          <w:p>
            <w:pPr>
              <w:pStyle w:val="13"/>
            </w:pPr>
            <w:r>
              <w:t>故障排除率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故障维护完成时间</w:t>
            </w:r>
          </w:p>
        </w:tc>
        <w:tc>
          <w:tcPr>
            <w:tcW w:w="5386" w:type="dxa"/>
            <w:vAlign w:val="center"/>
          </w:tcPr>
          <w:p>
            <w:pPr>
              <w:pStyle w:val="13"/>
            </w:pPr>
            <w:r>
              <w:t>反映故障维护完成时间情况。</w:t>
            </w:r>
          </w:p>
        </w:tc>
        <w:tc>
          <w:tcPr>
            <w:tcW w:w="2268" w:type="dxa"/>
            <w:vAlign w:val="center"/>
          </w:tcPr>
          <w:p>
            <w:pPr>
              <w:pStyle w:val="13"/>
            </w:pPr>
            <w:r>
              <w:t>≤6小时</w:t>
            </w:r>
          </w:p>
        </w:tc>
        <w:tc>
          <w:tcPr>
            <w:tcW w:w="1276" w:type="dxa"/>
            <w:vAlign w:val="center"/>
          </w:tcPr>
          <w:p>
            <w:pPr>
              <w:pStyle w:val="13"/>
            </w:pPr>
            <w:r>
              <w:t>故障维护时间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费用标准</w:t>
            </w:r>
          </w:p>
        </w:tc>
        <w:tc>
          <w:tcPr>
            <w:tcW w:w="2268" w:type="dxa"/>
            <w:vAlign w:val="center"/>
          </w:tcPr>
          <w:p>
            <w:pPr>
              <w:pStyle w:val="13"/>
            </w:pPr>
            <w:r>
              <w:t>41万元</w:t>
            </w:r>
          </w:p>
        </w:tc>
        <w:tc>
          <w:tcPr>
            <w:tcW w:w="1276" w:type="dxa"/>
            <w:vAlign w:val="center"/>
          </w:tcPr>
          <w:p>
            <w:pPr>
              <w:pStyle w:val="13"/>
            </w:pPr>
            <w:r>
              <w:t>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业务培训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p>
        </w:tc>
        <w:tc>
          <w:tcPr>
            <w:tcW w:w="1276" w:type="dxa"/>
            <w:vAlign w:val="center"/>
          </w:tcPr>
          <w:p>
            <w:pPr>
              <w:pStyle w:val="13"/>
            </w:pPr>
            <w:r>
              <w:t>提升社会稳定情况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≥95%</w:t>
            </w:r>
          </w:p>
        </w:tc>
        <w:tc>
          <w:tcPr>
            <w:tcW w:w="1276" w:type="dxa"/>
            <w:vAlign w:val="center"/>
          </w:tcPr>
          <w:p>
            <w:pPr>
              <w:pStyle w:val="13"/>
            </w:pPr>
            <w:r>
              <w:t>满足要求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维修人员培训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使用人员满意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7、铁路护路经费绩效目标表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13052526P00003310019T</w:t>
            </w:r>
          </w:p>
        </w:tc>
        <w:tc>
          <w:tcPr>
            <w:tcW w:w="2835" w:type="dxa"/>
            <w:vAlign w:val="center"/>
          </w:tcPr>
          <w:p>
            <w:pPr>
              <w:pStyle w:val="11"/>
            </w:pPr>
            <w:r>
              <w:t>项目名称</w:t>
            </w:r>
          </w:p>
        </w:tc>
        <w:tc>
          <w:tcPr>
            <w:tcW w:w="6095" w:type="dxa"/>
            <w:gridSpan w:val="3"/>
            <w:vAlign w:val="center"/>
          </w:tcPr>
          <w:p>
            <w:pPr>
              <w:pStyle w:val="13"/>
            </w:pPr>
            <w:r>
              <w:t>铁路护路经费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开展铁路高铁护路工作。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1.组织铁路高铁护路工作，确保辖区铁路安全畅通。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重要时期专项护路任务次数（次）</w:t>
            </w:r>
          </w:p>
        </w:tc>
        <w:tc>
          <w:tcPr>
            <w:tcW w:w="5386" w:type="dxa"/>
            <w:vAlign w:val="center"/>
          </w:tcPr>
          <w:p>
            <w:pPr>
              <w:pStyle w:val="13"/>
            </w:pPr>
            <w:r>
              <w:t>重要时期省委省政府专项护路任务次数</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重大安保任务完成率(%)</w:t>
            </w:r>
          </w:p>
        </w:tc>
        <w:tc>
          <w:tcPr>
            <w:tcW w:w="5386" w:type="dxa"/>
            <w:vAlign w:val="center"/>
          </w:tcPr>
          <w:p>
            <w:pPr>
              <w:pStyle w:val="13"/>
            </w:pPr>
            <w:r>
              <w:t>重大安保任务完成率(%)</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完成工作需要资金</w:t>
            </w:r>
          </w:p>
        </w:tc>
        <w:tc>
          <w:tcPr>
            <w:tcW w:w="5386" w:type="dxa"/>
            <w:vAlign w:val="center"/>
          </w:tcPr>
          <w:p>
            <w:pPr>
              <w:pStyle w:val="13"/>
            </w:pPr>
            <w:r>
              <w:t>完成工作需要资金</w:t>
            </w:r>
          </w:p>
        </w:tc>
        <w:tc>
          <w:tcPr>
            <w:tcW w:w="2268" w:type="dxa"/>
            <w:vAlign w:val="center"/>
          </w:tcPr>
          <w:p>
            <w:pPr>
              <w:pStyle w:val="13"/>
            </w:pPr>
            <w:r>
              <w:t>5万元</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通过开展信息宣传工作，创造良好的舆论氛围，使我厅工作得到广大受众的充分认可。</w:t>
            </w:r>
          </w:p>
        </w:tc>
        <w:tc>
          <w:tcPr>
            <w:tcW w:w="2268" w:type="dxa"/>
            <w:vAlign w:val="center"/>
          </w:tcPr>
          <w:p>
            <w:pPr>
              <w:pStyle w:val="13"/>
            </w:pPr>
            <w:r>
              <w:t>有效提高</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8、政法网经费绩效目标表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13052526P008703100190</w:t>
            </w:r>
          </w:p>
        </w:tc>
        <w:tc>
          <w:tcPr>
            <w:tcW w:w="2835" w:type="dxa"/>
            <w:vAlign w:val="center"/>
          </w:tcPr>
          <w:p>
            <w:pPr>
              <w:pStyle w:val="11"/>
            </w:pPr>
            <w:r>
              <w:t>项目名称</w:t>
            </w:r>
          </w:p>
        </w:tc>
        <w:tc>
          <w:tcPr>
            <w:tcW w:w="6095" w:type="dxa"/>
            <w:gridSpan w:val="3"/>
            <w:vAlign w:val="center"/>
          </w:tcPr>
          <w:p>
            <w:pPr>
              <w:pStyle w:val="13"/>
            </w:pPr>
            <w:r>
              <w:t>政法网经费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14.88</w:t>
            </w:r>
          </w:p>
        </w:tc>
        <w:tc>
          <w:tcPr>
            <w:tcW w:w="2835" w:type="dxa"/>
            <w:vAlign w:val="center"/>
          </w:tcPr>
          <w:p>
            <w:pPr>
              <w:pStyle w:val="11"/>
            </w:pPr>
            <w:r>
              <w:t>其中：财政    资金</w:t>
            </w:r>
          </w:p>
        </w:tc>
        <w:tc>
          <w:tcPr>
            <w:tcW w:w="2551" w:type="dxa"/>
            <w:vAlign w:val="center"/>
          </w:tcPr>
          <w:p>
            <w:pPr>
              <w:pStyle w:val="13"/>
            </w:pPr>
            <w:r>
              <w:t>14.88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保障政法网安全运行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1.确保政法网安全运行，促进政法工作上台阶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≥12次</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系统正常运行率</w:t>
            </w:r>
          </w:p>
        </w:tc>
        <w:tc>
          <w:tcPr>
            <w:tcW w:w="5386" w:type="dxa"/>
            <w:vAlign w:val="center"/>
          </w:tcPr>
          <w:p>
            <w:pPr>
              <w:pStyle w:val="13"/>
            </w:pPr>
            <w:r>
              <w:t>系统正常运行率</w:t>
            </w:r>
          </w:p>
        </w:tc>
        <w:tc>
          <w:tcPr>
            <w:tcW w:w="2268" w:type="dxa"/>
            <w:vAlign w:val="center"/>
          </w:tcPr>
          <w:p>
            <w:pPr>
              <w:pStyle w:val="13"/>
            </w:pPr>
            <w:r>
              <w:t>≥95%</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故障反应时间</w:t>
            </w:r>
          </w:p>
        </w:tc>
        <w:tc>
          <w:tcPr>
            <w:tcW w:w="5386" w:type="dxa"/>
            <w:vAlign w:val="center"/>
          </w:tcPr>
          <w:p>
            <w:pPr>
              <w:pStyle w:val="13"/>
            </w:pPr>
            <w:r>
              <w:t>故障反应时间</w:t>
            </w:r>
          </w:p>
        </w:tc>
        <w:tc>
          <w:tcPr>
            <w:tcW w:w="2268" w:type="dxa"/>
            <w:vAlign w:val="center"/>
          </w:tcPr>
          <w:p>
            <w:pPr>
              <w:pStyle w:val="13"/>
            </w:pPr>
            <w:r>
              <w:t>≤12小时</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14.88万元</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冀政法字【2015】12号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9、自收自支人员工资绩效目标表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13052526P00003910264Q</w:t>
            </w:r>
          </w:p>
        </w:tc>
        <w:tc>
          <w:tcPr>
            <w:tcW w:w="2835" w:type="dxa"/>
            <w:vAlign w:val="center"/>
          </w:tcPr>
          <w:p>
            <w:pPr>
              <w:pStyle w:val="11"/>
            </w:pPr>
            <w:r>
              <w:t>项目名称</w:t>
            </w:r>
          </w:p>
        </w:tc>
        <w:tc>
          <w:tcPr>
            <w:tcW w:w="6095" w:type="dxa"/>
            <w:gridSpan w:val="3"/>
            <w:vAlign w:val="center"/>
          </w:tcPr>
          <w:p>
            <w:pPr>
              <w:pStyle w:val="13"/>
            </w:pPr>
            <w:r>
              <w:t>自收自支人员工资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25.60</w:t>
            </w:r>
          </w:p>
        </w:tc>
        <w:tc>
          <w:tcPr>
            <w:tcW w:w="2835" w:type="dxa"/>
            <w:vAlign w:val="center"/>
          </w:tcPr>
          <w:p>
            <w:pPr>
              <w:pStyle w:val="11"/>
            </w:pPr>
            <w:r>
              <w:t>其中：财政    资金</w:t>
            </w:r>
          </w:p>
        </w:tc>
        <w:tc>
          <w:tcPr>
            <w:tcW w:w="2551" w:type="dxa"/>
            <w:vAlign w:val="center"/>
          </w:tcPr>
          <w:p>
            <w:pPr>
              <w:pStyle w:val="13"/>
            </w:pPr>
            <w:r>
              <w:t>25.60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自收自支人员工资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1.按时支付自收自支人员工资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在岗人员情况</w:t>
            </w:r>
          </w:p>
        </w:tc>
        <w:tc>
          <w:tcPr>
            <w:tcW w:w="5386" w:type="dxa"/>
            <w:vAlign w:val="center"/>
          </w:tcPr>
          <w:p>
            <w:pPr>
              <w:pStyle w:val="13"/>
            </w:pPr>
            <w:r>
              <w:t>在岗人员情况</w:t>
            </w:r>
          </w:p>
        </w:tc>
        <w:tc>
          <w:tcPr>
            <w:tcW w:w="2268" w:type="dxa"/>
            <w:vAlign w:val="center"/>
          </w:tcPr>
          <w:p>
            <w:pPr>
              <w:pStyle w:val="13"/>
            </w:pPr>
            <w:r>
              <w:t>8人</w:t>
            </w:r>
          </w:p>
        </w:tc>
        <w:tc>
          <w:tcPr>
            <w:tcW w:w="1276" w:type="dxa"/>
            <w:vAlign w:val="center"/>
          </w:tcPr>
          <w:p>
            <w:pPr>
              <w:pStyle w:val="13"/>
            </w:pPr>
            <w:r>
              <w:t>在岗情况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在岗人员工作情况</w:t>
            </w:r>
          </w:p>
        </w:tc>
        <w:tc>
          <w:tcPr>
            <w:tcW w:w="5386" w:type="dxa"/>
            <w:vAlign w:val="center"/>
          </w:tcPr>
          <w:p>
            <w:pPr>
              <w:pStyle w:val="13"/>
            </w:pPr>
            <w:r>
              <w:t>在岗人员工作情况</w:t>
            </w:r>
          </w:p>
        </w:tc>
        <w:tc>
          <w:tcPr>
            <w:tcW w:w="2268" w:type="dxa"/>
            <w:vAlign w:val="center"/>
          </w:tcPr>
          <w:p>
            <w:pPr>
              <w:pStyle w:val="13"/>
            </w:pPr>
            <w:r>
              <w:t>≥95%</w:t>
            </w:r>
          </w:p>
        </w:tc>
        <w:tc>
          <w:tcPr>
            <w:tcW w:w="1276" w:type="dxa"/>
            <w:vAlign w:val="center"/>
          </w:tcPr>
          <w:p>
            <w:pPr>
              <w:pStyle w:val="13"/>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工作开展及时性情况。</w:t>
            </w:r>
          </w:p>
        </w:tc>
        <w:tc>
          <w:tcPr>
            <w:tcW w:w="2268" w:type="dxa"/>
            <w:vAlign w:val="center"/>
          </w:tcPr>
          <w:p>
            <w:pPr>
              <w:pStyle w:val="13"/>
            </w:pPr>
            <w:r>
              <w:t>≥95%</w:t>
            </w:r>
          </w:p>
        </w:tc>
        <w:tc>
          <w:tcPr>
            <w:tcW w:w="1276" w:type="dxa"/>
            <w:vAlign w:val="center"/>
          </w:tcPr>
          <w:p>
            <w:pPr>
              <w:pStyle w:val="13"/>
            </w:pPr>
            <w:r>
              <w:t>工作开展及完成情况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工资支付</w:t>
            </w:r>
          </w:p>
        </w:tc>
        <w:tc>
          <w:tcPr>
            <w:tcW w:w="5386" w:type="dxa"/>
            <w:vAlign w:val="center"/>
          </w:tcPr>
          <w:p>
            <w:pPr>
              <w:pStyle w:val="13"/>
            </w:pPr>
            <w:r>
              <w:t>工资支付</w:t>
            </w:r>
          </w:p>
        </w:tc>
        <w:tc>
          <w:tcPr>
            <w:tcW w:w="2268" w:type="dxa"/>
            <w:vAlign w:val="center"/>
          </w:tcPr>
          <w:p>
            <w:pPr>
              <w:pStyle w:val="13"/>
            </w:pPr>
            <w:r>
              <w:t>25.6万元</w:t>
            </w:r>
          </w:p>
        </w:tc>
        <w:tc>
          <w:tcPr>
            <w:tcW w:w="1276" w:type="dxa"/>
            <w:vAlign w:val="center"/>
          </w:tcPr>
          <w:p>
            <w:pPr>
              <w:pStyle w:val="13"/>
            </w:pPr>
            <w:r>
              <w:t>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人员队伍稳定率</w:t>
            </w:r>
          </w:p>
        </w:tc>
        <w:tc>
          <w:tcPr>
            <w:tcW w:w="5386" w:type="dxa"/>
            <w:vAlign w:val="center"/>
          </w:tcPr>
          <w:p>
            <w:pPr>
              <w:pStyle w:val="13"/>
            </w:pPr>
            <w:r>
              <w:t>人员工作情况</w:t>
            </w:r>
          </w:p>
        </w:tc>
        <w:tc>
          <w:tcPr>
            <w:tcW w:w="2268" w:type="dxa"/>
            <w:vAlign w:val="center"/>
          </w:tcPr>
          <w:p>
            <w:pPr>
              <w:pStyle w:val="13"/>
            </w:pPr>
            <w:r>
              <w:t>100%</w:t>
            </w:r>
          </w:p>
        </w:tc>
        <w:tc>
          <w:tcPr>
            <w:tcW w:w="1276" w:type="dxa"/>
            <w:vAlign w:val="center"/>
          </w:tcPr>
          <w:p>
            <w:pPr>
              <w:pStyle w:val="13"/>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10、综治经费（含扫黑除恶经费）绩效目标表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13052526P000033100231</w:t>
            </w:r>
          </w:p>
        </w:tc>
        <w:tc>
          <w:tcPr>
            <w:tcW w:w="2835" w:type="dxa"/>
            <w:vAlign w:val="center"/>
          </w:tcPr>
          <w:p>
            <w:pPr>
              <w:pStyle w:val="11"/>
            </w:pPr>
            <w:r>
              <w:t>项目名称</w:t>
            </w:r>
          </w:p>
        </w:tc>
        <w:tc>
          <w:tcPr>
            <w:tcW w:w="6095" w:type="dxa"/>
            <w:gridSpan w:val="3"/>
            <w:vAlign w:val="center"/>
          </w:tcPr>
          <w:p>
            <w:pPr>
              <w:pStyle w:val="13"/>
            </w:pPr>
            <w:r>
              <w:t>综治经费（含扫黑除恶经费）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开展社会治安综合治理活动及扫黑除恶工作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1.开展社会治安综合治理活动，确保全县社会政治稳定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培树治安防控工作先进典型县（市</w:t>
            </w:r>
          </w:p>
        </w:tc>
        <w:tc>
          <w:tcPr>
            <w:tcW w:w="5386" w:type="dxa"/>
            <w:vAlign w:val="center"/>
          </w:tcPr>
          <w:p>
            <w:pPr>
              <w:pStyle w:val="13"/>
            </w:pPr>
            <w:r>
              <w:t>培树治安防控工作先进典型村数量（个）</w:t>
            </w:r>
          </w:p>
        </w:tc>
        <w:tc>
          <w:tcPr>
            <w:tcW w:w="2268" w:type="dxa"/>
            <w:vAlign w:val="center"/>
          </w:tcPr>
          <w:p>
            <w:pPr>
              <w:pStyle w:val="13"/>
            </w:pPr>
            <w:r>
              <w:t>≥12个</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合理安排</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386" w:type="dxa"/>
            <w:vAlign w:val="center"/>
          </w:tcPr>
          <w:p>
            <w:pPr>
              <w:pStyle w:val="13"/>
            </w:pPr>
            <w:r>
              <w:t>立体化社会治安防控体系覆盖率(%)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11、综治视联网经费绩效目标表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13052526P00003310024L</w:t>
            </w:r>
          </w:p>
        </w:tc>
        <w:tc>
          <w:tcPr>
            <w:tcW w:w="2835" w:type="dxa"/>
            <w:vAlign w:val="center"/>
          </w:tcPr>
          <w:p>
            <w:pPr>
              <w:pStyle w:val="11"/>
            </w:pPr>
            <w:r>
              <w:t>项目名称</w:t>
            </w:r>
          </w:p>
        </w:tc>
        <w:tc>
          <w:tcPr>
            <w:tcW w:w="6095" w:type="dxa"/>
            <w:gridSpan w:val="3"/>
            <w:vAlign w:val="center"/>
          </w:tcPr>
          <w:p>
            <w:pPr>
              <w:pStyle w:val="13"/>
            </w:pPr>
            <w:r>
              <w:t>综治视联网经费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72.22</w:t>
            </w:r>
          </w:p>
        </w:tc>
        <w:tc>
          <w:tcPr>
            <w:tcW w:w="2835" w:type="dxa"/>
            <w:vAlign w:val="center"/>
          </w:tcPr>
          <w:p>
            <w:pPr>
              <w:pStyle w:val="11"/>
            </w:pPr>
            <w:r>
              <w:t>其中：财政    资金</w:t>
            </w:r>
          </w:p>
        </w:tc>
        <w:tc>
          <w:tcPr>
            <w:tcW w:w="2551" w:type="dxa"/>
            <w:vAlign w:val="center"/>
          </w:tcPr>
          <w:p>
            <w:pPr>
              <w:pStyle w:val="13"/>
            </w:pPr>
            <w:r>
              <w:t>72.22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保障综治视联网安全运行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1.确保综治视联网安全运行，促进市域社会治理现代化各项工作。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系统出故障时间占总运行时间比</w:t>
            </w:r>
          </w:p>
        </w:tc>
        <w:tc>
          <w:tcPr>
            <w:tcW w:w="2268" w:type="dxa"/>
            <w:vAlign w:val="center"/>
          </w:tcPr>
          <w:p>
            <w:pPr>
              <w:pStyle w:val="13"/>
            </w:pPr>
            <w:r>
              <w:t>≥1%</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系统故障修复响应时间</w:t>
            </w:r>
          </w:p>
        </w:tc>
        <w:tc>
          <w:tcPr>
            <w:tcW w:w="5386" w:type="dxa"/>
            <w:vAlign w:val="center"/>
          </w:tcPr>
          <w:p>
            <w:pPr>
              <w:pStyle w:val="13"/>
            </w:pPr>
            <w:r>
              <w:t>响应系统故障并修复的时间</w:t>
            </w:r>
          </w:p>
        </w:tc>
        <w:tc>
          <w:tcPr>
            <w:tcW w:w="2268" w:type="dxa"/>
            <w:vAlign w:val="center"/>
          </w:tcPr>
          <w:p>
            <w:pPr>
              <w:pStyle w:val="13"/>
            </w:pPr>
            <w:r>
              <w:t>≤24小时</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&gt;12次</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72.22万元</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非正常停机率</w:t>
            </w:r>
          </w:p>
        </w:tc>
        <w:tc>
          <w:tcPr>
            <w:tcW w:w="5386" w:type="dxa"/>
            <w:vAlign w:val="center"/>
          </w:tcPr>
          <w:p>
            <w:pPr>
              <w:pStyle w:val="13"/>
            </w:pPr>
            <w:r>
              <w:t>非正常停机次数占总停机次数</w:t>
            </w:r>
          </w:p>
        </w:tc>
        <w:tc>
          <w:tcPr>
            <w:tcW w:w="2268" w:type="dxa"/>
            <w:vAlign w:val="center"/>
          </w:tcPr>
          <w:p>
            <w:pPr>
              <w:pStyle w:val="13"/>
            </w:pPr>
            <w:r>
              <w:t>≥5%</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冀综治办【2018】39号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0.72</w:t>
            </w:r>
          </w:p>
        </w:tc>
        <w:tc>
          <w:tcPr>
            <w:tcW w:w="964" w:type="dxa"/>
            <w:vAlign w:val="center"/>
          </w:tcPr>
          <w:p>
            <w:pPr>
              <w:pStyle w:val="16"/>
            </w:pPr>
            <w:r>
              <w:t>0.72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中国共产党隆尧县委员会政法委员会本级小计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0.72</w:t>
            </w:r>
          </w:p>
        </w:tc>
        <w:tc>
          <w:tcPr>
            <w:tcW w:w="964" w:type="dxa"/>
            <w:vAlign w:val="center"/>
          </w:tcPr>
          <w:p>
            <w:pPr>
              <w:pStyle w:val="16"/>
            </w:pPr>
            <w:r>
              <w:t>0.72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6.72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w:t>
      </w:r>
      <w:r>
        <w:rPr>
          <w:rFonts w:hint="eastAsia" w:eastAsia="方正仿宋_GBK" w:cs="Times New Roman"/>
          <w:b w:val="0"/>
          <w:color w:val="000000"/>
          <w:sz w:val="28"/>
          <w:lang w:val="en-US" w:eastAsia="zh-CN"/>
        </w:rPr>
        <w:t>31.6</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4"/>
              <w:rPr>
                <w:rFonts w:hint="default" w:eastAsia="方正书宋_GBK"/>
                <w:lang w:val="en-US" w:eastAsia="zh-CN"/>
              </w:rPr>
            </w:pPr>
            <w:r>
              <w:rPr>
                <w:rFonts w:hint="eastAsia"/>
                <w:lang w:val="en-US" w:eastAsia="zh-CN"/>
              </w:rPr>
              <w:t>104</w:t>
            </w:r>
          </w:p>
        </w:tc>
        <w:tc>
          <w:tcPr>
            <w:tcW w:w="2835" w:type="dxa"/>
            <w:vAlign w:val="center"/>
          </w:tcPr>
          <w:p>
            <w:pPr>
              <w:pStyle w:val="12"/>
              <w:rPr>
                <w:rFonts w:hint="default" w:eastAsia="方正书宋_GBK"/>
                <w:lang w:val="en-US" w:eastAsia="zh-CN"/>
              </w:rPr>
            </w:pPr>
            <w:r>
              <w:rPr>
                <w:rFonts w:hint="eastAsia"/>
                <w:lang w:val="en-US" w:eastAsia="zh-CN"/>
              </w:rP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104</w:t>
            </w:r>
          </w:p>
        </w:tc>
        <w:tc>
          <w:tcPr>
            <w:tcW w:w="2835" w:type="dxa"/>
            <w:vAlign w:val="center"/>
          </w:tcPr>
          <w:p>
            <w:pPr>
              <w:pStyle w:val="12"/>
              <w:rPr>
                <w:rFonts w:hint="default" w:eastAsia="方正书宋_GBK"/>
                <w:lang w:val="en-US" w:eastAsia="zh-CN"/>
              </w:rPr>
            </w:pPr>
            <w:r>
              <w:rPr>
                <w:rFonts w:hint="eastAsia"/>
                <w:lang w:val="en-US" w:eastAsia="zh-CN"/>
              </w:rPr>
              <w:t>31.6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CBB165"/>
    <w:multiLevelType w:val="singleLevel"/>
    <w:tmpl w:val="E1CBB16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RkM2Y4ZTdmZDQ4YzkyMmEzMDM2MWJiYjg1YmQxNmEifQ=="/>
  </w:docVars>
  <w:rsids>
    <w:rsidRoot w:val="00000000"/>
    <w:rsid w:val="0E3B12E3"/>
    <w:rsid w:val="0ED174EF"/>
    <w:rsid w:val="12E24EE2"/>
    <w:rsid w:val="1D696543"/>
    <w:rsid w:val="2969425E"/>
    <w:rsid w:val="297812BE"/>
    <w:rsid w:val="2EF976A4"/>
    <w:rsid w:val="447F2E04"/>
    <w:rsid w:val="45D320A4"/>
    <w:rsid w:val="4A65314E"/>
    <w:rsid w:val="578C600A"/>
    <w:rsid w:val="5DAD014C"/>
    <w:rsid w:val="640A7CAB"/>
    <w:rsid w:val="72313895"/>
    <w:rsid w:val="7FB912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1</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2026-02-03T17:48:00Z</dcterms:created>
  <dc:creator>Administrator</dc:creator>
  <cp:lastModifiedBy>Administrator</cp:lastModifiedBy>
  <dcterms:modified xsi:type="dcterms:W3CDTF">2026-02-04T03:21:39Z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A991346F3A164E4B8E9C89DCA484C789_12</vt:lpwstr>
  </property>
</Properties>
</file>