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宋体" w:eastAsia="方正小标宋简体" w:cs="仿宋_GB2312"/>
          <w:sz w:val="44"/>
          <w:szCs w:val="44"/>
          <w:lang w:eastAsia="zh-CN"/>
        </w:rPr>
      </w:pPr>
      <w:r>
        <w:rPr>
          <w:rFonts w:hint="eastAsia" w:ascii="方正小标宋简体" w:hAnsi="宋体" w:eastAsia="方正小标宋简体" w:cs="仿宋_GB2312"/>
          <w:sz w:val="44"/>
          <w:szCs w:val="44"/>
          <w:lang w:eastAsia="zh-CN"/>
        </w:rPr>
        <w:t>隆尧县人民政府办公室</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宋体" w:eastAsia="方正小标宋简体"/>
          <w:sz w:val="44"/>
          <w:szCs w:val="44"/>
        </w:rPr>
      </w:pPr>
      <w:r>
        <w:rPr>
          <w:rFonts w:hint="eastAsia" w:ascii="方正小标宋简体" w:hAnsi="宋体" w:eastAsia="方正小标宋简体"/>
          <w:sz w:val="44"/>
          <w:szCs w:val="44"/>
          <w:lang w:eastAsia="zh-CN"/>
        </w:rPr>
        <w:t>202</w:t>
      </w:r>
      <w:r>
        <w:rPr>
          <w:rFonts w:hint="eastAsia" w:ascii="方正小标宋简体" w:hAnsi="宋体" w:eastAsia="方正小标宋简体"/>
          <w:sz w:val="44"/>
          <w:szCs w:val="44"/>
          <w:lang w:val="en-US" w:eastAsia="zh-CN"/>
        </w:rPr>
        <w:t>5</w:t>
      </w:r>
      <w:r>
        <w:rPr>
          <w:rFonts w:hint="eastAsia" w:ascii="方正小标宋简体" w:hAnsi="宋体" w:eastAsia="方正小标宋简体"/>
          <w:sz w:val="44"/>
          <w:szCs w:val="44"/>
        </w:rPr>
        <w:t>年政府信息公开工作年度报告</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jc w:val="both"/>
        <w:textAlignment w:val="auto"/>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val="0"/>
        <w:snapToGrid/>
        <w:spacing w:line="600" w:lineRule="exact"/>
        <w:ind w:left="0" w:leftChars="0" w:right="0" w:rightChars="0" w:firstLine="640" w:firstLineChars="200"/>
        <w:jc w:val="both"/>
        <w:textAlignment w:val="auto"/>
        <w:outlineLvl w:val="9"/>
        <w:rPr>
          <w:rFonts w:hint="default" w:ascii="仿宋_GB2312" w:eastAsia="仿宋_GB2312"/>
          <w:color w:val="000000"/>
          <w:sz w:val="32"/>
          <w:szCs w:val="32"/>
          <w:lang w:val="en-US" w:eastAsia="zh-CN" w:bidi="ar"/>
        </w:rPr>
      </w:pPr>
      <w:r>
        <w:rPr>
          <w:rFonts w:hint="eastAsia" w:ascii="仿宋_GB2312" w:eastAsia="仿宋_GB2312" w:cs="Times New Roman"/>
          <w:sz w:val="32"/>
          <w:szCs w:val="32"/>
          <w:lang w:val="en-US" w:eastAsia="zh-CN"/>
        </w:rPr>
        <w:t>根据《中华人民共和国政府信息公开条例》《河北省实施〈中华人民共和国政府信息公开条例〉办法》等规定，发布本年度报告。报告中所列数据统计期限为2025年1月1日至12月31日。</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总体情况</w:t>
      </w:r>
    </w:p>
    <w:p>
      <w:pPr>
        <w:keepNext w:val="0"/>
        <w:keepLines w:val="0"/>
        <w:pageBreakBefore w:val="0"/>
        <w:widowControl w:val="0"/>
        <w:kinsoku/>
        <w:wordWrap/>
        <w:overflowPunct/>
        <w:topLinePunct w:val="0"/>
        <w:autoSpaceDE/>
        <w:autoSpaceDN/>
        <w:bidi w:val="0"/>
        <w:adjustRightInd w:val="0"/>
        <w:snapToGrid/>
        <w:spacing w:line="600" w:lineRule="exact"/>
        <w:ind w:right="0" w:rightChars="0" w:firstLine="640" w:firstLineChars="200"/>
        <w:jc w:val="both"/>
        <w:textAlignment w:val="auto"/>
        <w:outlineLvl w:val="9"/>
        <w:rPr>
          <w:rFonts w:hint="default" w:ascii="仿宋_GB2312" w:eastAsia="仿宋_GB2312"/>
          <w:color w:val="000000"/>
          <w:sz w:val="32"/>
          <w:szCs w:val="32"/>
          <w:lang w:val="en-US" w:eastAsia="zh-CN" w:bidi="ar"/>
        </w:rPr>
      </w:pPr>
      <w:r>
        <w:rPr>
          <w:rFonts w:hint="eastAsia" w:ascii="仿宋_GB2312" w:eastAsia="仿宋_GB2312" w:cs="Times New Roman"/>
          <w:sz w:val="32"/>
          <w:szCs w:val="32"/>
          <w:lang w:val="en-US" w:eastAsia="zh-CN"/>
        </w:rPr>
        <w:t>2025年以来，隆尧县</w:t>
      </w:r>
      <w:r>
        <w:rPr>
          <w:rFonts w:hint="eastAsia" w:ascii="仿宋_GB2312" w:eastAsia="仿宋_GB2312"/>
          <w:color w:val="000000"/>
          <w:sz w:val="32"/>
          <w:szCs w:val="32"/>
          <w:lang w:eastAsia="zh-CN" w:bidi="ar"/>
        </w:rPr>
        <w:t>人民政府办公室</w:t>
      </w:r>
      <w:r>
        <w:rPr>
          <w:rFonts w:hint="eastAsia" w:ascii="仿宋_GB2312" w:hAnsi="仿宋_GB2312" w:eastAsia="仿宋_GB2312" w:cs="仿宋_GB2312"/>
          <w:b w:val="0"/>
          <w:bCs w:val="0"/>
          <w:kern w:val="0"/>
          <w:sz w:val="32"/>
          <w:szCs w:val="32"/>
          <w:lang w:val="en-US" w:eastAsia="zh-CN" w:bidi="ar"/>
        </w:rPr>
        <w:t>坚持以习近平新时代中国特色社会主义思想为指导，深入学习贯彻党的二十大和二十届三中全会精神，认真</w:t>
      </w:r>
      <w:r>
        <w:rPr>
          <w:rFonts w:hint="default" w:ascii="仿宋_GB2312" w:hAnsi="仿宋_GB2312" w:eastAsia="仿宋_GB2312" w:cs="仿宋_GB2312"/>
          <w:b w:val="0"/>
          <w:bCs w:val="0"/>
          <w:kern w:val="0"/>
          <w:sz w:val="32"/>
          <w:szCs w:val="32"/>
          <w:lang w:val="en-US" w:eastAsia="zh-CN" w:bidi="ar"/>
        </w:rPr>
        <w:t>落实</w:t>
      </w:r>
      <w:r>
        <w:rPr>
          <w:rFonts w:hint="eastAsia" w:ascii="仿宋_GB2312" w:hAnsi="仿宋_GB2312" w:eastAsia="仿宋_GB2312" w:cs="仿宋_GB2312"/>
          <w:b w:val="0"/>
          <w:bCs w:val="0"/>
          <w:kern w:val="0"/>
          <w:sz w:val="32"/>
          <w:szCs w:val="32"/>
          <w:lang w:val="en-US" w:eastAsia="zh-CN" w:bidi="ar"/>
        </w:rPr>
        <w:t>党</w:t>
      </w:r>
      <w:r>
        <w:rPr>
          <w:rFonts w:hint="default" w:ascii="仿宋_GB2312" w:hAnsi="仿宋_GB2312" w:eastAsia="仿宋_GB2312" w:cs="仿宋_GB2312"/>
          <w:b w:val="0"/>
          <w:bCs w:val="0"/>
          <w:kern w:val="0"/>
          <w:sz w:val="32"/>
          <w:szCs w:val="32"/>
          <w:lang w:val="en-US" w:eastAsia="zh-CN" w:bidi="ar"/>
        </w:rPr>
        <w:t>中央、国务院和省委、省政府</w:t>
      </w:r>
      <w:r>
        <w:rPr>
          <w:rFonts w:hint="eastAsia" w:ascii="仿宋_GB2312" w:hAnsi="仿宋_GB2312" w:eastAsia="仿宋_GB2312" w:cs="仿宋_GB2312"/>
          <w:b w:val="0"/>
          <w:bCs w:val="0"/>
          <w:kern w:val="0"/>
          <w:sz w:val="32"/>
          <w:szCs w:val="32"/>
          <w:lang w:val="en-US" w:eastAsia="zh-CN" w:bidi="ar"/>
        </w:rPr>
        <w:t>、市委、市政府</w:t>
      </w:r>
      <w:r>
        <w:rPr>
          <w:rFonts w:hint="default" w:ascii="仿宋_GB2312" w:hAnsi="仿宋_GB2312" w:eastAsia="仿宋_GB2312" w:cs="仿宋_GB2312"/>
          <w:b w:val="0"/>
          <w:bCs w:val="0"/>
          <w:kern w:val="0"/>
          <w:sz w:val="32"/>
          <w:szCs w:val="32"/>
          <w:lang w:val="en-US" w:eastAsia="zh-CN" w:bidi="ar"/>
        </w:rPr>
        <w:t>决策部署，</w:t>
      </w:r>
      <w:r>
        <w:rPr>
          <w:rFonts w:hint="eastAsia" w:ascii="仿宋_GB2312" w:hAnsi="仿宋_GB2312" w:eastAsia="仿宋_GB2312" w:cs="仿宋_GB2312"/>
          <w:b w:val="0"/>
          <w:bCs w:val="0"/>
          <w:kern w:val="0"/>
          <w:sz w:val="32"/>
          <w:szCs w:val="32"/>
          <w:lang w:val="en-US" w:eastAsia="zh-CN" w:bidi="ar"/>
        </w:rPr>
        <w:t>紧紧围绕县委、县政府中心工作，不断推进政策解读、政府信息公开等各项重点工作，推动全县政务公开工作质效持续提升，</w:t>
      </w:r>
      <w:r>
        <w:rPr>
          <w:rFonts w:hint="eastAsia" w:ascii="仿宋_GB2312" w:eastAsia="仿宋_GB2312"/>
          <w:color w:val="000000"/>
          <w:sz w:val="32"/>
          <w:szCs w:val="32"/>
          <w:lang w:val="en-US" w:eastAsia="zh-CN" w:bidi="ar"/>
        </w:rPr>
        <w:t>助力隆尧高质量发展，为加快建设美丽隆尧作</w:t>
      </w:r>
      <w:bookmarkStart w:id="0" w:name="_GoBack"/>
      <w:bookmarkEnd w:id="0"/>
      <w:r>
        <w:rPr>
          <w:rFonts w:hint="eastAsia" w:ascii="仿宋_GB2312" w:eastAsia="仿宋_GB2312"/>
          <w:color w:val="000000"/>
          <w:sz w:val="32"/>
          <w:szCs w:val="32"/>
          <w:lang w:val="en-US" w:eastAsia="zh-CN" w:bidi="ar"/>
        </w:rPr>
        <w:t>出应有贡献。</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（一）</w:t>
      </w:r>
      <w:r>
        <w:rPr>
          <w:rFonts w:hint="eastAsia" w:ascii="仿宋_GB2312" w:hAnsi="仿宋_GB2312" w:eastAsia="仿宋_GB2312" w:cs="仿宋_GB2312"/>
          <w:b w:val="0"/>
          <w:bCs w:val="0"/>
          <w:sz w:val="32"/>
          <w:szCs w:val="32"/>
          <w:lang w:eastAsia="zh-CN"/>
        </w:rPr>
        <w:t>积极做好政府信息主动公开。着力抓好政策信息公开发布，县政府网站全年更新项目投资、财政资金、征地拆迁、教育医疗等重点领域政府信息</w:t>
      </w:r>
      <w:r>
        <w:rPr>
          <w:rStyle w:val="12"/>
          <w:rFonts w:hint="eastAsia" w:eastAsia="仿宋_GB2312"/>
          <w:lang w:val="en-US" w:eastAsia="zh-CN"/>
        </w:rPr>
        <w:t>2501</w:t>
      </w:r>
      <w:r>
        <w:rPr>
          <w:rFonts w:hint="eastAsia" w:ascii="仿宋_GB2312" w:hAnsi="仿宋_GB2312" w:eastAsia="仿宋_GB2312" w:cs="仿宋_GB2312"/>
          <w:b w:val="0"/>
          <w:bCs w:val="0"/>
          <w:sz w:val="32"/>
          <w:szCs w:val="32"/>
          <w:lang w:eastAsia="zh-CN"/>
        </w:rPr>
        <w:t>条；“政务隆尧”微信订阅号发布决策部署、政策措施等</w:t>
      </w:r>
      <w:r>
        <w:rPr>
          <w:rFonts w:hint="eastAsia" w:ascii="仿宋_GB2312" w:hAnsi="仿宋_GB2312" w:eastAsia="仿宋_GB2312" w:cs="仿宋_GB2312"/>
          <w:b w:val="0"/>
          <w:bCs w:val="0"/>
          <w:sz w:val="32"/>
          <w:szCs w:val="32"/>
          <w:lang w:val="en-US" w:eastAsia="zh-CN"/>
        </w:rPr>
        <w:t>86</w:t>
      </w:r>
      <w:r>
        <w:rPr>
          <w:rFonts w:hint="eastAsia" w:ascii="仿宋_GB2312" w:hAnsi="仿宋_GB2312" w:eastAsia="仿宋_GB2312" w:cs="仿宋_GB2312"/>
          <w:b w:val="0"/>
          <w:bCs w:val="0"/>
          <w:sz w:val="32"/>
          <w:szCs w:val="32"/>
          <w:lang w:eastAsia="zh-CN"/>
        </w:rPr>
        <w:t>条；实现乡镇、开发区权责清单制度全覆盖，我县各乡镇和开发区权责清单已通过县级政府信息公开平台全面予以公开。在邢台市人民政府网站区县动态专栏上传隆尧县动态信息</w:t>
      </w:r>
      <w:r>
        <w:rPr>
          <w:rFonts w:hint="eastAsia" w:ascii="仿宋_GB2312" w:hAnsi="仿宋_GB2312" w:eastAsia="仿宋_GB2312" w:cs="仿宋_GB2312"/>
          <w:b w:val="0"/>
          <w:bCs w:val="0"/>
          <w:sz w:val="32"/>
          <w:szCs w:val="32"/>
          <w:lang w:val="en-US" w:eastAsia="zh-CN"/>
        </w:rPr>
        <w:t>300</w:t>
      </w:r>
      <w:r>
        <w:rPr>
          <w:rFonts w:hint="eastAsia" w:ascii="仿宋_GB2312" w:hAnsi="仿宋_GB2312" w:eastAsia="仿宋_GB2312" w:cs="仿宋_GB2312"/>
          <w:b w:val="0"/>
          <w:bCs w:val="0"/>
          <w:sz w:val="32"/>
          <w:szCs w:val="32"/>
          <w:lang w:eastAsia="zh-CN"/>
        </w:rPr>
        <w:t>余条。答复网站留言交办</w:t>
      </w:r>
      <w:r>
        <w:rPr>
          <w:rFonts w:hint="eastAsia" w:ascii="仿宋_GB2312" w:hAnsi="仿宋_GB2312" w:eastAsia="仿宋_GB2312" w:cs="仿宋_GB2312"/>
          <w:b w:val="0"/>
          <w:bCs w:val="0"/>
          <w:sz w:val="32"/>
          <w:szCs w:val="32"/>
          <w:lang w:val="en-US" w:eastAsia="zh-CN"/>
        </w:rPr>
        <w:t>48</w:t>
      </w:r>
      <w:r>
        <w:rPr>
          <w:rFonts w:hint="eastAsia" w:ascii="仿宋_GB2312" w:hAnsi="仿宋_GB2312" w:eastAsia="仿宋_GB2312" w:cs="仿宋_GB2312"/>
          <w:b w:val="0"/>
          <w:bCs w:val="0"/>
          <w:sz w:val="32"/>
          <w:szCs w:val="32"/>
          <w:lang w:eastAsia="zh-CN"/>
        </w:rPr>
        <w:t>条，答复“问政邢台”留言交办</w:t>
      </w:r>
      <w:r>
        <w:rPr>
          <w:rFonts w:hint="eastAsia" w:ascii="仿宋_GB2312" w:hAnsi="仿宋_GB2312" w:eastAsia="仿宋_GB2312" w:cs="仿宋_GB2312"/>
          <w:b w:val="0"/>
          <w:bCs w:val="0"/>
          <w:sz w:val="32"/>
          <w:szCs w:val="32"/>
          <w:lang w:val="en-US" w:eastAsia="zh-CN"/>
        </w:rPr>
        <w:t>30</w:t>
      </w:r>
      <w:r>
        <w:rPr>
          <w:rFonts w:hint="eastAsia" w:ascii="仿宋_GB2312" w:hAnsi="仿宋_GB2312" w:eastAsia="仿宋_GB2312" w:cs="仿宋_GB2312"/>
          <w:b w:val="0"/>
          <w:bCs w:val="0"/>
          <w:sz w:val="32"/>
          <w:szCs w:val="32"/>
          <w:lang w:eastAsia="zh-CN"/>
        </w:rPr>
        <w:t>条</w:t>
      </w:r>
      <w:r>
        <w:rPr>
          <w:rFonts w:hint="eastAsia" w:ascii="仿宋_GB2312" w:hAnsi="仿宋_GB2312" w:eastAsia="仿宋_GB2312" w:cs="仿宋_GB2312"/>
          <w:b w:val="0"/>
          <w:bCs w:val="0"/>
          <w:sz w:val="32"/>
          <w:szCs w:val="32"/>
          <w:lang w:val="en-US" w:eastAsia="zh-CN"/>
        </w:rPr>
        <w:t>,有效维护了舆论环境的正向健康发展</w:t>
      </w:r>
      <w:r>
        <w:rPr>
          <w:rFonts w:hint="eastAsia" w:ascii="仿宋_GB2312" w:hAnsi="仿宋_GB2312" w:eastAsia="仿宋_GB2312" w:cs="仿宋_GB2312"/>
          <w:b w:val="0"/>
          <w:bCs w:val="0"/>
          <w:sz w:val="32"/>
          <w:szCs w:val="32"/>
          <w:lang w:eastAsia="zh-CN"/>
        </w:rPr>
        <w:t>。</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600" w:lineRule="exact"/>
        <w:ind w:right="0" w:firstLine="640" w:firstLineChars="200"/>
        <w:jc w:val="both"/>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（二）</w:t>
      </w:r>
      <w:r>
        <w:rPr>
          <w:rFonts w:hint="eastAsia" w:ascii="仿宋_GB2312" w:hAnsi="仿宋_GB2312" w:eastAsia="仿宋_GB2312" w:cs="仿宋_GB2312"/>
          <w:bCs/>
          <w:sz w:val="32"/>
          <w:szCs w:val="32"/>
          <w:lang w:eastAsia="zh-CN"/>
        </w:rPr>
        <w:t>依法依规答复政府信息公开申请</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坚持</w:t>
      </w:r>
      <w:r>
        <w:rPr>
          <w:rFonts w:hint="eastAsia" w:ascii="仿宋_GB2312" w:hAnsi="仿宋_GB2312" w:eastAsia="仿宋_GB2312" w:cs="仿宋_GB2312"/>
          <w:b w:val="0"/>
          <w:bCs w:val="0"/>
          <w:sz w:val="32"/>
          <w:szCs w:val="32"/>
          <w:lang w:eastAsia="zh-CN"/>
        </w:rPr>
        <w:t>牢树服务理念、宗旨意识，以提高群众获得感、满意度为目标，严格执行《河北省政府信息公开申请办理规范》，</w:t>
      </w:r>
      <w:r>
        <w:rPr>
          <w:rFonts w:hint="eastAsia" w:ascii="Times New Roman" w:hAnsi="Times New Roman" w:eastAsia="仿宋_GB2312" w:cs="Times New Roman"/>
          <w:kern w:val="2"/>
          <w:sz w:val="32"/>
          <w:szCs w:val="32"/>
          <w:lang w:val="en-US" w:eastAsia="zh-CN" w:bidi="ar-SA"/>
        </w:rPr>
        <w:t>依据《答复格式文本》制作政府信息公开申请答复书、告知书等，扎实推进依申请公开工作规范化</w:t>
      </w:r>
      <w:r>
        <w:rPr>
          <w:rFonts w:hint="eastAsia" w:ascii="仿宋_GB2312" w:hAnsi="仿宋_GB2312" w:eastAsia="仿宋_GB2312" w:cs="仿宋_GB2312"/>
          <w:kern w:val="2"/>
          <w:sz w:val="32"/>
          <w:szCs w:val="32"/>
          <w:lang w:val="en-US" w:eastAsia="zh-CN" w:bidi="ar-SA"/>
        </w:rPr>
        <w:t>标准化</w:t>
      </w:r>
      <w:r>
        <w:rPr>
          <w:rFonts w:hint="eastAsia" w:ascii="仿宋_GB2312" w:hAnsi="仿宋_GB2312" w:eastAsia="仿宋_GB2312" w:cs="仿宋_GB2312"/>
          <w:b w:val="0"/>
          <w:bCs w:val="0"/>
          <w:sz w:val="32"/>
          <w:szCs w:val="32"/>
          <w:lang w:eastAsia="zh-CN"/>
        </w:rPr>
        <w:t>。树牢宗旨意识，加强同申请人沟通联系，最大限度满足群众信息需求。全年受理</w:t>
      </w:r>
      <w:r>
        <w:rPr>
          <w:rFonts w:hint="eastAsia" w:ascii="仿宋_GB2312" w:hAnsi="仿宋_GB2312" w:eastAsia="仿宋_GB2312" w:cs="仿宋_GB2312"/>
          <w:b w:val="0"/>
          <w:bCs w:val="0"/>
          <w:sz w:val="32"/>
          <w:szCs w:val="32"/>
          <w:lang w:val="en-US" w:eastAsia="zh-CN"/>
        </w:rPr>
        <w:t>向</w:t>
      </w:r>
      <w:r>
        <w:rPr>
          <w:rFonts w:hint="eastAsia" w:ascii="仿宋_GB2312" w:hAnsi="仿宋_GB2312" w:eastAsia="仿宋_GB2312" w:cs="仿宋_GB2312"/>
          <w:b w:val="0"/>
          <w:bCs w:val="0"/>
          <w:sz w:val="32"/>
          <w:szCs w:val="32"/>
          <w:lang w:eastAsia="zh-CN"/>
        </w:rPr>
        <w:t>县政府</w:t>
      </w:r>
      <w:r>
        <w:rPr>
          <w:rFonts w:hint="eastAsia" w:ascii="仿宋_GB2312" w:hAnsi="仿宋_GB2312" w:eastAsia="仿宋_GB2312" w:cs="仿宋_GB2312"/>
          <w:b w:val="0"/>
          <w:bCs w:val="0"/>
          <w:sz w:val="32"/>
          <w:szCs w:val="32"/>
          <w:lang w:val="en-US" w:eastAsia="zh-CN"/>
        </w:rPr>
        <w:t>提出的</w:t>
      </w:r>
      <w:r>
        <w:rPr>
          <w:rFonts w:hint="eastAsia" w:ascii="仿宋_GB2312" w:hAnsi="仿宋_GB2312" w:eastAsia="仿宋_GB2312" w:cs="仿宋_GB2312"/>
          <w:b w:val="0"/>
          <w:bCs w:val="0"/>
          <w:sz w:val="32"/>
          <w:szCs w:val="32"/>
          <w:lang w:eastAsia="zh-CN"/>
        </w:rPr>
        <w:t>信息公开申请</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lang w:eastAsia="zh-CN"/>
        </w:rPr>
        <w:t>件，</w:t>
      </w:r>
      <w:r>
        <w:rPr>
          <w:rFonts w:hint="eastAsia" w:ascii="仿宋_GB2312" w:hAnsi="仿宋_GB2312" w:eastAsia="仿宋_GB2312" w:cs="仿宋_GB2312"/>
          <w:b w:val="0"/>
          <w:bCs/>
          <w:kern w:val="2"/>
          <w:sz w:val="32"/>
          <w:szCs w:val="32"/>
          <w:lang w:val="en-US" w:eastAsia="zh-CN" w:bidi="ar-SA"/>
        </w:rPr>
        <w:t>办复率达到了100%</w:t>
      </w:r>
      <w:r>
        <w:rPr>
          <w:rFonts w:hint="eastAsia" w:ascii="仿宋_GB2312" w:hAnsi="仿宋_GB2312" w:eastAsia="仿宋_GB2312" w:cs="仿宋_GB2312"/>
          <w:b w:val="0"/>
          <w:bCs w:val="0"/>
          <w:sz w:val="32"/>
          <w:szCs w:val="32"/>
          <w:lang w:eastAsia="zh-CN"/>
        </w:rPr>
        <w:t>；未出现因政府信息公开引起的行政</w:t>
      </w:r>
      <w:r>
        <w:rPr>
          <w:rFonts w:hint="eastAsia" w:ascii="仿宋_GB2312" w:hAnsi="仿宋_GB2312" w:eastAsia="仿宋_GB2312" w:cs="仿宋_GB2312"/>
          <w:b w:val="0"/>
          <w:bCs w:val="0"/>
          <w:sz w:val="32"/>
          <w:szCs w:val="32"/>
          <w:lang w:val="en-US" w:eastAsia="zh-CN"/>
        </w:rPr>
        <w:t>复议或行政诉讼</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未出现被纠错情形</w:t>
      </w:r>
      <w:r>
        <w:rPr>
          <w:rFonts w:hint="eastAsia" w:ascii="仿宋_GB2312" w:hAnsi="仿宋_GB2312" w:eastAsia="仿宋_GB2312" w:cs="仿宋_GB2312"/>
          <w:b w:val="0"/>
          <w:bCs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三</w:t>
      </w:r>
      <w:r>
        <w:rPr>
          <w:rFonts w:hint="eastAsia" w:ascii="仿宋_GB2312" w:hAnsi="仿宋_GB2312" w:eastAsia="仿宋_GB2312" w:cs="仿宋_GB2312"/>
          <w:b w:val="0"/>
          <w:bCs w:val="0"/>
          <w:sz w:val="32"/>
          <w:szCs w:val="32"/>
          <w:lang w:eastAsia="zh-CN"/>
        </w:rPr>
        <w:t>）</w:t>
      </w:r>
      <w:r>
        <w:rPr>
          <w:rFonts w:hint="eastAsia" w:ascii="仿宋_GB2312" w:eastAsia="仿宋_GB2312"/>
          <w:sz w:val="32"/>
          <w:szCs w:val="32"/>
        </w:rPr>
        <w:t>着力加强政府信息管理。严格执行</w:t>
      </w:r>
      <w:r>
        <w:rPr>
          <w:rFonts w:hint="eastAsia" w:ascii="仿宋_GB2312" w:hAnsi="仿宋_GB2312" w:eastAsia="仿宋_GB2312" w:cs="仿宋_GB2312"/>
          <w:b w:val="0"/>
          <w:bCs w:val="0"/>
          <w:sz w:val="32"/>
          <w:szCs w:val="32"/>
          <w:lang w:val="en-US" w:eastAsia="zh-CN"/>
        </w:rPr>
        <w:t>《隆尧县政府信息公开保密审查制度</w:t>
      </w:r>
      <w:r>
        <w:rPr>
          <w:rFonts w:hint="eastAsia" w:ascii="仿宋_GB2312" w:hAnsi="仿宋_GB2312" w:eastAsia="仿宋_GB2312" w:cs="仿宋_GB2312"/>
          <w:b w:val="0"/>
          <w:bCs w:val="0"/>
          <w:sz w:val="32"/>
          <w:szCs w:val="32"/>
          <w:lang w:eastAsia="zh-CN"/>
        </w:rPr>
        <w:t>》，</w:t>
      </w:r>
      <w:r>
        <w:rPr>
          <w:rFonts w:hint="eastAsia" w:ascii="仿宋_GB2312" w:eastAsia="仿宋_GB2312"/>
          <w:sz w:val="32"/>
          <w:szCs w:val="32"/>
        </w:rPr>
        <w:t>认真做好文件公开属性源头认定，在公文产生过程中同步确定其公开属性，进一步提高政府</w:t>
      </w:r>
      <w:r>
        <w:rPr>
          <w:rFonts w:hint="eastAsia" w:ascii="仿宋_GB2312" w:hAnsi="仿宋_GB2312" w:eastAsia="仿宋_GB2312" w:cs="仿宋_GB2312"/>
          <w:sz w:val="32"/>
          <w:szCs w:val="32"/>
        </w:rPr>
        <w:t>信息公开工作质效。</w:t>
      </w:r>
      <w:r>
        <w:rPr>
          <w:rFonts w:hint="eastAsia" w:ascii="仿宋_GB2312" w:hAnsi="仿宋_GB2312" w:eastAsia="仿宋_GB2312" w:cs="仿宋_GB2312"/>
          <w:b w:val="0"/>
          <w:bCs w:val="0"/>
          <w:sz w:val="32"/>
          <w:szCs w:val="32"/>
          <w:lang w:eastAsia="zh-CN"/>
        </w:rPr>
        <w:t>按照《关于进一步加强县政府门户网站、政务新媒体信息发布审查工作的通知》要求，严格落实信息发布前“三审”备案表制度，有效减少信息公开存在的错敏词汇现象。严格</w:t>
      </w:r>
      <w:r>
        <w:rPr>
          <w:rFonts w:hint="eastAsia" w:ascii="仿宋_GB2312" w:hAnsi="仿宋_GB2312" w:eastAsia="仿宋_GB2312" w:cs="仿宋_GB2312"/>
          <w:b w:val="0"/>
          <w:bCs w:val="0"/>
          <w:sz w:val="32"/>
          <w:szCs w:val="32"/>
          <w:lang w:val="en-US" w:eastAsia="zh-CN"/>
        </w:rPr>
        <w:t>审查各单位政务新媒体稿件送审签是否完全符合标准，将发布的政府信息政务新媒体稿件送审签与政府网站公开的政府信息认真核对，确保网站上公开的政府信息与对应的政务新媒体稿件送审签标题、时间等关键信息完全一致，并将出现各种细节问题的政务新媒体稿件送审签，驳回至发布政府信息的原单位进行修改完善直至完全符合要求。全年共审核政府信息政务新媒体稿件送审签2501</w:t>
      </w:r>
      <w:r>
        <w:rPr>
          <w:rFonts w:hint="eastAsia" w:ascii="仿宋_GB2312" w:hAnsi="仿宋_GB2312" w:eastAsia="仿宋_GB2312" w:cs="仿宋_GB2312"/>
          <w:b w:val="0"/>
          <w:bCs w:val="0"/>
          <w:sz w:val="32"/>
          <w:szCs w:val="32"/>
          <w:lang w:eastAsia="zh-CN"/>
        </w:rPr>
        <w:t>余个，全部符合要求。</w:t>
      </w:r>
      <w:r>
        <w:rPr>
          <w:rFonts w:hint="eastAsia" w:ascii="仿宋_GB2312" w:hAnsi="仿宋_GB2312" w:eastAsia="仿宋_GB2312" w:cs="仿宋_GB2312"/>
          <w:b w:val="0"/>
          <w:bCs w:val="0"/>
          <w:sz w:val="32"/>
          <w:szCs w:val="32"/>
          <w:lang w:val="en-US" w:eastAsia="zh-CN"/>
        </w:rPr>
        <w:t>严格把关，发布政策及同步对应的解读6个。</w:t>
      </w:r>
    </w:p>
    <w:p>
      <w:pPr>
        <w:keepNext w:val="0"/>
        <w:keepLines w:val="0"/>
        <w:pageBreakBefore w:val="0"/>
        <w:widowControl/>
        <w:suppressLineNumbers w:val="0"/>
        <w:kinsoku/>
        <w:wordWrap/>
        <w:overflowPunct/>
        <w:topLinePunct w:val="0"/>
        <w:autoSpaceDE/>
        <w:autoSpaceDN/>
        <w:bidi w:val="0"/>
        <w:spacing w:line="600" w:lineRule="exact"/>
        <w:ind w:firstLine="640" w:firstLineChars="200"/>
        <w:jc w:val="left"/>
        <w:rPr>
          <w:rFonts w:hint="eastAsia" w:ascii="仿宋_GB2312" w:hAnsi="仿宋_GB2312" w:eastAsia="仿宋_GB2312" w:cs="仿宋_GB2312"/>
          <w:b w:val="0"/>
          <w:bCs w:val="0"/>
          <w:kern w:val="0"/>
          <w:sz w:val="32"/>
          <w:szCs w:val="32"/>
          <w:lang w:val="en-US" w:eastAsia="zh-CN" w:bidi="ar"/>
        </w:rPr>
      </w:pPr>
      <w:r>
        <w:rPr>
          <w:rFonts w:hint="eastAsia" w:ascii="仿宋_GB2312" w:hAnsi="仿宋_GB2312" w:eastAsia="仿宋_GB2312" w:cs="仿宋_GB2312"/>
          <w:b w:val="0"/>
          <w:bCs w:val="0"/>
          <w:sz w:val="32"/>
          <w:szCs w:val="32"/>
          <w:lang w:eastAsia="zh-CN"/>
        </w:rPr>
        <w:t>（四）政府信息公开平台建设</w:t>
      </w:r>
      <w:r>
        <w:rPr>
          <w:rFonts w:hint="eastAsia" w:ascii="仿宋_GB2312" w:hAnsi="仿宋_GB2312" w:eastAsia="仿宋_GB2312" w:cs="仿宋_GB2312"/>
          <w:b w:val="0"/>
          <w:bCs w:val="0"/>
          <w:sz w:val="32"/>
          <w:szCs w:val="32"/>
          <w:lang w:val="en-US" w:eastAsia="zh-CN"/>
        </w:rPr>
        <w:t>进一步</w:t>
      </w:r>
      <w:r>
        <w:rPr>
          <w:rFonts w:hint="eastAsia" w:ascii="仿宋_GB2312" w:hAnsi="仿宋_GB2312" w:eastAsia="仿宋_GB2312" w:cs="仿宋_GB2312"/>
          <w:b w:val="0"/>
          <w:bCs w:val="0"/>
          <w:sz w:val="32"/>
          <w:szCs w:val="32"/>
          <w:lang w:eastAsia="zh-CN"/>
        </w:rPr>
        <w:t>推进</w:t>
      </w:r>
      <w:r>
        <w:rPr>
          <w:rFonts w:hint="eastAsia" w:ascii="仿宋_GB2312" w:hAnsi="仿宋_GB2312" w:eastAsia="仿宋_GB2312" w:cs="仿宋_GB2312"/>
          <w:b w:val="0"/>
          <w:bCs w:val="0"/>
          <w:kern w:val="0"/>
          <w:sz w:val="32"/>
          <w:szCs w:val="32"/>
          <w:lang w:val="en-US" w:eastAsia="zh-CN" w:bidi="ar"/>
        </w:rPr>
        <w:t>。积极推进政府信息公开平台建设，对标国办、省办平台，，提升网上履职和服务公众能力。优化整合提升“</w:t>
      </w:r>
      <w:r>
        <w:rPr>
          <w:rFonts w:hint="default" w:ascii="仿宋_GB2312" w:hAnsi="仿宋_GB2312" w:eastAsia="仿宋_GB2312" w:cs="仿宋_GB2312"/>
          <w:b w:val="0"/>
          <w:bCs w:val="0"/>
          <w:kern w:val="0"/>
          <w:sz w:val="32"/>
          <w:szCs w:val="32"/>
          <w:lang w:val="en-US" w:eastAsia="zh-CN" w:bidi="ar"/>
        </w:rPr>
        <w:t>隆尧县人民政府网站管理系统</w:t>
      </w:r>
      <w:r>
        <w:rPr>
          <w:rFonts w:hint="eastAsia" w:ascii="仿宋_GB2312" w:hAnsi="仿宋_GB2312" w:eastAsia="仿宋_GB2312" w:cs="仿宋_GB2312"/>
          <w:b w:val="0"/>
          <w:bCs w:val="0"/>
          <w:kern w:val="0"/>
          <w:sz w:val="32"/>
          <w:szCs w:val="32"/>
          <w:lang w:val="en-US" w:eastAsia="zh-CN" w:bidi="ar"/>
        </w:rPr>
        <w:t>”，包含错敏词汇发布前检索、一站搜索等功能，通过政府网站、政务新媒体、政务公开专区等渠道加强政府信息公开，方便群众查阅。充分发挥政务服务大厅政务公开专区作用，健全完善政府信息查询、信息公开申请、办事咨询服务、政策宣传解读等。</w:t>
      </w:r>
    </w:p>
    <w:p>
      <w:pPr>
        <w:keepNext w:val="0"/>
        <w:keepLines w:val="0"/>
        <w:pageBreakBefore w:val="0"/>
        <w:pBdr>
          <w:bottom w:val="single" w:color="FFFFFF" w:sz="4" w:space="31"/>
        </w:pBdr>
        <w:kinsoku/>
        <w:wordWrap/>
        <w:overflowPunct/>
        <w:topLinePunct w:val="0"/>
        <w:autoSpaceDE/>
        <w:autoSpaceDN/>
        <w:bidi w:val="0"/>
        <w:adjustRightInd w:val="0"/>
        <w:snapToGrid w:val="0"/>
        <w:spacing w:line="600" w:lineRule="exact"/>
        <w:ind w:firstLine="640" w:firstLineChars="200"/>
        <w:textAlignment w:val="top"/>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（五）监督保障</w:t>
      </w:r>
      <w:r>
        <w:rPr>
          <w:rFonts w:hint="eastAsia" w:ascii="仿宋_GB2312" w:hAnsi="仿宋_GB2312" w:eastAsia="仿宋_GB2312" w:cs="仿宋_GB2312"/>
          <w:b w:val="0"/>
          <w:bCs w:val="0"/>
          <w:sz w:val="32"/>
          <w:szCs w:val="32"/>
          <w:lang w:val="en-US" w:eastAsia="zh-CN"/>
        </w:rPr>
        <w:t>进一步</w:t>
      </w:r>
      <w:r>
        <w:rPr>
          <w:rFonts w:hint="eastAsia" w:ascii="仿宋_GB2312" w:hAnsi="仿宋_GB2312" w:eastAsia="仿宋_GB2312" w:cs="仿宋_GB2312"/>
          <w:b w:val="0"/>
          <w:bCs w:val="0"/>
          <w:sz w:val="32"/>
          <w:szCs w:val="32"/>
          <w:lang w:eastAsia="zh-CN"/>
        </w:rPr>
        <w:t>强化。对政务公开工作重点任务梳理形成台账，细化实化责任分工。</w:t>
      </w:r>
      <w:r>
        <w:rPr>
          <w:rFonts w:hint="eastAsia" w:ascii="仿宋_GB2312" w:hAnsi="仿宋_GB2312" w:eastAsia="仿宋_GB2312" w:cs="仿宋_GB2312"/>
          <w:b w:val="0"/>
          <w:bCs w:val="0"/>
          <w:sz w:val="32"/>
          <w:szCs w:val="32"/>
          <w:lang w:val="en-US" w:eastAsia="zh-CN"/>
        </w:rPr>
        <w:t>督促引导各部门加强对政府信息公开法律知识的学习，</w:t>
      </w:r>
      <w:r>
        <w:rPr>
          <w:rFonts w:hint="eastAsia" w:ascii="仿宋_GB2312" w:eastAsia="仿宋_GB2312"/>
          <w:sz w:val="32"/>
          <w:szCs w:val="32"/>
        </w:rPr>
        <w:t>有效提高全</w:t>
      </w:r>
      <w:r>
        <w:rPr>
          <w:rFonts w:hint="eastAsia" w:ascii="仿宋_GB2312" w:eastAsia="仿宋_GB2312"/>
          <w:sz w:val="32"/>
          <w:szCs w:val="32"/>
          <w:lang w:eastAsia="zh-CN"/>
        </w:rPr>
        <w:t>县</w:t>
      </w:r>
      <w:r>
        <w:rPr>
          <w:rFonts w:hint="eastAsia" w:ascii="仿宋_GB2312" w:eastAsia="仿宋_GB2312"/>
          <w:sz w:val="32"/>
          <w:szCs w:val="32"/>
          <w:lang w:val="en-US" w:eastAsia="zh-CN"/>
        </w:rPr>
        <w:t>政务</w:t>
      </w:r>
      <w:r>
        <w:rPr>
          <w:rFonts w:hint="eastAsia" w:ascii="仿宋_GB2312" w:eastAsia="仿宋_GB2312"/>
          <w:sz w:val="32"/>
          <w:szCs w:val="32"/>
        </w:rPr>
        <w:t>公开队伍业务水平。</w:t>
      </w:r>
      <w:r>
        <w:rPr>
          <w:rFonts w:hint="eastAsia" w:ascii="仿宋_GB2312" w:hAnsi="仿宋_GB2312" w:eastAsia="仿宋_GB2312" w:cs="仿宋_GB2312"/>
          <w:sz w:val="32"/>
          <w:szCs w:val="32"/>
        </w:rPr>
        <w:t>通过政务新媒体积极转发上级政策信息，开展联动传播，全力做好政务新媒体服务保障。</w:t>
      </w:r>
    </w:p>
    <w:p>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二、主动公开政府信息情况</w:t>
      </w:r>
    </w:p>
    <w:tbl>
      <w:tblPr>
        <w:tblStyle w:val="9"/>
        <w:tblW w:w="82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060"/>
        <w:gridCol w:w="2060"/>
        <w:gridCol w:w="2060"/>
        <w:gridCol w:w="20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82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206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06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本年废止件数</w:t>
            </w:r>
          </w:p>
        </w:tc>
        <w:tc>
          <w:tcPr>
            <w:tcW w:w="206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规章</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color w:val="auto"/>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行政规范性文件</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lang w:val="en-US" w:eastAsia="zh-CN"/>
              </w:rPr>
              <w:t>1</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color w:val="auto"/>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color w:val="auto"/>
                <w:kern w:val="0"/>
                <w:sz w:val="21"/>
                <w:szCs w:val="21"/>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82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行政许可</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82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firstLine="0"/>
              <w:jc w:val="center"/>
              <w:textAlignment w:val="auto"/>
            </w:pPr>
            <w:r>
              <w:rPr>
                <w:rFonts w:hint="eastAsia" w:ascii="宋体" w:hAnsi="宋体" w:eastAsia="宋体" w:cs="宋体"/>
                <w:color w:val="000000"/>
                <w:kern w:val="0"/>
                <w:sz w:val="20"/>
                <w:szCs w:val="20"/>
                <w:lang w:val="en-US" w:eastAsia="zh-CN" w:bidi="ar"/>
              </w:rPr>
              <w:t>信息内容</w:t>
            </w:r>
          </w:p>
        </w:tc>
        <w:tc>
          <w:tcPr>
            <w:tcW w:w="6180"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firstLine="0"/>
              <w:jc w:val="center"/>
              <w:textAlignment w:val="auto"/>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行政处罚</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行政强制</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82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6180"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4"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auto"/>
                <w:kern w:val="0"/>
                <w:sz w:val="20"/>
                <w:szCs w:val="20"/>
                <w:lang w:val="en-US" w:eastAsia="zh-CN" w:bidi="ar"/>
              </w:rPr>
              <w:t>行政事业性收费</w:t>
            </w:r>
          </w:p>
        </w:tc>
        <w:tc>
          <w:tcPr>
            <w:tcW w:w="6180"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snapToGrid/>
              <w:spacing w:line="540" w:lineRule="exact"/>
              <w:jc w:val="center"/>
              <w:textAlignment w:val="auto"/>
              <w:rPr>
                <w:rFonts w:hint="eastAsia" w:ascii="宋体" w:eastAsiaTheme="minorEastAsia"/>
                <w:sz w:val="24"/>
                <w:szCs w:val="24"/>
                <w:lang w:val="en-US" w:eastAsia="zh-CN"/>
              </w:rPr>
            </w:pPr>
            <w:r>
              <w:rPr>
                <w:rFonts w:hint="eastAsia" w:ascii="宋体"/>
                <w:color w:val="auto"/>
                <w:sz w:val="24"/>
                <w:szCs w:val="24"/>
                <w:lang w:val="en-US" w:eastAsia="zh-CN"/>
              </w:rPr>
              <w:t>0</w:t>
            </w:r>
          </w:p>
        </w:tc>
      </w:tr>
    </w:tbl>
    <w:p>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宋体" w:hAnsi="宋体" w:eastAsia="宋体" w:cs="宋体"/>
        </w:rPr>
      </w:pPr>
      <w:r>
        <w:rPr>
          <w:rFonts w:hint="eastAsia" w:ascii="黑体" w:hAnsi="黑体" w:eastAsia="黑体" w:cs="黑体"/>
          <w:kern w:val="2"/>
          <w:sz w:val="32"/>
          <w:szCs w:val="32"/>
          <w:lang w:val="en-US" w:eastAsia="zh-CN" w:bidi="ar-SA"/>
        </w:rPr>
        <w:t>三、收到和处理政府信息公开申请情况</w:t>
      </w:r>
    </w:p>
    <w:tbl>
      <w:tblPr>
        <w:tblStyle w:val="9"/>
        <w:tblW w:w="835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56"/>
        <w:gridCol w:w="806"/>
        <w:gridCol w:w="2756"/>
        <w:gridCol w:w="590"/>
        <w:gridCol w:w="587"/>
        <w:gridCol w:w="590"/>
        <w:gridCol w:w="587"/>
        <w:gridCol w:w="590"/>
        <w:gridCol w:w="596"/>
        <w:gridCol w:w="60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4218"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141"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20" w:hRule="atLeast"/>
          <w:jc w:val="center"/>
        </w:trPr>
        <w:tc>
          <w:tcPr>
            <w:tcW w:w="4218"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90"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自然人</w:t>
            </w:r>
          </w:p>
        </w:tc>
        <w:tc>
          <w:tcPr>
            <w:tcW w:w="295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法人或其他组织</w:t>
            </w:r>
          </w:p>
        </w:tc>
        <w:tc>
          <w:tcPr>
            <w:tcW w:w="601"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1539" w:hRule="atLeast"/>
          <w:jc w:val="center"/>
        </w:trPr>
        <w:tc>
          <w:tcPr>
            <w:tcW w:w="4218"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90"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商业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企业</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科研</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机构</w:t>
            </w:r>
          </w:p>
        </w:tc>
        <w:tc>
          <w:tcPr>
            <w:tcW w:w="58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社会公益组织</w:t>
            </w:r>
          </w:p>
        </w:tc>
        <w:tc>
          <w:tcPr>
            <w:tcW w:w="59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法律服务机构</w:t>
            </w:r>
          </w:p>
        </w:tc>
        <w:tc>
          <w:tcPr>
            <w:tcW w:w="596"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其他</w:t>
            </w:r>
          </w:p>
        </w:tc>
        <w:tc>
          <w:tcPr>
            <w:tcW w:w="601"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30"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一、本年新收政府信息公开申请数量</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10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rPr>
                <w:rFonts w:hint="default" w:eastAsia="等线"/>
                <w:lang w:val="en-US" w:eastAsia="zh-CN"/>
              </w:rPr>
            </w:pPr>
            <w:r>
              <w:rPr>
                <w:rFonts w:hint="eastAsia"/>
                <w:lang w:val="en-US" w:eastAsia="zh-CN"/>
              </w:rPr>
              <w:t>10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0"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二、上年结转政府信息公开申请数量</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三、本年度办理结果</w:t>
            </w: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（一）予以公开</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9</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9</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8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ascii="Calibri" w:hAnsi="Calibri" w:cs="Calibri" w:eastAsiaTheme="minorEastAsia"/>
                <w:kern w:val="0"/>
                <w:sz w:val="20"/>
                <w:szCs w:val="20"/>
                <w:lang w:val="en-US" w:eastAsia="zh-CN" w:bidi="ar"/>
              </w:rPr>
            </w:pPr>
            <w:r>
              <w:rPr>
                <w:rFonts w:hint="eastAsia" w:ascii="Calibri" w:hAnsi="Calibri" w:cs="Calibri" w:eastAsiaTheme="minorEastAsia"/>
                <w:kern w:val="0"/>
                <w:sz w:val="20"/>
                <w:szCs w:val="20"/>
                <w:lang w:val="en-US" w:eastAsia="zh-CN" w:bidi="ar"/>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ascii="Calibri" w:hAnsi="Calibri" w:cs="Calibri" w:eastAsiaTheme="minorEastAsia"/>
                <w:kern w:val="0"/>
                <w:sz w:val="20"/>
                <w:szCs w:val="20"/>
                <w:lang w:val="en-US" w:eastAsia="zh-CN" w:bidi="ar"/>
              </w:rPr>
            </w:pPr>
            <w:r>
              <w:rPr>
                <w:rFonts w:hint="eastAsia" w:ascii="Calibri" w:hAnsi="Calibri" w:cs="Calibri" w:eastAsiaTheme="minorEastAsia"/>
                <w:kern w:val="0"/>
                <w:sz w:val="20"/>
                <w:szCs w:val="20"/>
                <w:lang w:val="en-US" w:eastAsia="zh-CN" w:bidi="ar"/>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2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（三）不予公开</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1.属于国家秘密</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2.其他法律行政法规禁止公开</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3.危及“三安全一稳定”</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4.保护第三方合法权益</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5.属于三类内部事务信息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1</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6.属于四类过程性信息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7.属于行政执法案卷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8.属于行政查询事项</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4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（四）无法提供</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1.本机关不掌握相关政府信息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Theme="minorEastAsia"/>
                <w:lang w:val="en-US" w:eastAsia="zh-CN"/>
              </w:rPr>
            </w:pPr>
            <w:r>
              <w:rPr>
                <w:rFonts w:hint="eastAsia" w:eastAsiaTheme="minor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2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2.没有现成信息需要另行制作</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6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3.补正后申请内容仍不明确</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（五）不予处理</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1.信访举报投诉类申请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2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2.重复申请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3.要求提供公开出版物</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3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4.无正当理由大量反复申请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8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5.要求行政机关确认或重新出具已获取信息</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13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（六）其他处理</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1374"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3.其他</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Theme="minorEastAsia"/>
                <w:lang w:val="en-US" w:eastAsia="zh-CN"/>
              </w:rPr>
            </w:pPr>
            <w:r>
              <w:rPr>
                <w:rFonts w:hint="eastAsia" w:eastAsiaTheme="minor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（七）总计</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10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10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8"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四、结转下年度继续办理</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eastAsia="zh-CN"/>
              </w:rPr>
            </w:pPr>
            <w:r>
              <w:rPr>
                <w:rFonts w:hint="eastAsia"/>
                <w:lang w:val="en-US" w:eastAsia="zh-CN"/>
              </w:rPr>
              <w:t>0</w:t>
            </w:r>
          </w:p>
        </w:tc>
      </w:tr>
    </w:tbl>
    <w:p>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p>
    <w:p>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kern w:val="2"/>
          <w:sz w:val="32"/>
          <w:szCs w:val="32"/>
          <w:lang w:val="en-US" w:eastAsia="zh-CN" w:bidi="ar-SA"/>
        </w:rPr>
        <w:t>四、政府信息公开行政复议、行政诉讼情况</w:t>
      </w:r>
    </w:p>
    <w:tbl>
      <w:tblPr>
        <w:tblStyle w:val="9"/>
        <w:tblW w:w="865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575"/>
        <w:gridCol w:w="575"/>
        <w:gridCol w:w="575"/>
        <w:gridCol w:w="575"/>
        <w:gridCol w:w="582"/>
        <w:gridCol w:w="575"/>
        <w:gridCol w:w="575"/>
        <w:gridCol w:w="576"/>
        <w:gridCol w:w="576"/>
        <w:gridCol w:w="583"/>
        <w:gridCol w:w="577"/>
        <w:gridCol w:w="577"/>
        <w:gridCol w:w="577"/>
        <w:gridCol w:w="577"/>
        <w:gridCol w:w="58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4" w:hRule="atLeast"/>
          <w:jc w:val="center"/>
        </w:trPr>
        <w:tc>
          <w:tcPr>
            <w:tcW w:w="2882"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行政复议</w:t>
            </w:r>
          </w:p>
        </w:tc>
        <w:tc>
          <w:tcPr>
            <w:tcW w:w="5777"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44" w:hRule="atLeast"/>
          <w:jc w:val="center"/>
        </w:trPr>
        <w:tc>
          <w:tcPr>
            <w:tcW w:w="575"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结果维持</w:t>
            </w:r>
          </w:p>
        </w:tc>
        <w:tc>
          <w:tcPr>
            <w:tcW w:w="575"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5"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w:t>
            </w:r>
          </w:p>
        </w:tc>
        <w:tc>
          <w:tcPr>
            <w:tcW w:w="575"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总计</w:t>
            </w:r>
          </w:p>
        </w:tc>
        <w:tc>
          <w:tcPr>
            <w:tcW w:w="288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未经复议直接起诉</w:t>
            </w:r>
          </w:p>
        </w:tc>
        <w:tc>
          <w:tcPr>
            <w:tcW w:w="2892"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44" w:hRule="atLeast"/>
          <w:jc w:val="center"/>
        </w:trPr>
        <w:tc>
          <w:tcPr>
            <w:tcW w:w="575"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8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维持</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6"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w:t>
            </w:r>
          </w:p>
        </w:tc>
        <w:tc>
          <w:tcPr>
            <w:tcW w:w="576"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总计</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维持</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其他</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结果</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41" w:hRule="atLeast"/>
          <w:jc w:val="center"/>
        </w:trPr>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8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6"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6"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黑体" w:hAnsi="宋体" w:eastAsia="黑体" w:cs="黑体"/>
                <w:kern w:val="0"/>
                <w:sz w:val="20"/>
                <w:szCs w:val="20"/>
                <w:lang w:val="en-US" w:eastAsia="zh-CN" w:bidi="ar"/>
              </w:rPr>
              <w:t>0</w:t>
            </w:r>
          </w:p>
        </w:tc>
        <w:tc>
          <w:tcPr>
            <w:tcW w:w="58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黑体" w:hAnsi="宋体" w:eastAsia="黑体" w:cs="黑体"/>
                <w:kern w:val="0"/>
                <w:sz w:val="20"/>
                <w:szCs w:val="20"/>
                <w:lang w:val="en-US" w:eastAsia="zh-CN" w:bidi="ar"/>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黑体" w:hAnsi="宋体" w:eastAsia="黑体" w:cs="黑体"/>
                <w:kern w:val="0"/>
                <w:sz w:val="20"/>
                <w:szCs w:val="20"/>
                <w:lang w:val="en-US" w:eastAsia="zh-CN" w:bidi="ar"/>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8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jc w:val="center"/>
              <w:textAlignment w:val="auto"/>
              <w:rPr>
                <w:rFonts w:hint="eastAsia" w:ascii="宋体" w:eastAsiaTheme="minorEastAsia"/>
                <w:sz w:val="24"/>
                <w:szCs w:val="24"/>
                <w:lang w:val="en-US" w:eastAsia="zh-CN"/>
              </w:rPr>
            </w:pPr>
            <w:r>
              <w:rPr>
                <w:rFonts w:hint="eastAsia" w:ascii="黑体" w:hAnsi="宋体" w:eastAsia="黑体" w:cs="黑体"/>
                <w:kern w:val="0"/>
                <w:sz w:val="20"/>
                <w:szCs w:val="20"/>
                <w:lang w:val="en-US" w:eastAsia="zh-CN" w:bidi="ar"/>
              </w:rPr>
              <w:t>0</w:t>
            </w:r>
          </w:p>
        </w:tc>
      </w:tr>
    </w:tbl>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黑体" w:hAnsi="黑体" w:eastAsia="黑体" w:cs="黑体"/>
          <w:kern w:val="1"/>
          <w:sz w:val="32"/>
          <w:szCs w:val="32"/>
          <w:lang w:val="en-US" w:eastAsia="zh-CN" w:bidi="ar-SA"/>
        </w:rPr>
      </w:pP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黑体" w:hAnsi="黑体" w:eastAsia="黑体" w:cs="黑体"/>
          <w:kern w:val="1"/>
          <w:sz w:val="32"/>
          <w:szCs w:val="32"/>
          <w:lang w:val="en-US" w:eastAsia="zh-CN" w:bidi="ar-SA"/>
        </w:rPr>
      </w:pPr>
      <w:r>
        <w:rPr>
          <w:rFonts w:hint="eastAsia" w:ascii="黑体" w:hAnsi="黑体" w:eastAsia="黑体" w:cs="黑体"/>
          <w:kern w:val="1"/>
          <w:sz w:val="32"/>
          <w:szCs w:val="32"/>
          <w:lang w:val="en-US" w:eastAsia="zh-CN" w:bidi="ar-SA"/>
        </w:rPr>
        <w:t>五、存在的主要问题及改进情况</w:t>
      </w:r>
    </w:p>
    <w:p>
      <w:pPr>
        <w:keepNext w:val="0"/>
        <w:keepLines w:val="0"/>
        <w:pageBreakBefore w:val="0"/>
        <w:widowControl/>
        <w:suppressLineNumbers w:val="0"/>
        <w:kinsoku/>
        <w:wordWrap/>
        <w:overflowPunct/>
        <w:topLinePunct w:val="0"/>
        <w:autoSpaceDE/>
        <w:autoSpaceDN/>
        <w:bidi w:val="0"/>
        <w:spacing w:line="600" w:lineRule="exact"/>
        <w:ind w:firstLine="640" w:firstLineChars="200"/>
        <w:jc w:val="left"/>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eastAsia="zh-CN"/>
        </w:rPr>
        <w:t>一年来我们的工作虽然取得了一些进展和成效，但仍存在差距和不足，</w:t>
      </w:r>
      <w:r>
        <w:rPr>
          <w:rFonts w:hint="eastAsia" w:ascii="仿宋_GB2312" w:hAnsi="仿宋_GB2312" w:eastAsia="仿宋_GB2312" w:cs="仿宋_GB2312"/>
          <w:b w:val="0"/>
          <w:bCs w:val="0"/>
          <w:sz w:val="32"/>
          <w:szCs w:val="32"/>
          <w:lang w:val="en-US" w:eastAsia="zh-CN"/>
        </w:rPr>
        <w:t>主要是</w:t>
      </w:r>
      <w:r>
        <w:rPr>
          <w:rFonts w:hint="eastAsia" w:ascii="仿宋_GB2312" w:hAnsi="仿宋_GB2312" w:eastAsia="仿宋_GB2312" w:cs="仿宋_GB2312"/>
          <w:b w:val="0"/>
          <w:bCs w:val="0"/>
          <w:sz w:val="32"/>
          <w:szCs w:val="32"/>
          <w:lang w:eastAsia="zh-CN"/>
        </w:rPr>
        <w:t>政府信息公开工作队伍需要加强，</w:t>
      </w:r>
      <w:r>
        <w:rPr>
          <w:rFonts w:hint="eastAsia" w:ascii="仿宋_GB2312" w:hAnsi="仿宋_GB2312" w:eastAsia="仿宋_GB2312" w:cs="仿宋_GB2312"/>
          <w:b w:val="0"/>
          <w:bCs w:val="0"/>
          <w:sz w:val="32"/>
          <w:szCs w:val="32"/>
          <w:lang w:val="en-US" w:eastAsia="zh-CN"/>
        </w:rPr>
        <w:t>政策解读方式还需多样化，主动公开的精准性还有待提高。</w:t>
      </w:r>
    </w:p>
    <w:p>
      <w:pPr>
        <w:keepNext w:val="0"/>
        <w:keepLines w:val="0"/>
        <w:pageBreakBefore w:val="0"/>
        <w:widowControl/>
        <w:suppressLineNumbers w:val="0"/>
        <w:kinsoku/>
        <w:wordWrap/>
        <w:overflowPunct/>
        <w:topLinePunct w:val="0"/>
        <w:autoSpaceDE/>
        <w:autoSpaceDN/>
        <w:bidi w:val="0"/>
        <w:spacing w:line="600" w:lineRule="exact"/>
        <w:ind w:firstLine="640" w:firstLineChars="200"/>
        <w:jc w:val="left"/>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下一步，我们</w:t>
      </w:r>
      <w:r>
        <w:rPr>
          <w:rFonts w:hint="eastAsia" w:ascii="仿宋_GB2312" w:hAnsi="仿宋_GB2312" w:eastAsia="仿宋_GB2312" w:cs="仿宋_GB2312"/>
          <w:b w:val="0"/>
          <w:bCs w:val="0"/>
          <w:sz w:val="32"/>
          <w:szCs w:val="32"/>
          <w:lang w:eastAsia="zh-CN"/>
        </w:rPr>
        <w:t>将坚持问题导向、目标导向，研究制定有针对性的具体举措，精准发力、靶向施策，全力以赴攻坚短板弱项，推动我县政府信息公开工作不断迈上新台阶。</w:t>
      </w:r>
      <w:r>
        <w:rPr>
          <w:rFonts w:hint="eastAsia" w:ascii="仿宋_GB2312" w:hAnsi="仿宋_GB2312" w:eastAsia="仿宋_GB2312" w:cs="仿宋_GB2312"/>
          <w:b/>
          <w:bCs/>
          <w:sz w:val="32"/>
          <w:szCs w:val="32"/>
          <w:lang w:eastAsia="zh-CN"/>
        </w:rPr>
        <w:t>一是进一步加大统筹协调力度。</w:t>
      </w:r>
      <w:r>
        <w:rPr>
          <w:rFonts w:hint="default" w:ascii="仿宋_GB2312" w:hAnsi="仿宋_GB2312" w:eastAsia="仿宋_GB2312" w:cs="仿宋_GB2312"/>
          <w:b w:val="0"/>
          <w:bCs w:val="0"/>
          <w:sz w:val="32"/>
          <w:szCs w:val="32"/>
          <w:lang w:eastAsia="zh-CN"/>
        </w:rPr>
        <w:t>聚焦主动公开、政府信息管理、公开平台建设等重点工作，指导各</w:t>
      </w:r>
      <w:r>
        <w:rPr>
          <w:rFonts w:hint="eastAsia" w:ascii="仿宋_GB2312" w:hAnsi="仿宋_GB2312" w:eastAsia="仿宋_GB2312" w:cs="仿宋_GB2312"/>
          <w:b w:val="0"/>
          <w:bCs w:val="0"/>
          <w:sz w:val="32"/>
          <w:szCs w:val="32"/>
          <w:lang w:eastAsia="zh-CN"/>
        </w:rPr>
        <w:t>乡镇和县政府</w:t>
      </w:r>
      <w:r>
        <w:rPr>
          <w:rFonts w:hint="default" w:ascii="仿宋_GB2312" w:hAnsi="仿宋_GB2312" w:eastAsia="仿宋_GB2312" w:cs="仿宋_GB2312"/>
          <w:b w:val="0"/>
          <w:bCs w:val="0"/>
          <w:sz w:val="32"/>
          <w:szCs w:val="32"/>
          <w:lang w:eastAsia="zh-CN"/>
        </w:rPr>
        <w:t>各部门定制度、抓规范、强管理，更好发挥以公开促落实、助监督功能作用。</w:t>
      </w:r>
      <w:r>
        <w:rPr>
          <w:rFonts w:hint="default" w:ascii="仿宋_GB2312" w:hAnsi="仿宋_GB2312" w:eastAsia="仿宋_GB2312" w:cs="仿宋_GB2312"/>
          <w:b/>
          <w:bCs/>
          <w:sz w:val="32"/>
          <w:szCs w:val="32"/>
          <w:lang w:eastAsia="zh-CN"/>
        </w:rPr>
        <w:t>二是进一步提升服务质效。</w:t>
      </w:r>
      <w:r>
        <w:rPr>
          <w:rFonts w:hint="default" w:ascii="仿宋_GB2312" w:hAnsi="仿宋_GB2312" w:eastAsia="仿宋_GB2312" w:cs="仿宋_GB2312"/>
          <w:b w:val="0"/>
          <w:bCs w:val="0"/>
          <w:sz w:val="32"/>
          <w:szCs w:val="32"/>
          <w:lang w:eastAsia="zh-CN"/>
        </w:rPr>
        <w:t>把政府信息公开作为建设服务型政府的重要载体和有效形式，融入行政管理全流程和公共服务全过程，进一步丰富公开内容、拓展公开渠道、提升公开质量，促进政府部门办事依法依规、服务便捷高效，助力营商环境持续优化。</w:t>
      </w:r>
      <w:r>
        <w:rPr>
          <w:rFonts w:hint="default" w:ascii="仿宋_GB2312" w:hAnsi="仿宋_GB2312" w:eastAsia="仿宋_GB2312" w:cs="仿宋_GB2312"/>
          <w:b/>
          <w:bCs/>
          <w:sz w:val="32"/>
          <w:szCs w:val="32"/>
          <w:lang w:eastAsia="zh-CN"/>
        </w:rPr>
        <w:t>三是进一步加强政策宣传解读。</w:t>
      </w:r>
      <w:r>
        <w:rPr>
          <w:rFonts w:hint="eastAsia" w:ascii="仿宋_GB2312" w:hAnsi="仿宋_GB2312" w:eastAsia="仿宋_GB2312" w:cs="仿宋_GB2312"/>
          <w:b w:val="0"/>
          <w:bCs w:val="0"/>
          <w:sz w:val="32"/>
          <w:szCs w:val="32"/>
          <w:lang w:val="en-US" w:eastAsia="zh-CN"/>
        </w:rPr>
        <w:t>在</w:t>
      </w:r>
      <w:r>
        <w:rPr>
          <w:rFonts w:hint="eastAsia" w:ascii="仿宋_GB2312" w:hAnsi="仿宋_GB2312" w:eastAsia="仿宋_GB2312" w:cs="仿宋_GB2312"/>
          <w:b w:val="0"/>
          <w:bCs w:val="0"/>
          <w:sz w:val="32"/>
          <w:szCs w:val="32"/>
          <w:lang w:eastAsia="zh-CN"/>
        </w:rPr>
        <w:t>隆尧县人民政府门户网站</w:t>
      </w:r>
      <w:r>
        <w:rPr>
          <w:rFonts w:hint="eastAsia" w:ascii="仿宋_GB2312" w:hAnsi="仿宋_GB2312" w:eastAsia="仿宋_GB2312" w:cs="仿宋_GB2312"/>
          <w:b w:val="0"/>
          <w:bCs w:val="0"/>
          <w:sz w:val="32"/>
          <w:szCs w:val="32"/>
          <w:lang w:val="en-US" w:eastAsia="zh-CN"/>
        </w:rPr>
        <w:t>、政府信息公开平台、政务隆尧微信公众号、互动留言平台等多种媒体形式的政策解读</w:t>
      </w:r>
      <w:r>
        <w:rPr>
          <w:rFonts w:hint="default" w:ascii="仿宋_GB2312" w:hAnsi="仿宋_GB2312" w:eastAsia="仿宋_GB2312" w:cs="仿宋_GB2312"/>
          <w:b w:val="0"/>
          <w:bCs w:val="0"/>
          <w:sz w:val="32"/>
          <w:szCs w:val="32"/>
          <w:lang w:eastAsia="zh-CN"/>
        </w:rPr>
        <w:t>为抓手，结合工作实际和群众关注热点，不断提高企业群众获得感、满意度。</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val="0"/>
        <w:snapToGrid w:val="0"/>
        <w:spacing w:line="600" w:lineRule="exact"/>
        <w:ind w:right="0" w:rightChars="0" w:firstLine="640" w:firstLineChars="200"/>
        <w:jc w:val="both"/>
        <w:textAlignment w:val="top"/>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六、其他需要报告的事项</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val="0"/>
        <w:snapToGrid w:val="0"/>
        <w:spacing w:line="600" w:lineRule="exact"/>
        <w:ind w:right="0" w:rightChars="0" w:firstLine="640" w:firstLineChars="200"/>
        <w:jc w:val="both"/>
        <w:textAlignment w:val="top"/>
        <w:outlineLvl w:val="9"/>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年隆尧县人民政府办公室未收取信息处理费。</w:t>
      </w:r>
    </w:p>
    <w:sectPr>
      <w:pgSz w:w="11906" w:h="16838"/>
      <w:pgMar w:top="2041" w:right="1474" w:bottom="1474" w:left="147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00007A87" w:usb1="80000000" w:usb2="00000008"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Q1Y2QxY2Y4OWRiODlhNTBmOTVlNDI2YzRjMmZjOWUifQ=="/>
  </w:docVars>
  <w:rsids>
    <w:rsidRoot w:val="00000000"/>
    <w:rsid w:val="011448F5"/>
    <w:rsid w:val="02EF1E8A"/>
    <w:rsid w:val="05854715"/>
    <w:rsid w:val="05EC445F"/>
    <w:rsid w:val="06011C25"/>
    <w:rsid w:val="075223AF"/>
    <w:rsid w:val="09467281"/>
    <w:rsid w:val="09721F84"/>
    <w:rsid w:val="0B464FE5"/>
    <w:rsid w:val="0CEC7E16"/>
    <w:rsid w:val="0F8E29A9"/>
    <w:rsid w:val="0FC73F4D"/>
    <w:rsid w:val="0FD4052B"/>
    <w:rsid w:val="105067D1"/>
    <w:rsid w:val="1087635F"/>
    <w:rsid w:val="11056AD0"/>
    <w:rsid w:val="113C3AA9"/>
    <w:rsid w:val="13D842FC"/>
    <w:rsid w:val="15080B89"/>
    <w:rsid w:val="151339F2"/>
    <w:rsid w:val="16F726BA"/>
    <w:rsid w:val="19260DFF"/>
    <w:rsid w:val="19634878"/>
    <w:rsid w:val="1AC27A2C"/>
    <w:rsid w:val="1E5A1D87"/>
    <w:rsid w:val="1F396E36"/>
    <w:rsid w:val="1FCC94FF"/>
    <w:rsid w:val="208732AA"/>
    <w:rsid w:val="20E513C6"/>
    <w:rsid w:val="21CA115F"/>
    <w:rsid w:val="22264BFB"/>
    <w:rsid w:val="232637E7"/>
    <w:rsid w:val="26323DF9"/>
    <w:rsid w:val="264F24C6"/>
    <w:rsid w:val="273506C4"/>
    <w:rsid w:val="28645BC6"/>
    <w:rsid w:val="28FC0CC5"/>
    <w:rsid w:val="2BE36D74"/>
    <w:rsid w:val="2C41635D"/>
    <w:rsid w:val="2E79022B"/>
    <w:rsid w:val="2F547565"/>
    <w:rsid w:val="2FC90516"/>
    <w:rsid w:val="30C419B0"/>
    <w:rsid w:val="31641CA1"/>
    <w:rsid w:val="319F5F79"/>
    <w:rsid w:val="31AD0696"/>
    <w:rsid w:val="361364B8"/>
    <w:rsid w:val="36407DC8"/>
    <w:rsid w:val="38265BD1"/>
    <w:rsid w:val="39520EAA"/>
    <w:rsid w:val="3ABC4610"/>
    <w:rsid w:val="3B337E5E"/>
    <w:rsid w:val="3C70226D"/>
    <w:rsid w:val="3D2F9A97"/>
    <w:rsid w:val="3E512B46"/>
    <w:rsid w:val="3EF11268"/>
    <w:rsid w:val="3F3E6DD2"/>
    <w:rsid w:val="400F20B6"/>
    <w:rsid w:val="40A92971"/>
    <w:rsid w:val="40C77E19"/>
    <w:rsid w:val="411C4301"/>
    <w:rsid w:val="42E95CA2"/>
    <w:rsid w:val="436E03ED"/>
    <w:rsid w:val="462E719C"/>
    <w:rsid w:val="47FB61A8"/>
    <w:rsid w:val="48290FF4"/>
    <w:rsid w:val="49402663"/>
    <w:rsid w:val="499A0A33"/>
    <w:rsid w:val="499D3E09"/>
    <w:rsid w:val="4E3B7723"/>
    <w:rsid w:val="4F1436CD"/>
    <w:rsid w:val="4F250E5D"/>
    <w:rsid w:val="4F622AD3"/>
    <w:rsid w:val="51F277AF"/>
    <w:rsid w:val="51F67357"/>
    <w:rsid w:val="51F7093A"/>
    <w:rsid w:val="5280350C"/>
    <w:rsid w:val="52BE0F54"/>
    <w:rsid w:val="554B78D9"/>
    <w:rsid w:val="55DD500E"/>
    <w:rsid w:val="571F34BB"/>
    <w:rsid w:val="57F39732"/>
    <w:rsid w:val="58016AE1"/>
    <w:rsid w:val="588C10EE"/>
    <w:rsid w:val="58D148C0"/>
    <w:rsid w:val="59E46D42"/>
    <w:rsid w:val="5A643FE3"/>
    <w:rsid w:val="5AE07365"/>
    <w:rsid w:val="5D5E2B42"/>
    <w:rsid w:val="5D936635"/>
    <w:rsid w:val="5DF80C26"/>
    <w:rsid w:val="5E231B5D"/>
    <w:rsid w:val="5FA97E40"/>
    <w:rsid w:val="5FF7B01A"/>
    <w:rsid w:val="5FFF9688"/>
    <w:rsid w:val="60B53AE3"/>
    <w:rsid w:val="61A83191"/>
    <w:rsid w:val="627250F0"/>
    <w:rsid w:val="62AD20FC"/>
    <w:rsid w:val="62E404A2"/>
    <w:rsid w:val="62F78E30"/>
    <w:rsid w:val="63952BB5"/>
    <w:rsid w:val="6400089E"/>
    <w:rsid w:val="65817895"/>
    <w:rsid w:val="68A76919"/>
    <w:rsid w:val="697D7561"/>
    <w:rsid w:val="6B134A48"/>
    <w:rsid w:val="6DA10AAF"/>
    <w:rsid w:val="6DAF9F0C"/>
    <w:rsid w:val="6E1A5158"/>
    <w:rsid w:val="6EBFADE0"/>
    <w:rsid w:val="6ED23DAB"/>
    <w:rsid w:val="6EF966EE"/>
    <w:rsid w:val="6F174377"/>
    <w:rsid w:val="6FFF066D"/>
    <w:rsid w:val="70176EA2"/>
    <w:rsid w:val="70A33B15"/>
    <w:rsid w:val="70B42B59"/>
    <w:rsid w:val="72E933D9"/>
    <w:rsid w:val="73F7729B"/>
    <w:rsid w:val="745D5428"/>
    <w:rsid w:val="7562670C"/>
    <w:rsid w:val="7577047E"/>
    <w:rsid w:val="76F87656"/>
    <w:rsid w:val="775B909E"/>
    <w:rsid w:val="783D67B2"/>
    <w:rsid w:val="7AD531C1"/>
    <w:rsid w:val="7CFAA59B"/>
    <w:rsid w:val="7DFF8DD7"/>
    <w:rsid w:val="7F721BA4"/>
    <w:rsid w:val="7FF637B0"/>
    <w:rsid w:val="8FDFF52D"/>
    <w:rsid w:val="8FFB8775"/>
    <w:rsid w:val="9EF7DD01"/>
    <w:rsid w:val="D75CF1E2"/>
    <w:rsid w:val="DBB34E58"/>
    <w:rsid w:val="E9EFF1F6"/>
    <w:rsid w:val="EDF7B310"/>
    <w:rsid w:val="EEBF7193"/>
    <w:rsid w:val="EFF28D77"/>
    <w:rsid w:val="F47F0C7B"/>
    <w:rsid w:val="F5EF99C1"/>
    <w:rsid w:val="F897B445"/>
    <w:rsid w:val="FB3DF1F4"/>
    <w:rsid w:val="FB4CD324"/>
    <w:rsid w:val="FE15A1CA"/>
    <w:rsid w:val="FF3BBD2F"/>
    <w:rsid w:val="FF7EA2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Times New Roman"/>
      <w:kern w:val="2"/>
      <w:sz w:val="21"/>
      <w:szCs w:val="22"/>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4">
    <w:name w:val="Normal Indent"/>
    <w:basedOn w:val="1"/>
    <w:next w:val="1"/>
    <w:qFormat/>
    <w:uiPriority w:val="0"/>
    <w:pPr>
      <w:ind w:firstLine="420"/>
    </w:pPr>
    <w:rPr>
      <w:rFonts w:ascii="Times New Roman" w:hAnsi="Times New Roman" w:eastAsia="宋体" w:cs="Times New Roman"/>
    </w:rPr>
  </w:style>
  <w:style w:type="paragraph" w:styleId="5">
    <w:name w:val="Body Text"/>
    <w:basedOn w:val="1"/>
    <w:next w:val="6"/>
    <w:qFormat/>
    <w:uiPriority w:val="0"/>
    <w:pPr>
      <w:spacing w:after="120" w:afterLines="0" w:afterAutospacing="0"/>
    </w:pPr>
  </w:style>
  <w:style w:type="paragraph" w:customStyle="1" w:styleId="6">
    <w:name w:val="Body Text Indent_f77f72b6-f40b-4644-955b-05e6e524d3cb"/>
    <w:basedOn w:val="1"/>
    <w:qFormat/>
    <w:uiPriority w:val="99"/>
    <w:pPr>
      <w:ind w:left="420" w:leftChars="200"/>
    </w:pPr>
    <w:rPr>
      <w:kern w:val="0"/>
      <w:sz w:val="24"/>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1">
    <w:name w:val="Strong"/>
    <w:basedOn w:val="10"/>
    <w:qFormat/>
    <w:uiPriority w:val="0"/>
    <w:rPr>
      <w:b/>
    </w:rPr>
  </w:style>
  <w:style w:type="character" w:customStyle="1" w:styleId="12">
    <w:name w:val="fontstyle01"/>
    <w:basedOn w:val="10"/>
    <w:qFormat/>
    <w:uiPriority w:val="0"/>
    <w:rPr>
      <w:rFonts w:ascii="仿宋_GB2312" w:hAnsi="仿宋_GB2312" w:eastAsia="仿宋_GB2312" w:cs="仿宋_GB2312"/>
      <w:color w:val="000000"/>
      <w:sz w:val="32"/>
      <w:szCs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2757</Words>
  <Characters>2809</Characters>
  <Lines>0</Lines>
  <Paragraphs>0</Paragraphs>
  <TotalTime>206</TotalTime>
  <ScaleCrop>false</ScaleCrop>
  <LinksUpToDate>false</LinksUpToDate>
  <CharactersWithSpaces>2809</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2014-11-02T04:08:00Z</dcterms:created>
  <dc:creator>lenovo</dc:creator>
  <cp:lastModifiedBy>work</cp:lastModifiedBy>
  <dcterms:modified xsi:type="dcterms:W3CDTF">2026-01-23T11:20:32Z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002C03807B7E3514F373B06508917A9C</vt:lpwstr>
  </property>
</Properties>
</file>