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8CF655">
      <w:pPr>
        <w:spacing w:line="600" w:lineRule="exact"/>
        <w:jc w:val="center"/>
        <w:rPr>
          <w:rFonts w:ascii="方正小标宋简体" w:eastAsia="方正小标宋简体"/>
          <w:color w:val="000000" w:themeColor="text1"/>
          <w:sz w:val="44"/>
          <w:szCs w:val="44"/>
        </w:rPr>
      </w:pPr>
      <w:r>
        <w:rPr>
          <w:rFonts w:hint="eastAsia" w:ascii="方正小标宋简体" w:eastAsia="方正小标宋简体"/>
          <w:color w:val="000000" w:themeColor="text1"/>
          <w:sz w:val="44"/>
          <w:szCs w:val="44"/>
        </w:rPr>
        <w:t>隆尧县退役军人事务局</w:t>
      </w:r>
    </w:p>
    <w:p w14:paraId="46D3032E">
      <w:pPr>
        <w:spacing w:line="600" w:lineRule="exact"/>
        <w:jc w:val="center"/>
        <w:rPr>
          <w:rFonts w:ascii="方正小标宋简体" w:hAnsi="微软雅黑" w:eastAsia="方正小标宋简体"/>
          <w:bCs/>
          <w:color w:val="000000" w:themeColor="text1"/>
          <w:sz w:val="44"/>
          <w:szCs w:val="44"/>
          <w:shd w:val="clear" w:color="auto" w:fill="FFFFFF"/>
        </w:rPr>
      </w:pPr>
      <w:r>
        <w:rPr>
          <w:rFonts w:hint="eastAsia" w:ascii="方正小标宋简体" w:eastAsia="方正小标宋简体"/>
          <w:color w:val="000000" w:themeColor="text1"/>
          <w:sz w:val="44"/>
          <w:szCs w:val="44"/>
          <w:lang w:eastAsia="zh-CN"/>
        </w:rPr>
        <w:t>2025</w:t>
      </w:r>
      <w:r>
        <w:rPr>
          <w:rFonts w:hint="eastAsia" w:ascii="方正小标宋简体" w:eastAsia="方正小标宋简体"/>
          <w:color w:val="000000" w:themeColor="text1"/>
          <w:sz w:val="44"/>
          <w:szCs w:val="44"/>
        </w:rPr>
        <w:t>年度</w:t>
      </w:r>
      <w:r>
        <w:rPr>
          <w:rFonts w:hint="eastAsia" w:ascii="方正小标宋简体" w:hAnsi="微软雅黑" w:eastAsia="方正小标宋简体"/>
          <w:bCs/>
          <w:color w:val="000000" w:themeColor="text1"/>
          <w:sz w:val="44"/>
          <w:szCs w:val="44"/>
          <w:shd w:val="clear" w:color="auto" w:fill="FFFFFF"/>
        </w:rPr>
        <w:t>政府信息公开工作年度报告</w:t>
      </w:r>
    </w:p>
    <w:p w14:paraId="282DCF8F">
      <w:pPr>
        <w:spacing w:line="600" w:lineRule="exact"/>
        <w:jc w:val="center"/>
        <w:rPr>
          <w:rFonts w:ascii="仿宋_GB2312" w:hAnsi="微软雅黑" w:eastAsia="仿宋_GB2312"/>
          <w:bCs/>
          <w:color w:val="000000" w:themeColor="text1"/>
          <w:sz w:val="44"/>
          <w:szCs w:val="44"/>
          <w:shd w:val="clear" w:color="auto" w:fill="FFFFFF"/>
        </w:rPr>
      </w:pPr>
    </w:p>
    <w:p w14:paraId="65869896">
      <w:pPr>
        <w:spacing w:line="600" w:lineRule="exact"/>
        <w:ind w:firstLine="640" w:firstLineChars="200"/>
        <w:jc w:val="left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根据《中华人民共和国政府信息公开条例》《河北省实施&lt;中华人民共和国政府信息公开条例</w:t>
      </w:r>
      <w:r>
        <w:rPr>
          <w:rFonts w:ascii="仿宋_GB2312" w:hAnsi="黑体" w:eastAsia="仿宋_GB2312"/>
          <w:sz w:val="32"/>
          <w:szCs w:val="32"/>
        </w:rPr>
        <w:t>&gt;</w:t>
      </w:r>
      <w:r>
        <w:rPr>
          <w:rFonts w:hint="eastAsia" w:ascii="仿宋_GB2312" w:hAnsi="黑体" w:eastAsia="仿宋_GB2312"/>
          <w:sz w:val="32"/>
          <w:szCs w:val="32"/>
        </w:rPr>
        <w:t>办法》等规定，发布本年度报告。报告中所列数据统计期限为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2025</w:t>
      </w:r>
      <w:r>
        <w:rPr>
          <w:rFonts w:hint="eastAsia" w:ascii="仿宋_GB2312" w:hAnsi="黑体" w:eastAsia="仿宋_GB2312"/>
          <w:sz w:val="32"/>
          <w:szCs w:val="32"/>
        </w:rPr>
        <w:t>年1月1日至1</w:t>
      </w:r>
      <w:r>
        <w:rPr>
          <w:rFonts w:ascii="仿宋_GB2312" w:hAnsi="黑体" w:eastAsia="仿宋_GB2312"/>
          <w:sz w:val="32"/>
          <w:szCs w:val="32"/>
        </w:rPr>
        <w:t>2</w:t>
      </w:r>
      <w:r>
        <w:rPr>
          <w:rFonts w:hint="eastAsia" w:ascii="仿宋_GB2312" w:hAnsi="黑体" w:eastAsia="仿宋_GB2312"/>
          <w:sz w:val="32"/>
          <w:szCs w:val="32"/>
        </w:rPr>
        <w:t>月3</w:t>
      </w:r>
      <w:r>
        <w:rPr>
          <w:rFonts w:ascii="仿宋_GB2312" w:hAnsi="黑体" w:eastAsia="仿宋_GB2312"/>
          <w:sz w:val="32"/>
          <w:szCs w:val="32"/>
        </w:rPr>
        <w:t>1</w:t>
      </w:r>
      <w:r>
        <w:rPr>
          <w:rFonts w:hint="eastAsia" w:ascii="仿宋_GB2312" w:hAnsi="黑体" w:eastAsia="仿宋_GB2312"/>
          <w:sz w:val="32"/>
          <w:szCs w:val="32"/>
        </w:rPr>
        <w:t>日。</w:t>
      </w:r>
    </w:p>
    <w:p w14:paraId="00805E3F">
      <w:pPr>
        <w:spacing w:line="600" w:lineRule="exact"/>
        <w:ind w:firstLine="640" w:firstLineChars="20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一、总体情况</w:t>
      </w:r>
    </w:p>
    <w:p w14:paraId="6A98AE5A"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jc w:val="both"/>
        <w:rPr>
          <w:rFonts w:hint="eastAsia" w:ascii="仿宋_GB2312" w:eastAsia="仿宋_GB2312"/>
          <w:color w:val="000000"/>
          <w:sz w:val="32"/>
          <w:szCs w:val="32"/>
          <w:lang w:bidi="ar"/>
        </w:rPr>
      </w:pPr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2025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年,在县委、县政府的正确领导下，根据《中华人民共和国政府信息公开条例》</w:t>
      </w:r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，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县退役军人事务局高度重视政府信息公开工作，以公开促落实、促规范、促服务，切实保障退役军人和社会公众的知情权、和监督权</w:t>
      </w:r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，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不断增强政府信息公开实效。</w:t>
      </w:r>
    </w:p>
    <w:p w14:paraId="5DC80DFE"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jc w:val="both"/>
        <w:rPr>
          <w:rFonts w:ascii="仿宋_GB2312" w:eastAsia="仿宋_GB2312"/>
          <w:color w:val="000000"/>
          <w:sz w:val="32"/>
          <w:szCs w:val="32"/>
          <w:lang w:bidi="ar"/>
        </w:rPr>
      </w:pPr>
      <w:r>
        <w:rPr>
          <w:rFonts w:hint="eastAsia" w:ascii="楷体_GB2312" w:eastAsia="楷体_GB2312"/>
          <w:color w:val="000000"/>
          <w:sz w:val="32"/>
          <w:szCs w:val="32"/>
          <w:lang w:bidi="ar"/>
        </w:rPr>
        <w:t>（一）主动公开进一步加强。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结合工作实际，及时准确公开机构职能、财务信息、权责清单等基础信息及退役军人工作信息动态等。</w:t>
      </w:r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2025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年，共通过政府平台公开政府信息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 w:bidi="ar"/>
        </w:rPr>
        <w:t>8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条。</w:t>
      </w:r>
    </w:p>
    <w:p w14:paraId="1F53D78E">
      <w:pPr>
        <w:pStyle w:val="4"/>
        <w:shd w:val="clear" w:color="auto" w:fill="FFFFFF"/>
        <w:spacing w:before="0" w:beforeAutospacing="0" w:after="0" w:afterAutospacing="0" w:line="600" w:lineRule="exact"/>
        <w:ind w:firstLine="640" w:firstLineChars="200"/>
        <w:jc w:val="both"/>
        <w:rPr>
          <w:rFonts w:ascii="仿宋_GB2312" w:eastAsia="仿宋_GB2312"/>
          <w:color w:val="000000"/>
          <w:sz w:val="32"/>
          <w:szCs w:val="32"/>
          <w:lang w:bidi="ar"/>
        </w:rPr>
      </w:pPr>
      <w:r>
        <w:rPr>
          <w:rFonts w:hint="eastAsia" w:ascii="楷体_GB2312" w:eastAsia="楷体_GB2312"/>
          <w:color w:val="000000"/>
          <w:sz w:val="32"/>
          <w:szCs w:val="32"/>
          <w:lang w:bidi="ar"/>
        </w:rPr>
        <w:t>（二）规范依申请公开。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认真贯彻执行《河北省政府信息公开申请办理规范》，开通依申请公开渠道，并在信息公开平台予以长期公开，扎实推进依申请公开工作规范化标准化。</w:t>
      </w:r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2025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年，我局未收到依申请公开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 w:bidi="ar"/>
        </w:rPr>
        <w:t>事项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。</w:t>
      </w:r>
    </w:p>
    <w:p w14:paraId="6ED20706">
      <w:pPr>
        <w:pStyle w:val="4"/>
        <w:shd w:val="clear" w:color="auto" w:fill="FFFFFF"/>
        <w:spacing w:before="0" w:beforeAutospacing="0" w:after="0" w:afterAutospacing="0" w:line="450" w:lineRule="atLeast"/>
        <w:ind w:firstLine="645"/>
        <w:rPr>
          <w:rFonts w:hint="eastAsia" w:ascii="仿宋_GB2312" w:eastAsia="仿宋_GB2312"/>
          <w:color w:val="000000"/>
          <w:sz w:val="32"/>
          <w:szCs w:val="32"/>
          <w:lang w:bidi="ar"/>
        </w:rPr>
      </w:pPr>
      <w:r>
        <w:rPr>
          <w:rFonts w:hint="eastAsia" w:ascii="楷体_GB2312" w:eastAsia="楷体_GB2312"/>
          <w:color w:val="000000"/>
          <w:sz w:val="32"/>
          <w:szCs w:val="32"/>
          <w:lang w:bidi="ar"/>
        </w:rPr>
        <w:t>（三）政府信息管理更加规范。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严格落实政府信息公开保密审查制度，坚持“谁公开、谁审查、谁负责”原则，对拟公开信息进行层层审核，重点排查涉密风险，确保公开信息准确无误、安全合规。严格执行先审后发和三审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 w:bidi="ar"/>
        </w:rPr>
        <w:t>备案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制度，规范信息发布流程，有效杜绝错敏信息发布，切实提升政府信息公开质量。</w:t>
      </w:r>
    </w:p>
    <w:p w14:paraId="47453480">
      <w:pPr>
        <w:pStyle w:val="4"/>
        <w:shd w:val="clear" w:color="auto" w:fill="FFFFFF"/>
        <w:spacing w:before="0" w:beforeAutospacing="0" w:after="0" w:afterAutospacing="0" w:line="450" w:lineRule="atLeast"/>
        <w:ind w:firstLine="645"/>
        <w:rPr>
          <w:rFonts w:hint="eastAsia" w:ascii="仿宋_GB2312" w:eastAsia="仿宋_GB2312"/>
          <w:color w:val="000000"/>
          <w:sz w:val="32"/>
          <w:szCs w:val="32"/>
          <w:lang w:bidi="ar"/>
        </w:rPr>
      </w:pPr>
      <w:r>
        <w:rPr>
          <w:rFonts w:hint="eastAsia" w:ascii="楷体_GB2312" w:eastAsia="楷体_GB2312"/>
          <w:color w:val="000000"/>
          <w:sz w:val="32"/>
          <w:szCs w:val="32"/>
          <w:lang w:bidi="ar"/>
        </w:rPr>
        <w:t>（四）公开平台建设进一步加快。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利用政府网站主动发布政务信息，向社会各界介绍相关工作推进情况，深入解读退役军人和其他优抚对象相关法律条文、政策，确保政府信息公开工作有效开展。</w:t>
      </w:r>
    </w:p>
    <w:p w14:paraId="7B85AB7C">
      <w:pPr>
        <w:pStyle w:val="4"/>
        <w:shd w:val="clear" w:color="auto" w:fill="FFFFFF"/>
        <w:spacing w:before="0" w:beforeAutospacing="0" w:after="0" w:afterAutospacing="0" w:line="450" w:lineRule="atLeast"/>
        <w:ind w:firstLine="645"/>
        <w:rPr>
          <w:rFonts w:hint="eastAsia" w:ascii="仿宋_GB2312" w:eastAsia="仿宋_GB2312"/>
          <w:color w:val="000000"/>
          <w:sz w:val="32"/>
          <w:szCs w:val="32"/>
          <w:lang w:bidi="ar"/>
        </w:rPr>
      </w:pPr>
      <w:r>
        <w:rPr>
          <w:rFonts w:hint="eastAsia" w:ascii="楷体_GB2312" w:eastAsia="楷体_GB2312"/>
          <w:color w:val="000000"/>
          <w:sz w:val="32"/>
          <w:szCs w:val="32"/>
          <w:lang w:bidi="ar"/>
        </w:rPr>
        <w:t>（五）切实发挥监督保障作用。</w:t>
      </w:r>
      <w:r>
        <w:rPr>
          <w:rFonts w:hint="eastAsia" w:ascii="仿宋_GB2312" w:eastAsia="仿宋_GB2312"/>
          <w:color w:val="000000"/>
          <w:sz w:val="32"/>
          <w:szCs w:val="32"/>
          <w:lang w:bidi="ar"/>
        </w:rPr>
        <w:t>加大信息公开力度，及时发布和更新依法应主动公开的政府信息，不断提升群众对政府信息公开的知晓率和参与度。不定期开展公开信息内容自查，对自查出的问题立行立改，不断推动信息公开工作提档升级。</w:t>
      </w:r>
    </w:p>
    <w:p w14:paraId="52D4B961">
      <w:pPr>
        <w:spacing w:line="600" w:lineRule="exact"/>
        <w:ind w:firstLine="66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二、主动公开政府信息情况</w:t>
      </w:r>
    </w:p>
    <w:tbl>
      <w:tblPr>
        <w:tblStyle w:val="5"/>
        <w:tblW w:w="8401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212"/>
        <w:gridCol w:w="1935"/>
        <w:gridCol w:w="6"/>
        <w:gridCol w:w="1306"/>
        <w:gridCol w:w="1942"/>
      </w:tblGrid>
      <w:tr w14:paraId="212C8A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40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8972E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第二十条第（一）项</w:t>
            </w:r>
          </w:p>
        </w:tc>
      </w:tr>
      <w:tr w14:paraId="26F5205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9C1E4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01190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bidi="ar"/>
              </w:rPr>
              <w:t>制作数量</w:t>
            </w:r>
          </w:p>
        </w:tc>
        <w:tc>
          <w:tcPr>
            <w:tcW w:w="1312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E6A99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bidi="ar"/>
              </w:rPr>
              <w:t>公开数量</w:t>
            </w:r>
          </w:p>
        </w:tc>
        <w:tc>
          <w:tcPr>
            <w:tcW w:w="19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C4CA5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对外公开总数量</w:t>
            </w:r>
          </w:p>
        </w:tc>
      </w:tr>
      <w:tr w14:paraId="7D163A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6B7F9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规章</w:t>
            </w:r>
          </w:p>
        </w:tc>
        <w:tc>
          <w:tcPr>
            <w:tcW w:w="19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C836E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　0</w:t>
            </w:r>
          </w:p>
        </w:tc>
        <w:tc>
          <w:tcPr>
            <w:tcW w:w="131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BAE0BD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19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C7AF7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</w:tr>
      <w:tr w14:paraId="62496C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C92F5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规范性文件</w:t>
            </w:r>
          </w:p>
        </w:tc>
        <w:tc>
          <w:tcPr>
            <w:tcW w:w="19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EAABA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　</w:t>
            </w:r>
          </w:p>
        </w:tc>
        <w:tc>
          <w:tcPr>
            <w:tcW w:w="131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886BA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19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5494A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</w:tr>
      <w:tr w14:paraId="6CB757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401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FFB45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第二十条第（五）项</w:t>
            </w:r>
          </w:p>
        </w:tc>
      </w:tr>
      <w:tr w14:paraId="31CDDA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96C815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6BCE6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上一年项目数量</w:t>
            </w:r>
          </w:p>
        </w:tc>
        <w:tc>
          <w:tcPr>
            <w:tcW w:w="1312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99348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本年增/减</w:t>
            </w:r>
          </w:p>
        </w:tc>
        <w:tc>
          <w:tcPr>
            <w:tcW w:w="19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3EED3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处理决定数量</w:t>
            </w:r>
          </w:p>
        </w:tc>
      </w:tr>
      <w:tr w14:paraId="7B8AF0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4EB33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行政许可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FDE56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18F23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D2255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</w:tr>
      <w:tr w14:paraId="775308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4A3421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其他对外管理服务事项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EA316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37FAC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C5CCEB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</w:tr>
      <w:tr w14:paraId="5A33FE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401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1220C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第二十条第（六）项</w:t>
            </w:r>
          </w:p>
        </w:tc>
      </w:tr>
      <w:tr w14:paraId="4AF28C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ADB990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49AC2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上一年项目数量</w:t>
            </w:r>
          </w:p>
        </w:tc>
        <w:tc>
          <w:tcPr>
            <w:tcW w:w="1312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A1EF52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本年增/减</w:t>
            </w:r>
          </w:p>
        </w:tc>
        <w:tc>
          <w:tcPr>
            <w:tcW w:w="19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71DE3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处理决定数量</w:t>
            </w:r>
          </w:p>
        </w:tc>
      </w:tr>
      <w:tr w14:paraId="156959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3ACF0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行政处罚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E48C1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9FE96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789E9B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</w:tr>
      <w:tr w14:paraId="61C6F36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F0E62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行政强制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782D1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2751F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4275E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</w:tr>
      <w:tr w14:paraId="3C9E20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401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571DE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第二十条第（八）项</w:t>
            </w:r>
          </w:p>
        </w:tc>
      </w:tr>
      <w:tr w14:paraId="44D6E9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7FF7C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0EF6A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上一年项目数量</w:t>
            </w:r>
          </w:p>
        </w:tc>
        <w:tc>
          <w:tcPr>
            <w:tcW w:w="324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DBEA0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本年增/减</w:t>
            </w:r>
          </w:p>
        </w:tc>
      </w:tr>
      <w:tr w14:paraId="0A7D9F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A8F82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行政事业性收费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01412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　0</w:t>
            </w:r>
          </w:p>
        </w:tc>
        <w:tc>
          <w:tcPr>
            <w:tcW w:w="324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E9F99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0 </w:t>
            </w:r>
          </w:p>
        </w:tc>
      </w:tr>
      <w:tr w14:paraId="0819015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401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D7F4A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第二十条第（九）项</w:t>
            </w:r>
          </w:p>
        </w:tc>
      </w:tr>
      <w:tr w14:paraId="276EBA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63190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846E9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采购项目数量</w:t>
            </w:r>
          </w:p>
        </w:tc>
        <w:tc>
          <w:tcPr>
            <w:tcW w:w="324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56489">
            <w:pPr>
              <w:widowControl/>
              <w:spacing w:after="180" w:line="600" w:lineRule="exact"/>
              <w:jc w:val="center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采购总金额</w:t>
            </w:r>
          </w:p>
        </w:tc>
      </w:tr>
      <w:tr w14:paraId="267E2E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2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1EB11">
            <w:pPr>
              <w:widowControl/>
              <w:spacing w:after="180" w:line="600" w:lineRule="exact"/>
              <w:jc w:val="left"/>
              <w:rPr>
                <w:rFonts w:ascii="仿宋_GB2312" w:hAnsi="宋体" w:eastAsia="仿宋_GB2312" w:cs="宋体"/>
                <w:color w:val="565656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政府集中采购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3C95D">
            <w:pPr>
              <w:widowControl/>
              <w:spacing w:after="180" w:line="600" w:lineRule="exact"/>
              <w:jc w:val="center"/>
              <w:rPr>
                <w:rFonts w:hint="eastAsia" w:ascii="仿宋_GB2312" w:hAnsi="宋体" w:eastAsia="仿宋_GB2312" w:cs="宋体"/>
                <w:color w:val="565656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324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0B49F">
            <w:pPr>
              <w:spacing w:line="600" w:lineRule="exact"/>
              <w:jc w:val="center"/>
              <w:rPr>
                <w:rFonts w:hint="default" w:ascii="仿宋_GB2312" w:hAnsi="宋体" w:eastAsia="仿宋_GB2312" w:cs="宋体"/>
                <w:color w:val="565656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565656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51D16083">
      <w:pPr>
        <w:pStyle w:val="4"/>
        <w:shd w:val="clear" w:color="auto" w:fill="FFFFFF"/>
        <w:spacing w:before="0" w:beforeAutospacing="0" w:after="240" w:afterAutospacing="0" w:line="600" w:lineRule="exact"/>
        <w:ind w:firstLine="420"/>
        <w:jc w:val="both"/>
        <w:rPr>
          <w:rFonts w:ascii="黑体" w:hAnsi="黑体" w:eastAsia="黑体" w:cstheme="minorBidi"/>
          <w:kern w:val="2"/>
          <w:sz w:val="32"/>
          <w:szCs w:val="32"/>
        </w:rPr>
      </w:pPr>
      <w:r>
        <w:rPr>
          <w:rFonts w:hint="eastAsia" w:ascii="黑体" w:hAnsi="黑体" w:eastAsia="黑体" w:cstheme="minorBidi"/>
          <w:kern w:val="2"/>
          <w:sz w:val="32"/>
          <w:szCs w:val="32"/>
        </w:rPr>
        <w:t>三、收到和处理政府信息公开申请情况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 w14:paraId="45A85EC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8706E3C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C41DC2C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申请人情况</w:t>
            </w:r>
          </w:p>
        </w:tc>
      </w:tr>
      <w:tr w14:paraId="04BD2B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74997A4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D4B5F20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F8CFB5C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E93BCC1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 w14:paraId="7A6E3E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82C63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A02A497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270E363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FD01F16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E456BD4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8467FE0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3A4A8BE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EEA37DE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</w:tr>
      <w:tr w14:paraId="29104B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25AE287">
            <w:pPr>
              <w:widowControl/>
              <w:spacing w:after="180" w:line="600" w:lineRule="exact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3B13B2C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137D0A3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54BEC42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CB38129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D6ECBEC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E920842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353988E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0C03E6C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12CD452">
            <w:pPr>
              <w:widowControl/>
              <w:spacing w:after="180" w:line="600" w:lineRule="exact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FDA4CCA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4C0DD17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5EE90ED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C3A9836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EEE075D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C9D5A04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B93467C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419AC5A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CB93125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79F0B8B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B8AA8B0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17655EF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3CB7E2C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0B461B5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315432F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1BF212A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C681FD9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1A990C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99CD727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0F6E44F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AA18F2D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2FEA172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D843BB2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4F31F17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DFC96D7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E3375A5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73515FC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0F9382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C782427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80FE6C1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51433E3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31740A9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E18923F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FAF68A7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74ED2D8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5FB6BD4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964892A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0EF18B4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7D54A8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8FDF75E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2079E1A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94913D3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38A7153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12A57AA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071FEC8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0481952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bookmarkStart w:id="0" w:name="_GoBack"/>
            <w:bookmarkEnd w:id="0"/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9003064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74D1862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3AD6050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747F07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3CEC68D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EA3DE6D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F98AEDA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F789DF6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150CC20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3B38E84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A6F1BD8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38C1428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FEE2D3A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F49FD16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6935D6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8605EF3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4276552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666DAD8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2E68B6E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17FB136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ABE2B94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C9A80C4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E4ABB4B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3FFE8C9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B925E3A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581D37D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1820AE6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4E8EF20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72A62BB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01AA468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9220905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9C0B31E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0A48FD7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42F1460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D2DAF05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CA02E4D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10D299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3F4BE5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F383F58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BE2DE1E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9702C38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F5D3BFA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6D2EBA4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4A6DC4D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05E5B20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EDABCB5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8863CAD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0888F0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A4F303A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AFA0F70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62F2AF4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A8FC8BB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9146B99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F70B93B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27ECE73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5C2C63B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C3B7E9B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174CA7D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215FE4E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87F6F91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BE7B3F7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2EFDD9A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71532BC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34855AD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90B9F97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DF66A93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1637A06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04CEBE1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201FD52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525A013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6DDD2B4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6E9313D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B12AFBA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6EC3FC0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0565FAC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CA128CA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DA6CF62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36EC223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B1A82E5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31C5E49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261009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1ED8DFE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16D4281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79D4B06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853D7E8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38EB800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5358DE0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29094DB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FAB5E2A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C484B79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C842F1B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567B84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05ACC40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65AA1B2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DF9F977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9E40EDE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D1B1CCF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42D19F2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1495693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58AEA0A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D417B04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41937BA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578E310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B84055C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2CE82F2">
            <w:pPr>
              <w:widowControl/>
              <w:spacing w:after="180" w:line="600" w:lineRule="exact"/>
              <w:jc w:val="left"/>
              <w:rPr>
                <w:rFonts w:ascii="楷体" w:hAnsi="楷体" w:eastAsia="楷体" w:cs="楷体"/>
                <w:kern w:val="0"/>
                <w:sz w:val="20"/>
                <w:szCs w:val="20"/>
                <w:lang w:bidi="ar"/>
              </w:rPr>
            </w:pPr>
          </w:p>
          <w:p w14:paraId="778266A9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0A95F33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CB60077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D3CC65F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F930EFE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7B2F001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6AE2603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1F51E27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3928892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4AC11A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4FC2AF9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90939DE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1FDE851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4C65022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6FCE0A0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E421D68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96F2354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7AB33CB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DEECA44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CD24C2D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363F55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D10B43E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4DF9AB9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13F69C7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8C99E1A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9C34F18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4BE36A5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0431323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841EC38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4101DA0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94D5193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40F534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6AF066D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396659A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BC4B543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46AAFF7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BED94D6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473A432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36ECC76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CA68A7B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C1B72B1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40BBA42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301EA9B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9DF2652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0CDE352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59677DD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881202B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CBBE505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F4DAAA9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198F7EE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46C138B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1368A2C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45F8930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6E6EAF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360A812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E1C79EE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57E6C90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E17A6A1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C6051EA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6337FA3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0B44CFB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FFA1EF0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981AA4A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74A142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7441AF6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ACB0457">
            <w:pPr>
              <w:widowControl/>
              <w:spacing w:after="180" w:line="600" w:lineRule="exact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bidi="ar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972678E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4FB866F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0610D9E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6543033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6CA1183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10E812A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47E1967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14:paraId="0D89031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9824B7F">
            <w:pPr>
              <w:widowControl/>
              <w:spacing w:after="180" w:line="600" w:lineRule="exact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6973D26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311B7DE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9C78A0D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707FCBA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877238A">
            <w:pPr>
              <w:widowControl/>
              <w:spacing w:after="180" w:line="600" w:lineRule="exact"/>
              <w:jc w:val="center"/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D9B5945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BBC9ABB">
            <w:pPr>
              <w:widowControl/>
              <w:spacing w:after="180" w:line="600" w:lineRule="exact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</w:tbl>
    <w:p w14:paraId="5C47D594">
      <w:pPr>
        <w:pStyle w:val="4"/>
        <w:shd w:val="clear" w:color="auto" w:fill="FFFFFF"/>
        <w:spacing w:before="0" w:beforeAutospacing="0" w:after="0" w:afterAutospacing="0" w:line="600" w:lineRule="exact"/>
        <w:ind w:firstLine="420"/>
        <w:jc w:val="both"/>
        <w:rPr>
          <w:rFonts w:ascii="黑体" w:hAnsi="黑体" w:eastAsia="黑体" w:cstheme="minorBidi"/>
          <w:kern w:val="2"/>
          <w:sz w:val="32"/>
          <w:szCs w:val="32"/>
        </w:rPr>
      </w:pPr>
      <w:r>
        <w:rPr>
          <w:rFonts w:hint="eastAsia" w:ascii="黑体" w:hAnsi="黑体" w:eastAsia="黑体" w:cstheme="minorBidi"/>
          <w:kern w:val="2"/>
          <w:sz w:val="32"/>
          <w:szCs w:val="32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71E41C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AD97B43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45A93C8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行政诉讼</w:t>
            </w:r>
          </w:p>
        </w:tc>
      </w:tr>
      <w:tr w14:paraId="7328A6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720611E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03A8D33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1479414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2087FBC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B19192D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CE7B0EF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F7B95A4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复议后起诉</w:t>
            </w:r>
          </w:p>
        </w:tc>
      </w:tr>
      <w:tr w14:paraId="75BFEA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978C7B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993F348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BE8E59A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0BD139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0A689F7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0077BFB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A2C2F51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C1FF5D1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1262006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EA782DD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B54155A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3C3F8F5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032B1FC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3E2E86F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2FBECFF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 w14:paraId="67BFAE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E920243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26D9F15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27C9AD4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14CABAD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56304EE">
            <w:pPr>
              <w:widowControl/>
              <w:spacing w:after="180" w:line="600" w:lineRule="exact"/>
              <w:jc w:val="center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2C10CAE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3105078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3EBDC98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A7A7441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6CAD4EE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E5776EA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C79E1A6">
            <w:pPr>
              <w:widowControl/>
              <w:spacing w:after="180" w:line="600" w:lineRule="exact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AD273D8">
            <w:pPr>
              <w:widowControl/>
              <w:spacing w:after="180" w:line="600" w:lineRule="exac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6B31DCD">
            <w:pPr>
              <w:widowControl/>
              <w:spacing w:after="180" w:line="600" w:lineRule="exac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08B36BD">
            <w:pPr>
              <w:widowControl/>
              <w:spacing w:after="180" w:line="600" w:lineRule="exac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</w:t>
            </w:r>
          </w:p>
        </w:tc>
      </w:tr>
    </w:tbl>
    <w:p w14:paraId="3F9272AB">
      <w:pPr>
        <w:numPr>
          <w:ilvl w:val="0"/>
          <w:numId w:val="1"/>
        </w:numPr>
        <w:spacing w:line="600" w:lineRule="exact"/>
        <w:ind w:firstLine="66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存在的主要问题及改进情况</w:t>
      </w:r>
    </w:p>
    <w:p w14:paraId="03FE43A6">
      <w:pPr>
        <w:spacing w:line="600" w:lineRule="exact"/>
        <w:ind w:firstLine="660"/>
        <w:jc w:val="left"/>
        <w:rPr>
          <w:rFonts w:hint="eastAsia" w:ascii="仿宋_GB2312" w:eastAsia="仿宋_GB2312"/>
          <w:color w:val="56565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565656"/>
          <w:sz w:val="32"/>
          <w:szCs w:val="32"/>
          <w:shd w:val="clear" w:color="auto" w:fill="FFFFFF"/>
          <w:lang w:val="en-US" w:eastAsia="zh-CN"/>
        </w:rPr>
        <w:t>2025年，我局政府信息公开工作虽取得一定成效，但对照上级要求和群众期盼，仍存在一些短板和不足。主要在于公开内容的针对性和深度不足，聚焦退役军人关心的优抚政策、就业创业扶持等核心领域的信息解读不够深入。针对上述问题，下一步我局将坚持问题导向、目标导向，精准发力补齐短板，深化公开内容建设，聚焦退役军人事务核心业务，重点梳理优抚优待、安置就业、权益维护等领域政策信息，增加政策解读内容，用通俗语言解读专业政策，提升信息公开的实用性。</w:t>
      </w:r>
    </w:p>
    <w:p w14:paraId="45D6B410">
      <w:pPr>
        <w:spacing w:line="600" w:lineRule="exact"/>
        <w:ind w:firstLine="660"/>
        <w:jc w:val="left"/>
        <w:rPr>
          <w:rFonts w:ascii="黑体" w:hAnsi="黑体" w:eastAsia="黑体"/>
          <w:color w:val="565656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color w:val="565656"/>
          <w:sz w:val="32"/>
          <w:szCs w:val="32"/>
          <w:shd w:val="clear" w:color="auto" w:fill="FFFFFF"/>
        </w:rPr>
        <w:t>六、其他需要报告的事项</w:t>
      </w:r>
    </w:p>
    <w:p w14:paraId="58C6A5E6">
      <w:pPr>
        <w:spacing w:line="600" w:lineRule="exact"/>
        <w:ind w:firstLine="660"/>
        <w:jc w:val="left"/>
        <w:rPr>
          <w:rFonts w:hint="eastAsia" w:ascii="仿宋_GB2312" w:eastAsia="仿宋_GB2312"/>
          <w:color w:val="565656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color w:val="565656"/>
          <w:sz w:val="32"/>
          <w:szCs w:val="32"/>
          <w:shd w:val="clear" w:color="auto" w:fill="FFFFFF"/>
        </w:rPr>
        <w:t>认真贯彻执行国务院办公厅《政府信息公开信息处理费管理办法》和《关于政府信息公开处理费管理有关事项的通知》。</w:t>
      </w:r>
      <w:r>
        <w:rPr>
          <w:rFonts w:hint="eastAsia" w:ascii="仿宋_GB2312" w:eastAsia="仿宋_GB2312"/>
          <w:color w:val="565656"/>
          <w:sz w:val="32"/>
          <w:szCs w:val="32"/>
          <w:shd w:val="clear" w:color="auto" w:fill="FFFFFF"/>
          <w:lang w:eastAsia="zh-CN"/>
        </w:rPr>
        <w:t>2025</w:t>
      </w:r>
      <w:r>
        <w:rPr>
          <w:rFonts w:hint="eastAsia" w:ascii="仿宋_GB2312" w:eastAsia="仿宋_GB2312"/>
          <w:color w:val="565656"/>
          <w:sz w:val="32"/>
          <w:szCs w:val="32"/>
          <w:shd w:val="clear" w:color="auto" w:fill="FFFFFF"/>
        </w:rPr>
        <w:t>年，我局未收取信息处理费。</w:t>
      </w:r>
    </w:p>
    <w:p w14:paraId="508F4F71">
      <w:pPr>
        <w:spacing w:line="600" w:lineRule="exact"/>
        <w:ind w:firstLine="660"/>
        <w:jc w:val="left"/>
        <w:rPr>
          <w:rFonts w:hint="eastAsia" w:ascii="仿宋_GB2312" w:eastAsia="仿宋_GB2312"/>
          <w:color w:val="565656"/>
          <w:sz w:val="32"/>
          <w:szCs w:val="32"/>
          <w:shd w:val="clear" w:color="auto" w:fill="FFFFFF"/>
        </w:rPr>
      </w:pPr>
    </w:p>
    <w:p w14:paraId="3D005C4C">
      <w:pPr>
        <w:spacing w:line="600" w:lineRule="exact"/>
        <w:ind w:firstLine="660"/>
        <w:jc w:val="left"/>
        <w:rPr>
          <w:rFonts w:hint="eastAsia" w:ascii="仿宋_GB2312" w:eastAsia="仿宋_GB2312"/>
          <w:color w:val="56565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565656"/>
          <w:sz w:val="32"/>
          <w:szCs w:val="32"/>
          <w:shd w:val="clear" w:color="auto" w:fill="FFFFFF"/>
          <w:lang w:val="en-US" w:eastAsia="zh-CN"/>
        </w:rPr>
        <w:t xml:space="preserve">                          </w:t>
      </w:r>
    </w:p>
    <w:p w14:paraId="55C87587">
      <w:pPr>
        <w:spacing w:line="600" w:lineRule="exact"/>
        <w:ind w:firstLine="660"/>
        <w:jc w:val="left"/>
        <w:rPr>
          <w:rFonts w:hint="eastAsia" w:ascii="仿宋_GB2312" w:eastAsia="仿宋_GB2312"/>
          <w:color w:val="56565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565656"/>
          <w:sz w:val="32"/>
          <w:szCs w:val="32"/>
          <w:shd w:val="clear" w:color="auto" w:fill="FFFFFF"/>
          <w:lang w:val="en-US" w:eastAsia="zh-CN"/>
        </w:rPr>
        <w:t xml:space="preserve">                            隆尧县退役军人事务局</w:t>
      </w:r>
    </w:p>
    <w:p w14:paraId="07844940">
      <w:pPr>
        <w:spacing w:line="600" w:lineRule="exact"/>
        <w:ind w:firstLine="660"/>
        <w:jc w:val="left"/>
        <w:rPr>
          <w:rFonts w:hint="default" w:ascii="仿宋_GB2312" w:eastAsia="仿宋_GB2312"/>
          <w:color w:val="56565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565656"/>
          <w:sz w:val="32"/>
          <w:szCs w:val="32"/>
          <w:shd w:val="clear" w:color="auto" w:fill="FFFFFF"/>
          <w:lang w:val="en-US" w:eastAsia="zh-CN"/>
        </w:rPr>
        <w:t xml:space="preserve">                              2026年1月20日</w:t>
      </w:r>
    </w:p>
    <w:sectPr>
      <w:footerReference r:id="rId3" w:type="default"/>
      <w:pgSz w:w="11906" w:h="16838"/>
      <w:pgMar w:top="2098" w:right="1531" w:bottom="1985" w:left="1531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42E14C">
    <w:pPr>
      <w:pStyle w:val="2"/>
    </w:pPr>
    <w:r>
      <w:pict>
        <v:shape id="_x0000_s1025" o:spid="_x0000_s1025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2BB24A77">
                <w:pPr>
                  <w:pStyle w:val="2"/>
                </w:pP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t>1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64F0C2"/>
    <w:multiLevelType w:val="singleLevel"/>
    <w:tmpl w:val="0264F0C2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6E64CE"/>
    <w:rsid w:val="000407AB"/>
    <w:rsid w:val="000502BD"/>
    <w:rsid w:val="00086FA9"/>
    <w:rsid w:val="00166FEF"/>
    <w:rsid w:val="0017571D"/>
    <w:rsid w:val="00175A64"/>
    <w:rsid w:val="00194275"/>
    <w:rsid w:val="001B3D56"/>
    <w:rsid w:val="001E3E02"/>
    <w:rsid w:val="00216AE4"/>
    <w:rsid w:val="002615D8"/>
    <w:rsid w:val="002B2B1C"/>
    <w:rsid w:val="002C6FA6"/>
    <w:rsid w:val="002E42C0"/>
    <w:rsid w:val="00314182"/>
    <w:rsid w:val="00323C2E"/>
    <w:rsid w:val="003B6FBC"/>
    <w:rsid w:val="003C1819"/>
    <w:rsid w:val="00443E6B"/>
    <w:rsid w:val="00492839"/>
    <w:rsid w:val="004C3594"/>
    <w:rsid w:val="004F2802"/>
    <w:rsid w:val="004F32F2"/>
    <w:rsid w:val="005C7BF0"/>
    <w:rsid w:val="0060513E"/>
    <w:rsid w:val="006E64CE"/>
    <w:rsid w:val="006E70B0"/>
    <w:rsid w:val="007F69A7"/>
    <w:rsid w:val="008018C9"/>
    <w:rsid w:val="00804375"/>
    <w:rsid w:val="00954B87"/>
    <w:rsid w:val="00985FC7"/>
    <w:rsid w:val="00AA0A52"/>
    <w:rsid w:val="00BF520B"/>
    <w:rsid w:val="00C27B1A"/>
    <w:rsid w:val="00C66C08"/>
    <w:rsid w:val="00CB2632"/>
    <w:rsid w:val="00CE1FCF"/>
    <w:rsid w:val="00CE346F"/>
    <w:rsid w:val="00D735E5"/>
    <w:rsid w:val="00DB002A"/>
    <w:rsid w:val="00DE42CC"/>
    <w:rsid w:val="00DF42A8"/>
    <w:rsid w:val="00E45328"/>
    <w:rsid w:val="00E76927"/>
    <w:rsid w:val="00FF752F"/>
    <w:rsid w:val="23A15A06"/>
    <w:rsid w:val="26360FFC"/>
    <w:rsid w:val="2AC22687"/>
    <w:rsid w:val="37893D31"/>
    <w:rsid w:val="620D3E4E"/>
    <w:rsid w:val="69D77682"/>
    <w:rsid w:val="6E1C611A"/>
    <w:rsid w:val="6F2359C9"/>
    <w:rsid w:val="75C01CA7"/>
    <w:rsid w:val="7A4017EA"/>
    <w:rsid w:val="7F83783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</w:rPr>
  </w:style>
  <w:style w:type="character" w:styleId="8">
    <w:name w:val="FollowedHyperlink"/>
    <w:basedOn w:val="6"/>
    <w:semiHidden/>
    <w:unhideWhenUsed/>
    <w:qFormat/>
    <w:uiPriority w:val="99"/>
    <w:rPr>
      <w:color w:val="333333"/>
      <w:u w:val="none"/>
    </w:rPr>
  </w:style>
  <w:style w:type="character" w:styleId="9">
    <w:name w:val="Hyperlink"/>
    <w:basedOn w:val="6"/>
    <w:semiHidden/>
    <w:unhideWhenUsed/>
    <w:qFormat/>
    <w:uiPriority w:val="99"/>
    <w:rPr>
      <w:color w:val="333333"/>
      <w:u w:val="none"/>
    </w:rPr>
  </w:style>
  <w:style w:type="paragraph" w:customStyle="1" w:styleId="10">
    <w:name w:val="p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1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12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1846</Words>
  <Characters>1891</Characters>
  <Lines>20</Lines>
  <Paragraphs>5</Paragraphs>
  <TotalTime>19</TotalTime>
  <ScaleCrop>false</ScaleCrop>
  <LinksUpToDate>false</LinksUpToDate>
  <CharactersWithSpaces>2089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2020-01-20T05:24:00Z</dcterms:created>
  <dc:creator>dell</dc:creator>
  <cp:lastModifiedBy>WPS_1641972616</cp:lastModifiedBy>
  <cp:lastPrinted>2026-01-21T01:28:31Z</cp:lastPrinted>
  <dcterms:modified xsi:type="dcterms:W3CDTF">2026-01-21T01:28:35Z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eyJoZGlkIjoiOTQ4YWRkYTg3MTVmMGEwYjk5NGM4YjY3ODE4ZWQ3Y2YiLCJ1c2VySWQiOiIxMzA3OTA2MTI2In0=</vt:lpwstr>
  </property>
  <property fmtid="{D5CDD505-2E9C-101B-9397-08002B2CF9AE}" pid="4" name="ICV">
    <vt:lpwstr>B4219766CD9E4357B0BA6880DBDB0355_12</vt:lpwstr>
  </property>
</Properties>
</file>