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9E3052">
      <w:pPr>
        <w:keepNext w:val="0"/>
        <w:keepLines w:val="0"/>
        <w:pageBreakBefore w:val="0"/>
        <w:widowControl w:val="0"/>
        <w:kinsoku/>
        <w:wordWrap/>
        <w:overflowPunct/>
        <w:topLinePunct w:val="0"/>
        <w:autoSpaceDE/>
        <w:autoSpaceDN/>
        <w:bidi w:val="0"/>
        <w:adjustRightInd/>
        <w:snapToGrid/>
        <w:spacing w:beforeAutospacing="0" w:afterAutospacing="0" w:line="6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p w14:paraId="2D6C7949">
      <w:pPr>
        <w:keepNext w:val="0"/>
        <w:keepLines w:val="0"/>
        <w:pageBreakBefore w:val="0"/>
        <w:widowControl w:val="0"/>
        <w:kinsoku/>
        <w:wordWrap/>
        <w:overflowPunct/>
        <w:topLinePunct w:val="0"/>
        <w:autoSpaceDE/>
        <w:autoSpaceDN/>
        <w:bidi w:val="0"/>
        <w:adjustRightInd/>
        <w:snapToGrid/>
        <w:spacing w:beforeAutospacing="0" w:afterAutospacing="0" w:line="660" w:lineRule="exact"/>
        <w:ind w:right="0" w:rightChars="0"/>
        <w:jc w:val="center"/>
        <w:textAlignment w:val="auto"/>
        <w:outlineLvl w:val="9"/>
        <w:rPr>
          <w:rFonts w:hint="eastAsia" w:ascii="仿宋_GB2312" w:hAnsi="仿宋_GB2312" w:eastAsia="仿宋_GB2312" w:cs="仿宋_GB2312"/>
          <w:sz w:val="84"/>
          <w:szCs w:val="84"/>
          <w:vertAlign w:val="baseline"/>
          <w:lang w:val="en-US" w:eastAsia="zh-CN"/>
        </w:rPr>
      </w:pPr>
    </w:p>
    <w:p w14:paraId="6C8FCC1C">
      <w:pPr>
        <w:keepNext w:val="0"/>
        <w:keepLines w:val="0"/>
        <w:pageBreakBefore w:val="0"/>
        <w:widowControl w:val="0"/>
        <w:kinsoku/>
        <w:wordWrap/>
        <w:overflowPunct/>
        <w:topLinePunct w:val="0"/>
        <w:autoSpaceDE/>
        <w:autoSpaceDN/>
        <w:bidi w:val="0"/>
        <w:adjustRightInd/>
        <w:snapToGrid/>
        <w:spacing w:beforeAutospacing="0" w:afterAutospacing="0" w:line="660" w:lineRule="exact"/>
        <w:ind w:right="0" w:rightChars="0"/>
        <w:jc w:val="center"/>
        <w:textAlignment w:val="auto"/>
        <w:outlineLvl w:val="9"/>
        <w:rPr>
          <w:rFonts w:hint="eastAsia" w:ascii="仿宋_GB2312" w:hAnsi="仿宋_GB2312" w:eastAsia="仿宋_GB2312" w:cs="仿宋_GB2312"/>
          <w:sz w:val="84"/>
          <w:szCs w:val="84"/>
          <w:vertAlign w:val="baseline"/>
          <w:lang w:val="en-US" w:eastAsia="zh-CN"/>
        </w:rPr>
      </w:pPr>
    </w:p>
    <w:p w14:paraId="32B54C09">
      <w:pPr>
        <w:keepNext w:val="0"/>
        <w:keepLines w:val="0"/>
        <w:pageBreakBefore w:val="0"/>
        <w:widowControl w:val="0"/>
        <w:kinsoku/>
        <w:wordWrap/>
        <w:overflowPunct/>
        <w:topLinePunct w:val="0"/>
        <w:autoSpaceDE/>
        <w:autoSpaceDN/>
        <w:bidi w:val="0"/>
        <w:adjustRightInd/>
        <w:snapToGrid/>
        <w:spacing w:beforeAutospacing="0" w:afterAutospacing="0" w:line="6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p w14:paraId="42F78966">
      <w:pPr>
        <w:keepNext w:val="0"/>
        <w:keepLines w:val="0"/>
        <w:pageBreakBefore w:val="0"/>
        <w:widowControl w:val="0"/>
        <w:kinsoku/>
        <w:wordWrap/>
        <w:overflowPunct/>
        <w:topLinePunct w:val="0"/>
        <w:autoSpaceDE/>
        <w:autoSpaceDN/>
        <w:bidi w:val="0"/>
        <w:adjustRightInd/>
        <w:snapToGrid/>
        <w:spacing w:beforeAutospacing="0" w:afterAutospacing="0" w:line="6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p w14:paraId="2C20C16C">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隆民〔2026〕1号</w:t>
      </w:r>
    </w:p>
    <w:p w14:paraId="5A02C249">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p w14:paraId="3B58C692">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小标宋_GBK" w:hAnsi="方正小标宋_GBK" w:eastAsia="方正小标宋_GBK" w:cs="方正小标宋_GBK"/>
          <w:i w:val="0"/>
          <w:iCs w:val="0"/>
          <w:caps w:val="0"/>
          <w:color w:val="auto"/>
          <w:spacing w:val="0"/>
          <w:sz w:val="44"/>
          <w:szCs w:val="44"/>
          <w:shd w:val="clear" w:fill="FFFFFF"/>
          <w:lang w:eastAsia="zh-CN"/>
        </w:rPr>
      </w:pPr>
      <w:r>
        <w:rPr>
          <w:rFonts w:hint="eastAsia" w:ascii="方正小标宋_GBK" w:hAnsi="方正小标宋_GBK" w:eastAsia="方正小标宋_GBK" w:cs="方正小标宋_GBK"/>
          <w:i w:val="0"/>
          <w:iCs w:val="0"/>
          <w:caps w:val="0"/>
          <w:color w:val="auto"/>
          <w:spacing w:val="0"/>
          <w:sz w:val="44"/>
          <w:szCs w:val="44"/>
          <w:shd w:val="clear" w:fill="FFFFFF"/>
          <w:lang w:val="en-US" w:eastAsia="zh-CN"/>
        </w:rPr>
        <w:t>隆尧县</w:t>
      </w:r>
      <w:r>
        <w:rPr>
          <w:rFonts w:hint="eastAsia" w:ascii="方正小标宋_GBK" w:hAnsi="方正小标宋_GBK" w:eastAsia="方正小标宋_GBK" w:cs="方正小标宋_GBK"/>
          <w:i w:val="0"/>
          <w:iCs w:val="0"/>
          <w:caps w:val="0"/>
          <w:color w:val="auto"/>
          <w:spacing w:val="0"/>
          <w:sz w:val="44"/>
          <w:szCs w:val="44"/>
          <w:shd w:val="clear" w:fill="FFFFFF"/>
          <w:lang w:eastAsia="zh-CN"/>
        </w:rPr>
        <w:t>民政局</w:t>
      </w:r>
    </w:p>
    <w:p w14:paraId="63798AA1">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小标宋简体" w:hAnsi="方正小标宋简体" w:eastAsia="方正小标宋简体" w:cs="方正小标宋简体"/>
          <w:i w:val="0"/>
          <w:iCs w:val="0"/>
          <w:caps w:val="0"/>
          <w:color w:val="auto"/>
          <w:spacing w:val="0"/>
          <w:sz w:val="44"/>
          <w:szCs w:val="44"/>
          <w:shd w:val="clear" w:fill="FFFFFF"/>
          <w:lang w:eastAsia="zh-CN"/>
        </w:rPr>
      </w:pPr>
      <w:r>
        <w:rPr>
          <w:rFonts w:hint="eastAsia" w:ascii="方正小标宋_GBK" w:hAnsi="方正小标宋_GBK" w:eastAsia="方正小标宋_GBK" w:cs="方正小标宋_GBK"/>
          <w:i w:val="0"/>
          <w:iCs w:val="0"/>
          <w:caps w:val="0"/>
          <w:color w:val="auto"/>
          <w:spacing w:val="0"/>
          <w:sz w:val="44"/>
          <w:szCs w:val="44"/>
          <w:shd w:val="clear" w:fill="FFFFFF"/>
          <w:lang w:eastAsia="zh-CN"/>
        </w:rPr>
        <w:t>关于开展</w:t>
      </w:r>
      <w:r>
        <w:rPr>
          <w:rFonts w:hint="eastAsia" w:ascii="方正小标宋_GBK" w:hAnsi="方正小标宋_GBK" w:eastAsia="方正小标宋_GBK" w:cs="方正小标宋_GBK"/>
          <w:i w:val="0"/>
          <w:iCs w:val="0"/>
          <w:caps w:val="0"/>
          <w:color w:val="auto"/>
          <w:spacing w:val="0"/>
          <w:sz w:val="44"/>
          <w:szCs w:val="44"/>
          <w:shd w:val="clear" w:fill="FFFFFF"/>
          <w:lang w:val="en-US" w:eastAsia="zh-CN"/>
        </w:rPr>
        <w:t>县属社会组织2025年度检查</w:t>
      </w:r>
      <w:r>
        <w:rPr>
          <w:rFonts w:hint="eastAsia" w:ascii="方正小标宋_GBK" w:hAnsi="方正小标宋_GBK" w:eastAsia="方正小标宋_GBK" w:cs="方正小标宋_GBK"/>
          <w:i w:val="0"/>
          <w:iCs w:val="0"/>
          <w:caps w:val="0"/>
          <w:color w:val="auto"/>
          <w:spacing w:val="0"/>
          <w:sz w:val="44"/>
          <w:szCs w:val="44"/>
          <w:shd w:val="clear" w:fill="FFFFFF"/>
          <w:lang w:eastAsia="zh-CN"/>
        </w:rPr>
        <w:t>工作的通知</w:t>
      </w:r>
    </w:p>
    <w:p w14:paraId="4C8301F4">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_GB2312" w:hAnsi="仿宋_GB2312" w:eastAsia="仿宋_GB2312" w:cs="仿宋_GB2312"/>
          <w:i w:val="0"/>
          <w:iCs w:val="0"/>
          <w:caps w:val="0"/>
          <w:color w:val="auto"/>
          <w:spacing w:val="0"/>
          <w:sz w:val="32"/>
          <w:szCs w:val="32"/>
          <w:shd w:val="clear" w:fill="FFFFFF"/>
          <w:lang w:eastAsia="zh-CN"/>
        </w:rPr>
      </w:pPr>
    </w:p>
    <w:p w14:paraId="266DA496">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right="0" w:rightChars="0"/>
        <w:jc w:val="left"/>
        <w:textAlignment w:val="auto"/>
        <w:outlineLvl w:val="9"/>
        <w:rPr>
          <w:rFonts w:hint="eastAsia" w:ascii="仿宋_GB2312" w:hAnsi="仿宋_GB2312" w:eastAsia="仿宋_GB2312" w:cs="仿宋_GB2312"/>
          <w:i w:val="0"/>
          <w:iCs w:val="0"/>
          <w:caps w:val="0"/>
          <w:color w:val="auto"/>
          <w:spacing w:val="0"/>
          <w:sz w:val="32"/>
          <w:szCs w:val="32"/>
          <w:shd w:val="clear" w:fill="FFFFFF"/>
          <w:lang w:eastAsia="zh-CN"/>
        </w:rPr>
      </w:pPr>
      <w:r>
        <w:rPr>
          <w:rFonts w:hint="eastAsia" w:ascii="仿宋_GB2312" w:hAnsi="仿宋_GB2312" w:eastAsia="仿宋_GB2312" w:cs="仿宋_GB2312"/>
          <w:i w:val="0"/>
          <w:iCs w:val="0"/>
          <w:caps w:val="0"/>
          <w:color w:val="auto"/>
          <w:spacing w:val="0"/>
          <w:sz w:val="32"/>
          <w:szCs w:val="32"/>
          <w:shd w:val="clear" w:fill="FFFFFF"/>
          <w:lang w:eastAsia="zh-CN"/>
        </w:rPr>
        <w:t>各</w:t>
      </w:r>
      <w:r>
        <w:rPr>
          <w:rFonts w:hint="eastAsia" w:ascii="仿宋_GB2312" w:hAnsi="仿宋_GB2312" w:eastAsia="仿宋_GB2312" w:cs="仿宋_GB2312"/>
          <w:i w:val="0"/>
          <w:iCs w:val="0"/>
          <w:caps w:val="0"/>
          <w:color w:val="auto"/>
          <w:spacing w:val="0"/>
          <w:sz w:val="32"/>
          <w:szCs w:val="32"/>
          <w:shd w:val="clear" w:fill="FFFFFF"/>
          <w:lang w:val="en-US" w:eastAsia="zh-CN"/>
        </w:rPr>
        <w:t>县属社会组织</w:t>
      </w:r>
      <w:r>
        <w:rPr>
          <w:rFonts w:hint="eastAsia" w:ascii="仿宋_GB2312" w:hAnsi="仿宋_GB2312" w:eastAsia="仿宋_GB2312" w:cs="仿宋_GB2312"/>
          <w:i w:val="0"/>
          <w:iCs w:val="0"/>
          <w:caps w:val="0"/>
          <w:color w:val="auto"/>
          <w:spacing w:val="0"/>
          <w:sz w:val="32"/>
          <w:szCs w:val="32"/>
          <w:shd w:val="clear" w:fill="FFFFFF"/>
          <w:lang w:eastAsia="zh-CN"/>
        </w:rPr>
        <w:t>业务主管单位、各</w:t>
      </w:r>
      <w:r>
        <w:rPr>
          <w:rFonts w:hint="eastAsia" w:ascii="仿宋_GB2312" w:hAnsi="仿宋_GB2312" w:eastAsia="仿宋_GB2312" w:cs="仿宋_GB2312"/>
          <w:i w:val="0"/>
          <w:iCs w:val="0"/>
          <w:caps w:val="0"/>
          <w:color w:val="auto"/>
          <w:spacing w:val="0"/>
          <w:sz w:val="32"/>
          <w:szCs w:val="32"/>
          <w:shd w:val="clear" w:fill="FFFFFF"/>
          <w:lang w:val="en-US" w:eastAsia="zh-CN"/>
        </w:rPr>
        <w:t>县属社会组织</w:t>
      </w:r>
      <w:r>
        <w:rPr>
          <w:rFonts w:hint="eastAsia" w:ascii="仿宋_GB2312" w:hAnsi="仿宋_GB2312" w:eastAsia="仿宋_GB2312" w:cs="仿宋_GB2312"/>
          <w:i w:val="0"/>
          <w:iCs w:val="0"/>
          <w:caps w:val="0"/>
          <w:color w:val="auto"/>
          <w:spacing w:val="0"/>
          <w:sz w:val="32"/>
          <w:szCs w:val="32"/>
          <w:shd w:val="clear" w:fill="FFFFFF"/>
          <w:lang w:eastAsia="zh-CN"/>
        </w:rPr>
        <w:t>：</w:t>
      </w:r>
    </w:p>
    <w:p w14:paraId="39DB998A">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left="0" w:leftChars="0" w:right="0" w:rightChars="0" w:firstLine="640" w:firstLineChars="200"/>
        <w:jc w:val="left"/>
        <w:textAlignment w:val="auto"/>
        <w:outlineLvl w:val="9"/>
        <w:rPr>
          <w:rFonts w:hint="eastAsia" w:ascii="仿宋_GB2312" w:hAnsi="仿宋_GB2312" w:eastAsia="仿宋_GB2312" w:cs="仿宋_GB2312"/>
          <w:i w:val="0"/>
          <w:iCs w:val="0"/>
          <w:caps w:val="0"/>
          <w:color w:val="auto"/>
          <w:spacing w:val="0"/>
          <w:sz w:val="32"/>
          <w:szCs w:val="32"/>
          <w:shd w:val="clear" w:fill="FFFFFF"/>
          <w:lang w:eastAsia="zh-CN"/>
        </w:rPr>
      </w:pPr>
      <w:r>
        <w:rPr>
          <w:rFonts w:hint="eastAsia" w:ascii="仿宋_GB2312" w:hAnsi="仿宋_GB2312" w:eastAsia="仿宋_GB2312" w:cs="仿宋_GB2312"/>
          <w:i w:val="0"/>
          <w:iCs w:val="0"/>
          <w:caps w:val="0"/>
          <w:color w:val="auto"/>
          <w:spacing w:val="0"/>
          <w:sz w:val="32"/>
          <w:szCs w:val="32"/>
          <w:shd w:val="clear" w:fill="FFFFFF"/>
          <w:lang w:eastAsia="zh-CN"/>
        </w:rPr>
        <w:t>根据《社会团体登记管理条例》《民办非企业单位登记管理暂行条例》《民办非企业单位年度检查办法》和民政部社会组织管理局《关于推进社会组织年检（年报）系统地方应用的通知》（民社管函〔</w:t>
      </w:r>
      <w:r>
        <w:rPr>
          <w:rFonts w:hint="eastAsia" w:ascii="仿宋_GB2312" w:hAnsi="仿宋_GB2312" w:eastAsia="仿宋_GB2312" w:cs="仿宋_GB2312"/>
          <w:i w:val="0"/>
          <w:iCs w:val="0"/>
          <w:caps w:val="0"/>
          <w:color w:val="auto"/>
          <w:spacing w:val="0"/>
          <w:sz w:val="32"/>
          <w:szCs w:val="32"/>
          <w:shd w:val="clear" w:fill="FFFFFF"/>
          <w:lang w:val="en-US" w:eastAsia="zh-CN"/>
        </w:rPr>
        <w:t>2023</w:t>
      </w:r>
      <w:r>
        <w:rPr>
          <w:rFonts w:hint="eastAsia" w:ascii="仿宋_GB2312" w:hAnsi="仿宋_GB2312" w:eastAsia="仿宋_GB2312" w:cs="仿宋_GB2312"/>
          <w:i w:val="0"/>
          <w:iCs w:val="0"/>
          <w:caps w:val="0"/>
          <w:color w:val="auto"/>
          <w:spacing w:val="0"/>
          <w:sz w:val="32"/>
          <w:szCs w:val="32"/>
          <w:shd w:val="clear" w:fill="FFFFFF"/>
          <w:lang w:eastAsia="zh-CN"/>
        </w:rPr>
        <w:t>〕</w:t>
      </w:r>
      <w:r>
        <w:rPr>
          <w:rFonts w:hint="eastAsia" w:ascii="仿宋_GB2312" w:hAnsi="仿宋_GB2312" w:eastAsia="仿宋_GB2312" w:cs="仿宋_GB2312"/>
          <w:i w:val="0"/>
          <w:iCs w:val="0"/>
          <w:caps w:val="0"/>
          <w:color w:val="auto"/>
          <w:spacing w:val="0"/>
          <w:sz w:val="32"/>
          <w:szCs w:val="32"/>
          <w:shd w:val="clear" w:fill="FFFFFF"/>
          <w:lang w:val="en-US" w:eastAsia="zh-CN"/>
        </w:rPr>
        <w:t>2号</w:t>
      </w:r>
      <w:r>
        <w:rPr>
          <w:rFonts w:hint="eastAsia" w:ascii="仿宋_GB2312" w:hAnsi="仿宋_GB2312" w:eastAsia="仿宋_GB2312" w:cs="仿宋_GB2312"/>
          <w:i w:val="0"/>
          <w:iCs w:val="0"/>
          <w:caps w:val="0"/>
          <w:color w:val="auto"/>
          <w:spacing w:val="0"/>
          <w:sz w:val="32"/>
          <w:szCs w:val="32"/>
          <w:shd w:val="clear" w:fill="FFFFFF"/>
          <w:lang w:eastAsia="zh-CN"/>
        </w:rPr>
        <w:t>）等要求，现需对</w:t>
      </w:r>
      <w:r>
        <w:rPr>
          <w:rFonts w:hint="eastAsia" w:ascii="仿宋_GB2312" w:hAnsi="仿宋_GB2312" w:eastAsia="仿宋_GB2312" w:cs="仿宋_GB2312"/>
          <w:i w:val="0"/>
          <w:iCs w:val="0"/>
          <w:caps w:val="0"/>
          <w:color w:val="auto"/>
          <w:spacing w:val="0"/>
          <w:sz w:val="32"/>
          <w:szCs w:val="32"/>
          <w:shd w:val="clear" w:fill="FFFFFF"/>
          <w:lang w:val="en-US" w:eastAsia="zh-CN"/>
        </w:rPr>
        <w:t>县属</w:t>
      </w:r>
      <w:r>
        <w:rPr>
          <w:rFonts w:hint="eastAsia" w:ascii="仿宋_GB2312" w:hAnsi="仿宋_GB2312" w:eastAsia="仿宋_GB2312" w:cs="仿宋_GB2312"/>
          <w:i w:val="0"/>
          <w:iCs w:val="0"/>
          <w:caps w:val="0"/>
          <w:color w:val="auto"/>
          <w:spacing w:val="0"/>
          <w:sz w:val="32"/>
          <w:szCs w:val="32"/>
          <w:shd w:val="clear" w:fill="FFFFFF"/>
          <w:lang w:eastAsia="zh-CN"/>
        </w:rPr>
        <w:t>社会团体、民办非企业单位进行2025年度检查（以下简称年检），现就有关事项通知如下：</w:t>
      </w:r>
    </w:p>
    <w:p w14:paraId="22848160">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CESI黑体-GB2312" w:hAnsi="CESI黑体-GB2312" w:eastAsia="CESI黑体-GB2312" w:cs="CESI黑体-GB2312"/>
          <w:color w:val="auto"/>
          <w:sz w:val="32"/>
          <w:szCs w:val="32"/>
        </w:rPr>
      </w:pPr>
      <w:r>
        <w:rPr>
          <w:rFonts w:hint="eastAsia" w:ascii="CESI黑体-GB2312" w:hAnsi="CESI黑体-GB2312" w:eastAsia="CESI黑体-GB2312" w:cs="CESI黑体-GB2312"/>
          <w:color w:val="auto"/>
          <w:sz w:val="32"/>
          <w:szCs w:val="32"/>
          <w:lang w:val="en-US" w:eastAsia="zh-CN" w:bidi="ar-SA"/>
        </w:rPr>
        <w:t>一、</w:t>
      </w:r>
      <w:r>
        <w:rPr>
          <w:rFonts w:hint="eastAsia" w:ascii="CESI黑体-GB2312" w:hAnsi="CESI黑体-GB2312" w:eastAsia="CESI黑体-GB2312" w:cs="CESI黑体-GB2312"/>
          <w:color w:val="auto"/>
          <w:sz w:val="32"/>
          <w:szCs w:val="32"/>
          <w:lang w:bidi="ar-SA"/>
        </w:rPr>
        <w:t>年检范围</w:t>
      </w:r>
    </w:p>
    <w:p w14:paraId="5F860ADD">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bidi="ar-SA"/>
        </w:rPr>
        <w:t>2025</w:t>
      </w:r>
      <w:r>
        <w:rPr>
          <w:rFonts w:hint="eastAsia" w:ascii="仿宋_GB2312" w:hAnsi="仿宋_GB2312" w:eastAsia="仿宋_GB2312" w:cs="仿宋_GB2312"/>
          <w:color w:val="auto"/>
          <w:sz w:val="32"/>
          <w:szCs w:val="32"/>
          <w:lang w:bidi="ar-SA"/>
        </w:rPr>
        <w:t>年</w:t>
      </w:r>
      <w:r>
        <w:rPr>
          <w:rFonts w:hint="eastAsia" w:ascii="仿宋_GB2312" w:hAnsi="仿宋_GB2312" w:eastAsia="仿宋_GB2312" w:cs="仿宋_GB2312"/>
          <w:color w:val="auto"/>
          <w:sz w:val="32"/>
          <w:szCs w:val="32"/>
          <w:lang w:val="en-US" w:eastAsia="zh-CN" w:bidi="ar-SA"/>
        </w:rPr>
        <w:t>12</w:t>
      </w:r>
      <w:r>
        <w:rPr>
          <w:rFonts w:hint="eastAsia" w:ascii="仿宋_GB2312" w:hAnsi="仿宋_GB2312" w:eastAsia="仿宋_GB2312" w:cs="仿宋_GB2312"/>
          <w:color w:val="auto"/>
          <w:sz w:val="32"/>
          <w:szCs w:val="32"/>
          <w:lang w:bidi="ar-SA"/>
        </w:rPr>
        <w:t>月3</w:t>
      </w:r>
      <w:r>
        <w:rPr>
          <w:rFonts w:hint="eastAsia" w:ascii="仿宋_GB2312" w:hAnsi="仿宋_GB2312" w:eastAsia="仿宋_GB2312" w:cs="仿宋_GB2312"/>
          <w:color w:val="auto"/>
          <w:sz w:val="32"/>
          <w:szCs w:val="32"/>
          <w:lang w:val="en-US" w:eastAsia="zh-CN" w:bidi="ar-SA"/>
        </w:rPr>
        <w:t>1</w:t>
      </w:r>
      <w:r>
        <w:rPr>
          <w:rFonts w:hint="eastAsia" w:ascii="仿宋_GB2312" w:hAnsi="仿宋_GB2312" w:eastAsia="仿宋_GB2312" w:cs="仿宋_GB2312"/>
          <w:color w:val="auto"/>
          <w:sz w:val="32"/>
          <w:szCs w:val="32"/>
          <w:lang w:bidi="ar-SA"/>
        </w:rPr>
        <w:t>日</w:t>
      </w:r>
      <w:r>
        <w:rPr>
          <w:rFonts w:hint="eastAsia" w:ascii="仿宋_GB2312" w:hAnsi="仿宋_GB2312" w:eastAsia="仿宋_GB2312" w:cs="仿宋_GB2312"/>
          <w:color w:val="auto"/>
          <w:sz w:val="32"/>
          <w:szCs w:val="32"/>
          <w:lang w:eastAsia="zh-CN" w:bidi="ar-SA"/>
        </w:rPr>
        <w:t>以前在</w:t>
      </w:r>
      <w:r>
        <w:rPr>
          <w:rFonts w:hint="eastAsia" w:ascii="仿宋_GB2312" w:hAnsi="仿宋_GB2312" w:eastAsia="仿宋_GB2312" w:cs="仿宋_GB2312"/>
          <w:color w:val="auto"/>
          <w:sz w:val="32"/>
          <w:szCs w:val="32"/>
          <w:lang w:val="en-US" w:eastAsia="zh-CN" w:bidi="ar-SA"/>
        </w:rPr>
        <w:t>县</w:t>
      </w:r>
      <w:r>
        <w:rPr>
          <w:rFonts w:hint="eastAsia" w:ascii="仿宋_GB2312" w:hAnsi="仿宋_GB2312" w:eastAsia="仿宋_GB2312" w:cs="仿宋_GB2312"/>
          <w:color w:val="auto"/>
          <w:sz w:val="32"/>
          <w:szCs w:val="32"/>
          <w:lang w:eastAsia="zh-CN" w:bidi="ar-SA"/>
        </w:rPr>
        <w:t>民政局（或</w:t>
      </w:r>
      <w:r>
        <w:rPr>
          <w:rFonts w:hint="eastAsia" w:ascii="仿宋_GB2312" w:hAnsi="仿宋_GB2312" w:eastAsia="仿宋_GB2312" w:cs="仿宋_GB2312"/>
          <w:color w:val="auto"/>
          <w:sz w:val="32"/>
          <w:szCs w:val="32"/>
          <w:lang w:val="en-US" w:eastAsia="zh-CN" w:bidi="ar-SA"/>
        </w:rPr>
        <w:t>县</w:t>
      </w:r>
      <w:r>
        <w:rPr>
          <w:rFonts w:hint="eastAsia" w:ascii="仿宋_GB2312" w:hAnsi="仿宋_GB2312" w:eastAsia="仿宋_GB2312" w:cs="仿宋_GB2312"/>
          <w:color w:val="auto"/>
          <w:sz w:val="32"/>
          <w:szCs w:val="32"/>
          <w:lang w:eastAsia="zh-CN" w:bidi="ar-SA"/>
        </w:rPr>
        <w:t>行政审批局）登记的社会团体、民办非企业单位。</w:t>
      </w:r>
    </w:p>
    <w:p w14:paraId="5104CAAB">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leftChars="200" w:firstLine="320" w:firstLineChars="100"/>
        <w:textAlignment w:val="auto"/>
        <w:rPr>
          <w:rFonts w:hint="eastAsia" w:ascii="CESI黑体-GB2312" w:hAnsi="CESI黑体-GB2312" w:eastAsia="CESI黑体-GB2312" w:cs="CESI黑体-GB2312"/>
          <w:color w:val="auto"/>
          <w:sz w:val="32"/>
          <w:szCs w:val="32"/>
          <w:lang w:bidi="ar-SA"/>
        </w:rPr>
      </w:pPr>
      <w:r>
        <w:rPr>
          <w:rFonts w:hint="eastAsia" w:ascii="CESI黑体-GB2312" w:hAnsi="CESI黑体-GB2312" w:eastAsia="CESI黑体-GB2312" w:cs="CESI黑体-GB2312"/>
          <w:color w:val="auto"/>
          <w:sz w:val="32"/>
          <w:szCs w:val="32"/>
          <w:lang w:bidi="ar-SA"/>
        </w:rPr>
        <w:t>二、年检时间</w:t>
      </w:r>
    </w:p>
    <w:p w14:paraId="18D24F94">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left="0" w:leftChars="0" w:right="0" w:rightChars="0" w:firstLine="640" w:firstLineChars="200"/>
        <w:jc w:val="left"/>
        <w:textAlignment w:val="auto"/>
        <w:outlineLvl w:val="9"/>
        <w:rPr>
          <w:rFonts w:hint="eastAsia" w:ascii="仿宋_GB2312" w:hAnsi="仿宋_GB2312" w:eastAsia="仿宋_GB2312" w:cs="仿宋_GB2312"/>
          <w:i w:val="0"/>
          <w:iCs w:val="0"/>
          <w:caps w:val="0"/>
          <w:color w:val="auto"/>
          <w:spacing w:val="0"/>
          <w:sz w:val="32"/>
          <w:szCs w:val="32"/>
          <w:shd w:val="clear" w:fill="FFFFFF"/>
          <w:lang w:val="en-US" w:eastAsia="zh-CN"/>
        </w:rPr>
      </w:pPr>
      <w:r>
        <w:rPr>
          <w:rFonts w:hint="eastAsia" w:ascii="仿宋_GB2312" w:hAnsi="仿宋_GB2312" w:eastAsia="仿宋_GB2312" w:cs="仿宋_GB2312"/>
          <w:i w:val="0"/>
          <w:iCs w:val="0"/>
          <w:caps w:val="0"/>
          <w:color w:val="auto"/>
          <w:spacing w:val="0"/>
          <w:sz w:val="32"/>
          <w:szCs w:val="32"/>
          <w:shd w:val="clear" w:fill="FFFFFF"/>
          <w:lang w:val="en-US" w:eastAsia="zh-CN"/>
        </w:rPr>
        <w:t>2026年1月20日—5月31日。</w:t>
      </w:r>
    </w:p>
    <w:p w14:paraId="67ED7C20">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leftChars="200" w:firstLine="320" w:firstLineChars="100"/>
        <w:textAlignment w:val="auto"/>
        <w:rPr>
          <w:rFonts w:hint="eastAsia" w:ascii="CESI黑体-GB2312" w:hAnsi="CESI黑体-GB2312" w:eastAsia="CESI黑体-GB2312" w:cs="CESI黑体-GB2312"/>
          <w:color w:val="auto"/>
          <w:sz w:val="32"/>
          <w:szCs w:val="32"/>
          <w:lang w:eastAsia="zh-CN" w:bidi="ar-SA"/>
        </w:rPr>
      </w:pPr>
      <w:r>
        <w:rPr>
          <w:rFonts w:hint="eastAsia" w:ascii="CESI黑体-GB2312" w:hAnsi="CESI黑体-GB2312" w:eastAsia="CESI黑体-GB2312" w:cs="CESI黑体-GB2312"/>
          <w:color w:val="auto"/>
          <w:sz w:val="32"/>
          <w:szCs w:val="32"/>
          <w:lang w:eastAsia="zh-CN" w:bidi="ar-SA"/>
        </w:rPr>
        <w:t>三、填报内容</w:t>
      </w:r>
    </w:p>
    <w:p w14:paraId="3A30D2FC">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eastAsia="zh-CN" w:bidi="ar-SA"/>
        </w:rPr>
      </w:pPr>
      <w:r>
        <w:rPr>
          <w:rFonts w:hint="eastAsia" w:ascii="仿宋_GB2312" w:hAnsi="仿宋_GB2312" w:eastAsia="仿宋_GB2312" w:cs="仿宋_GB2312"/>
          <w:color w:val="auto"/>
          <w:sz w:val="32"/>
          <w:szCs w:val="32"/>
          <w:lang w:eastAsia="zh-CN" w:bidi="ar-SA"/>
        </w:rPr>
        <w:t>（一）基本信息。按照年报系统要求的填报内容和格式填报。主要包括登记事项变动和履行登记手续情况，负责人、理事、工作人员及其变动情况，机构设置和变动情况，举办研讨会及论坛情况，举办评比达标表彰活动情况，举办培训、职称评审、认证、鉴定等活动情况。</w:t>
      </w:r>
    </w:p>
    <w:p w14:paraId="752CFC6D">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eastAsia="zh-CN" w:bidi="ar-SA"/>
        </w:rPr>
      </w:pPr>
      <w:r>
        <w:rPr>
          <w:rFonts w:hint="eastAsia" w:ascii="仿宋_GB2312" w:hAnsi="仿宋_GB2312" w:eastAsia="仿宋_GB2312" w:cs="仿宋_GB2312"/>
          <w:color w:val="auto"/>
          <w:sz w:val="32"/>
          <w:szCs w:val="32"/>
          <w:lang w:eastAsia="zh-CN" w:bidi="ar-SA"/>
        </w:rPr>
        <w:t>（二）内部建设情况。主要包括本年度会议及换届情况，内部管理情况，机构设置情况，党组织建设情况。</w:t>
      </w:r>
    </w:p>
    <w:p w14:paraId="47F70623">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FF0000"/>
          <w:sz w:val="32"/>
          <w:szCs w:val="32"/>
          <w:lang w:eastAsia="zh-CN" w:bidi="ar-SA"/>
        </w:rPr>
      </w:pPr>
      <w:r>
        <w:rPr>
          <w:rFonts w:hint="eastAsia" w:ascii="仿宋_GB2312" w:hAnsi="仿宋_GB2312" w:eastAsia="仿宋_GB2312" w:cs="仿宋_GB2312"/>
          <w:color w:val="auto"/>
          <w:sz w:val="32"/>
          <w:szCs w:val="32"/>
          <w:lang w:eastAsia="zh-CN" w:bidi="ar-SA"/>
        </w:rPr>
        <w:t>（三）财务会计报告。按照《民间非营利组织会计制度》要求填报财务会计报告（主要包括资产负债表、业务活动表、现金流量表）。</w:t>
      </w:r>
    </w:p>
    <w:p w14:paraId="6E07C789">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eastAsia="zh-CN" w:bidi="ar-SA"/>
        </w:rPr>
      </w:pPr>
      <w:r>
        <w:rPr>
          <w:rFonts w:hint="eastAsia" w:ascii="仿宋_GB2312" w:hAnsi="仿宋_GB2312" w:eastAsia="仿宋_GB2312" w:cs="仿宋_GB2312"/>
          <w:color w:val="auto"/>
          <w:sz w:val="32"/>
          <w:szCs w:val="32"/>
          <w:lang w:eastAsia="zh-CN" w:bidi="ar-SA"/>
        </w:rPr>
        <w:t>（四）业务活动情况。主要包括本年度业务活动总体情况和下年度工作计划，相关收支、职能和本年度举办重大业务活动情况。</w:t>
      </w:r>
    </w:p>
    <w:p w14:paraId="4259B2CB">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CESI黑体-GB2312" w:hAnsi="CESI黑体-GB2312" w:eastAsia="CESI黑体-GB2312" w:cs="CESI黑体-GB2312"/>
          <w:color w:val="auto"/>
          <w:sz w:val="32"/>
          <w:szCs w:val="32"/>
          <w:lang w:eastAsia="zh-CN" w:bidi="ar-SA"/>
        </w:rPr>
      </w:pPr>
      <w:r>
        <w:rPr>
          <w:rFonts w:hint="eastAsia" w:ascii="仿宋_GB2312" w:hAnsi="仿宋_GB2312" w:eastAsia="仿宋_GB2312" w:cs="仿宋_GB2312"/>
          <w:color w:val="auto"/>
          <w:sz w:val="32"/>
          <w:szCs w:val="32"/>
          <w:lang w:eastAsia="zh-CN" w:bidi="ar-SA"/>
        </w:rPr>
        <w:t>（五）其他需要说明的情况及接受监督检查情况。</w:t>
      </w:r>
    </w:p>
    <w:p w14:paraId="2DE6035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leftChars="200" w:firstLine="320" w:firstLineChars="100"/>
        <w:textAlignment w:val="auto"/>
        <w:rPr>
          <w:rFonts w:hint="eastAsia" w:ascii="CESI黑体-GB2312" w:hAnsi="CESI黑体-GB2312" w:eastAsia="CESI黑体-GB2312" w:cs="CESI黑体-GB2312"/>
          <w:color w:val="auto"/>
          <w:sz w:val="32"/>
          <w:szCs w:val="32"/>
          <w:lang w:eastAsia="zh-CN" w:bidi="ar-SA"/>
        </w:rPr>
      </w:pPr>
      <w:r>
        <w:rPr>
          <w:rFonts w:hint="eastAsia" w:ascii="CESI黑体-GB2312" w:hAnsi="CESI黑体-GB2312" w:eastAsia="CESI黑体-GB2312" w:cs="CESI黑体-GB2312"/>
          <w:color w:val="auto"/>
          <w:sz w:val="32"/>
          <w:szCs w:val="32"/>
          <w:lang w:eastAsia="zh-CN" w:bidi="ar-SA"/>
        </w:rPr>
        <w:t>四、</w:t>
      </w:r>
      <w:r>
        <w:rPr>
          <w:rFonts w:hint="eastAsia" w:ascii="CESI黑体-GB2312" w:hAnsi="CESI黑体-GB2312" w:eastAsia="CESI黑体-GB2312" w:cs="CESI黑体-GB2312"/>
          <w:color w:val="auto"/>
          <w:sz w:val="32"/>
          <w:szCs w:val="32"/>
          <w:lang w:bidi="ar-SA"/>
        </w:rPr>
        <w:t>年检</w:t>
      </w:r>
      <w:r>
        <w:rPr>
          <w:rFonts w:hint="eastAsia" w:ascii="CESI黑体-GB2312" w:hAnsi="CESI黑体-GB2312" w:eastAsia="CESI黑体-GB2312" w:cs="CESI黑体-GB2312"/>
          <w:color w:val="auto"/>
          <w:sz w:val="32"/>
          <w:szCs w:val="32"/>
          <w:lang w:eastAsia="zh-CN" w:bidi="ar-SA"/>
        </w:rPr>
        <w:t>方式及流程</w:t>
      </w:r>
    </w:p>
    <w:p w14:paraId="783F7518">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right="0" w:rightChars="0" w:firstLine="640" w:firstLineChars="200"/>
        <w:jc w:val="left"/>
        <w:textAlignment w:val="auto"/>
        <w:outlineLvl w:val="9"/>
        <w:rPr>
          <w:rFonts w:hint="eastAsia" w:ascii="仿宋_GB2312" w:hAnsi="仿宋_GB2312" w:eastAsia="仿宋_GB2312" w:cs="仿宋_GB2312"/>
          <w:b w:val="0"/>
          <w:bCs w:val="0"/>
          <w:i w:val="0"/>
          <w:iCs w:val="0"/>
          <w:caps w:val="0"/>
          <w:color w:val="auto"/>
          <w:spacing w:val="0"/>
          <w:sz w:val="32"/>
          <w:szCs w:val="32"/>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shd w:val="clear" w:fill="FFFFFF"/>
          <w:lang w:val="en-US" w:eastAsia="zh-CN"/>
        </w:rPr>
        <w:t>（一）在线注册。未注册的县属</w:t>
      </w:r>
      <w:r>
        <w:rPr>
          <w:rFonts w:hint="eastAsia" w:ascii="仿宋_GB2312" w:hAnsi="仿宋_GB2312" w:eastAsia="仿宋_GB2312" w:cs="仿宋_GB2312"/>
          <w:i w:val="0"/>
          <w:iCs w:val="0"/>
          <w:caps w:val="0"/>
          <w:color w:val="auto"/>
          <w:spacing w:val="0"/>
          <w:sz w:val="32"/>
          <w:szCs w:val="32"/>
          <w:shd w:val="clear" w:fill="FFFFFF"/>
          <w:lang w:eastAsia="zh-CN"/>
        </w:rPr>
        <w:t>社会团体、民办非企业单位</w:t>
      </w:r>
      <w:r>
        <w:rPr>
          <w:rFonts w:hint="eastAsia" w:ascii="仿宋_GB2312" w:hAnsi="仿宋_GB2312" w:eastAsia="仿宋_GB2312" w:cs="仿宋_GB2312"/>
          <w:b w:val="0"/>
          <w:bCs w:val="0"/>
          <w:i w:val="0"/>
          <w:iCs w:val="0"/>
          <w:caps w:val="0"/>
          <w:color w:val="auto"/>
          <w:spacing w:val="0"/>
          <w:sz w:val="32"/>
          <w:szCs w:val="32"/>
          <w:shd w:val="clear" w:fill="FFFFFF"/>
          <w:lang w:val="en-US" w:eastAsia="zh-CN"/>
        </w:rPr>
        <w:t>登录民政一体化平台（https//:zwfw.mca.gov.cn），按照附件2（民政一体化平台注册指南）进行注册。</w:t>
      </w:r>
    </w:p>
    <w:p w14:paraId="73FFC72C">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left="0" w:leftChars="0" w:right="0" w:rightChars="0" w:firstLine="640" w:firstLineChars="200"/>
        <w:jc w:val="left"/>
        <w:textAlignment w:val="auto"/>
        <w:outlineLvl w:val="9"/>
        <w:rPr>
          <w:rFonts w:hint="default" w:ascii="仿宋_GB2312" w:hAnsi="仿宋_GB2312" w:eastAsia="仿宋_GB2312" w:cs="仿宋_GB2312"/>
          <w:b w:val="0"/>
          <w:bCs w:val="0"/>
          <w:i w:val="0"/>
          <w:iCs w:val="0"/>
          <w:caps w:val="0"/>
          <w:color w:val="FF0000"/>
          <w:spacing w:val="0"/>
          <w:sz w:val="32"/>
          <w:szCs w:val="32"/>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shd w:val="clear" w:fill="FFFFFF"/>
          <w:lang w:val="en-US" w:eastAsia="zh-CN"/>
        </w:rPr>
        <w:t>（二）填报材料。已注册的县属</w:t>
      </w:r>
      <w:r>
        <w:rPr>
          <w:rFonts w:hint="eastAsia" w:ascii="仿宋_GB2312" w:hAnsi="仿宋_GB2312" w:eastAsia="仿宋_GB2312" w:cs="仿宋_GB2312"/>
          <w:i w:val="0"/>
          <w:iCs w:val="0"/>
          <w:caps w:val="0"/>
          <w:color w:val="auto"/>
          <w:spacing w:val="0"/>
          <w:sz w:val="32"/>
          <w:szCs w:val="32"/>
          <w:shd w:val="clear" w:fill="FFFFFF"/>
          <w:lang w:eastAsia="zh-CN"/>
        </w:rPr>
        <w:t>社会团体、民办非企业单位</w:t>
      </w:r>
      <w:r>
        <w:rPr>
          <w:rFonts w:hint="eastAsia" w:ascii="仿宋_GB2312" w:hAnsi="仿宋_GB2312" w:eastAsia="仿宋_GB2312" w:cs="仿宋_GB2312"/>
          <w:b w:val="0"/>
          <w:bCs w:val="0"/>
          <w:i w:val="0"/>
          <w:iCs w:val="0"/>
          <w:caps w:val="0"/>
          <w:color w:val="auto"/>
          <w:spacing w:val="0"/>
          <w:sz w:val="32"/>
          <w:szCs w:val="32"/>
          <w:shd w:val="clear" w:fill="FFFFFF"/>
          <w:lang w:val="en-US" w:eastAsia="zh-CN"/>
        </w:rPr>
        <w:t>在民政一体化平台（https//:zwfw.mca.gov.cn）访问“法人服务-社会团体（或民办企业单位）”进入后选择菜单栏中“社会团体年检年报（或民办非企业单位年检年报）”业务中的“在线办理”，待年检系统2025年度检查入口开放后，及时填写2025年度工作报告书。</w:t>
      </w:r>
    </w:p>
    <w:p w14:paraId="365A3421">
      <w:pPr>
        <w:keepNext w:val="0"/>
        <w:keepLines w:val="0"/>
        <w:pageBreakBefore w:val="0"/>
        <w:widowControl w:val="0"/>
        <w:kinsoku/>
        <w:wordWrap/>
        <w:overflowPunct/>
        <w:topLinePunct w:val="0"/>
        <w:autoSpaceDE/>
        <w:autoSpaceDN/>
        <w:bidi w:val="0"/>
        <w:adjustRightInd/>
        <w:snapToGrid/>
        <w:spacing w:line="55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u w:val="single"/>
          <w:lang w:eastAsia="zh-CN"/>
        </w:rPr>
      </w:pPr>
      <w:r>
        <w:rPr>
          <w:rFonts w:hint="eastAsia" w:ascii="仿宋_GB2312" w:hAnsi="仿宋_GB2312" w:eastAsia="仿宋_GB2312" w:cs="仿宋_GB2312"/>
          <w:color w:val="auto"/>
          <w:sz w:val="32"/>
          <w:szCs w:val="32"/>
          <w:u w:val="single"/>
          <w:lang w:eastAsia="zh-CN"/>
        </w:rPr>
        <w:t>注意：年报的“基本信息”栏目中的数据信息与“机构建设情况”和“业务活动情况”两个表存在前后逻辑关联。“会计报表”栏目中的各个会计项目需要手动输入数字，不能粘贴，各个项目都填完整后，然后系统会自动生成“合计”数据。每填完一页后需点击“保存”，再进行下一页，填报完成点击“提交”。提交后将无法修改，系统将自动生成带水印标记的可打印报告。</w:t>
      </w:r>
    </w:p>
    <w:p w14:paraId="5DA7389E">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（三）上传材料（PDF）</w:t>
      </w:r>
    </w:p>
    <w:p w14:paraId="10B61495">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网上填报后，各社会组织需上传由法定代表人签字盖章后的年检报告书首页的扫描PDF格式文件，有业务主管单位的还需上传业务主管单位盖章审核结论页的扫描PDF格式文件，</w:t>
      </w:r>
      <w:r>
        <w:rPr>
          <w:rFonts w:hint="eastAsia" w:ascii="仿宋_GB2312" w:hAnsi="仿宋_GB2312" w:eastAsia="仿宋_GB2312" w:cs="仿宋_GB2312"/>
          <w:b/>
          <w:bCs/>
          <w:color w:val="auto"/>
          <w:sz w:val="32"/>
          <w:szCs w:val="32"/>
          <w:lang w:val="en-US" w:eastAsia="zh-CN" w:bidi="ar-SA"/>
        </w:rPr>
        <w:t>必须有审核人签名和盖章日期，</w:t>
      </w:r>
      <w:r>
        <w:rPr>
          <w:rFonts w:hint="eastAsia" w:ascii="仿宋_GB2312" w:hAnsi="仿宋_GB2312" w:eastAsia="仿宋_GB2312" w:cs="仿宋_GB2312"/>
          <w:color w:val="auto"/>
          <w:sz w:val="32"/>
          <w:szCs w:val="32"/>
          <w:lang w:val="en-US" w:eastAsia="zh-CN" w:bidi="ar-SA"/>
        </w:rPr>
        <w:t>严格落实业务主管单位审查。</w:t>
      </w:r>
    </w:p>
    <w:p w14:paraId="33E9BD5B">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（四）报送纸质材料</w:t>
      </w:r>
    </w:p>
    <w:p w14:paraId="5C224BC5">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仿宋_GB2312" w:hAnsi="仿宋_GB2312" w:eastAsia="仿宋_GB2312" w:cs="仿宋_GB2312"/>
          <w:color w:val="auto"/>
          <w:sz w:val="32"/>
          <w:szCs w:val="32"/>
          <w:lang w:val="en-US" w:eastAsia="zh-CN" w:bidi="ar-SA"/>
        </w:rPr>
        <w:t>1.</w:t>
      </w:r>
      <w:r>
        <w:rPr>
          <w:rFonts w:hint="eastAsia" w:ascii="CESI仿宋-GB2312" w:hAnsi="CESI仿宋-GB2312" w:eastAsia="CESI仿宋-GB2312" w:cs="CESI仿宋-GB2312"/>
          <w:sz w:val="32"/>
          <w:szCs w:val="32"/>
          <w:lang w:val="en-US" w:eastAsia="zh-CN"/>
        </w:rPr>
        <w:t>《2025年度工作报告》一式三份；</w:t>
      </w:r>
    </w:p>
    <w:p w14:paraId="3339BD66">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CESI仿宋-GB2312" w:hAnsi="CESI仿宋-GB2312" w:eastAsia="CESI仿宋-GB2312" w:cs="CESI仿宋-GB2312"/>
          <w:sz w:val="32"/>
          <w:szCs w:val="32"/>
          <w:lang w:val="en-US" w:eastAsia="zh-CN"/>
        </w:rPr>
        <w:t>2.</w:t>
      </w:r>
      <w:r>
        <w:rPr>
          <w:rFonts w:hint="eastAsia" w:ascii="仿宋_GB2312" w:hAnsi="仿宋_GB2312" w:eastAsia="仿宋_GB2312" w:cs="仿宋_GB2312"/>
          <w:color w:val="auto"/>
          <w:sz w:val="32"/>
          <w:szCs w:val="32"/>
          <w:lang w:val="en-US" w:eastAsia="zh-CN" w:bidi="ar-SA"/>
        </w:rPr>
        <w:t>《法人登记证书》副本原件；</w:t>
      </w:r>
    </w:p>
    <w:p w14:paraId="116894A5">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3.2025年度财务审计报告原件1份。</w:t>
      </w:r>
    </w:p>
    <w:p w14:paraId="07009430">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社会组织应当将以上材料于3月31日前向业务主管单位报送年检材料，经业务主管单位出具初审意见后，5月31日前报送至县民政局社会组织和区划地名股，我局对年度工作报告及相关材料进行审核，综合研究确定社会组织2025年度检查情况，结论分为“合格”“基本合格”和“不合格”。对逾期未报送年检纸质材料的社会组织将按照未参加年检处理。</w:t>
      </w:r>
    </w:p>
    <w:p w14:paraId="086A2B60">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（五）信息公开。</w:t>
      </w:r>
    </w:p>
    <w:p w14:paraId="3F17006B">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1.填报单位通过年报系统报送的年度工作报告，将在“中国社会组织网全国社会组织信用信息公示平台”予以公示，接受社会公众监督。同时，填报单位可以通过本组织官方网站向社会公开年度工作报告信息。</w:t>
      </w:r>
    </w:p>
    <w:p w14:paraId="32D780FC">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2.登记管理机关根据需要可将年度工作报告信息向有关部门推送。</w:t>
      </w:r>
    </w:p>
    <w:p w14:paraId="33D17B24">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leftChars="200"/>
        <w:textAlignment w:val="auto"/>
        <w:rPr>
          <w:rFonts w:hint="eastAsia" w:ascii="CESI仿宋-GB2312" w:hAnsi="CESI仿宋-GB2312" w:eastAsia="CESI仿宋-GB2312" w:cs="CESI仿宋-GB2312"/>
          <w:sz w:val="32"/>
          <w:szCs w:val="32"/>
          <w:lang w:val="en-US" w:eastAsia="zh-CN"/>
        </w:rPr>
      </w:pPr>
      <w:r>
        <w:rPr>
          <w:rFonts w:hint="eastAsia" w:ascii="CESI黑体-GB2312" w:hAnsi="CESI黑体-GB2312" w:eastAsia="CESI黑体-GB2312" w:cs="CESI黑体-GB2312"/>
          <w:color w:val="auto"/>
          <w:sz w:val="32"/>
          <w:szCs w:val="32"/>
          <w:lang w:val="en-US" w:eastAsia="zh-CN" w:bidi="ar-SA"/>
        </w:rPr>
        <w:t>四、有关要求</w:t>
      </w:r>
    </w:p>
    <w:p w14:paraId="544A4D66">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（一）接受年度检查是社会组织的法定义务。各社会组织要高度重视年检工作，指定专人负责，严格按照通知要求，认真填写年检材料，自觉接受管</w:t>
      </w:r>
      <w:bookmarkStart w:id="0" w:name="_GoBack"/>
      <w:bookmarkEnd w:id="0"/>
      <w:r>
        <w:rPr>
          <w:rFonts w:hint="eastAsia" w:ascii="仿宋_GB2312" w:hAnsi="仿宋_GB2312" w:eastAsia="仿宋_GB2312" w:cs="仿宋_GB2312"/>
          <w:color w:val="auto"/>
          <w:sz w:val="32"/>
          <w:szCs w:val="32"/>
          <w:lang w:val="en-US" w:eastAsia="zh-CN" w:bidi="ar-SA"/>
        </w:rPr>
        <w:t>理机关、业务主管单位的监督检查。</w:t>
      </w:r>
    </w:p>
    <w:p w14:paraId="24CF192F">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（二）社会团体、民办非企业单位需使用最新版的谷歌浏览器或者360浏览器极速模式进入民政一体化政务服务平台进行填报。严格按照时限要求填报，报送时间截止后，填报系统自动关闭。</w:t>
      </w:r>
    </w:p>
    <w:p w14:paraId="4708618C">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eastAsia="zh-CN" w:bidi="ar-SA"/>
        </w:rPr>
      </w:pPr>
      <w:r>
        <w:rPr>
          <w:rFonts w:hint="eastAsia" w:ascii="仿宋_GB2312" w:hAnsi="仿宋_GB2312" w:eastAsia="仿宋_GB2312" w:cs="仿宋_GB2312"/>
          <w:color w:val="auto"/>
          <w:sz w:val="32"/>
          <w:szCs w:val="32"/>
          <w:lang w:val="en-US" w:eastAsia="zh-CN" w:bidi="ar-SA"/>
        </w:rPr>
        <w:t>（三）社会团体、民办非企业单位发现年度工作报告内容不完整或者有其他不符合要求情形的，在报送截止日期前可以要求进行补充或者修改。年度工作报告</w:t>
      </w:r>
      <w:r>
        <w:rPr>
          <w:rFonts w:hint="eastAsia" w:ascii="仿宋_GB2312" w:hAnsi="仿宋_GB2312" w:eastAsia="仿宋_GB2312" w:cs="仿宋_GB2312"/>
          <w:color w:val="auto"/>
          <w:sz w:val="32"/>
          <w:szCs w:val="32"/>
          <w:lang w:eastAsia="zh-CN" w:bidi="ar-SA"/>
        </w:rPr>
        <w:t>信息公开后，不可以再</w:t>
      </w:r>
      <w:r>
        <w:rPr>
          <w:rFonts w:hint="eastAsia" w:ascii="仿宋_GB2312" w:hAnsi="仿宋_GB2312" w:eastAsia="仿宋_GB2312" w:cs="仿宋_GB2312"/>
          <w:color w:val="auto"/>
          <w:sz w:val="32"/>
          <w:szCs w:val="32"/>
          <w:lang w:val="en-US" w:eastAsia="zh-CN" w:bidi="ar-SA"/>
        </w:rPr>
        <w:t>进</w:t>
      </w:r>
      <w:r>
        <w:rPr>
          <w:rFonts w:hint="eastAsia" w:ascii="仿宋_GB2312" w:hAnsi="仿宋_GB2312" w:eastAsia="仿宋_GB2312" w:cs="仿宋_GB2312"/>
          <w:color w:val="auto"/>
          <w:sz w:val="32"/>
          <w:szCs w:val="32"/>
          <w:lang w:eastAsia="zh-CN" w:bidi="ar-SA"/>
        </w:rPr>
        <w:t>行补充或者修改。</w:t>
      </w:r>
    </w:p>
    <w:p w14:paraId="0A1DBC65">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（四）社会团体、民办非企业单位要专门安排熟悉信息技术的人员负责填报工作，并对年度工作报告的合法性、真实性、完整性、准确性负责。因弄虚作假、数据错漏等所造成的不良后果及法律责任由填报</w:t>
      </w:r>
      <w:r>
        <w:rPr>
          <w:rFonts w:hint="eastAsia" w:ascii="仿宋_GB2312" w:hAnsi="仿宋_GB2312" w:eastAsia="仿宋_GB2312" w:cs="仿宋_GB2312"/>
          <w:color w:val="auto"/>
          <w:sz w:val="32"/>
          <w:szCs w:val="32"/>
          <w:lang w:eastAsia="zh-CN" w:bidi="ar-SA"/>
        </w:rPr>
        <w:t>单位自行承担。</w:t>
      </w:r>
    </w:p>
    <w:p w14:paraId="40B57FD4">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eastAsia="zh-CN" w:bidi="ar-SA"/>
        </w:rPr>
      </w:pPr>
      <w:r>
        <w:rPr>
          <w:rFonts w:hint="eastAsia" w:ascii="仿宋_GB2312" w:hAnsi="仿宋_GB2312" w:eastAsia="仿宋_GB2312" w:cs="仿宋_GB2312"/>
          <w:color w:val="auto"/>
          <w:sz w:val="32"/>
          <w:szCs w:val="32"/>
          <w:lang w:val="en-US" w:eastAsia="zh-CN" w:bidi="ar-SA"/>
        </w:rPr>
        <w:t>（五）业务主管单位要督促所属社会组织认真准备年检材料，按时参加年检，同时做好年检的初审工作，确保应检尽检。</w:t>
      </w:r>
    </w:p>
    <w:p w14:paraId="25CC6DB2">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eastAsia="zh-CN" w:bidi="ar-SA"/>
        </w:rPr>
      </w:pPr>
      <w:r>
        <w:rPr>
          <w:rFonts w:hint="eastAsia" w:ascii="仿宋_GB2312" w:hAnsi="仿宋_GB2312" w:eastAsia="仿宋_GB2312" w:cs="仿宋_GB2312"/>
          <w:color w:val="auto"/>
          <w:sz w:val="32"/>
          <w:szCs w:val="32"/>
          <w:lang w:val="en-US" w:eastAsia="zh-CN" w:bidi="ar-SA"/>
        </w:rPr>
        <w:t>（六）县民政局将对未参加年检的社会组织，根据有关法律规定，视情节给予相应处罚，并纳入“异常名录”或“严重违法失信名单”。</w:t>
      </w:r>
    </w:p>
    <w:p w14:paraId="3F7A7EC9">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bidi="ar-SA"/>
        </w:rPr>
        <w:t>咨询电话：0319-6691701</w:t>
      </w:r>
    </w:p>
    <w:p w14:paraId="0974ADDF">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 w:eastAsia="zh-CN" w:bidi="ar-SA"/>
        </w:rPr>
        <w:t>联</w:t>
      </w:r>
      <w:r>
        <w:rPr>
          <w:rFonts w:hint="eastAsia" w:ascii="仿宋_GB2312" w:hAnsi="仿宋_GB2312" w:eastAsia="仿宋_GB2312" w:cs="仿宋_GB2312"/>
          <w:color w:val="auto"/>
          <w:sz w:val="32"/>
          <w:szCs w:val="32"/>
          <w:lang w:val="en-US" w:eastAsia="zh-CN" w:bidi="ar-SA"/>
        </w:rPr>
        <w:t xml:space="preserve"> </w:t>
      </w:r>
      <w:r>
        <w:rPr>
          <w:rFonts w:hint="eastAsia" w:ascii="仿宋_GB2312" w:hAnsi="仿宋_GB2312" w:eastAsia="仿宋_GB2312" w:cs="仿宋_GB2312"/>
          <w:color w:val="auto"/>
          <w:sz w:val="32"/>
          <w:szCs w:val="32"/>
          <w:lang w:val="en" w:eastAsia="zh-CN" w:bidi="ar-SA"/>
        </w:rPr>
        <w:t>系</w:t>
      </w:r>
      <w:r>
        <w:rPr>
          <w:rFonts w:hint="eastAsia" w:ascii="仿宋_GB2312" w:hAnsi="仿宋_GB2312" w:eastAsia="仿宋_GB2312" w:cs="仿宋_GB2312"/>
          <w:color w:val="auto"/>
          <w:sz w:val="32"/>
          <w:szCs w:val="32"/>
          <w:lang w:val="en-US" w:eastAsia="zh-CN" w:bidi="ar-SA"/>
        </w:rPr>
        <w:t xml:space="preserve"> </w:t>
      </w:r>
      <w:r>
        <w:rPr>
          <w:rFonts w:hint="eastAsia" w:ascii="仿宋_GB2312" w:hAnsi="仿宋_GB2312" w:eastAsia="仿宋_GB2312" w:cs="仿宋_GB2312"/>
          <w:color w:val="auto"/>
          <w:sz w:val="32"/>
          <w:szCs w:val="32"/>
          <w:lang w:val="en" w:eastAsia="zh-CN" w:bidi="ar-SA"/>
        </w:rPr>
        <w:t>人：</w:t>
      </w:r>
      <w:r>
        <w:rPr>
          <w:rFonts w:hint="eastAsia" w:ascii="仿宋_GB2312" w:hAnsi="仿宋_GB2312" w:eastAsia="仿宋_GB2312" w:cs="仿宋_GB2312"/>
          <w:color w:val="auto"/>
          <w:sz w:val="32"/>
          <w:szCs w:val="32"/>
          <w:lang w:val="en-US" w:eastAsia="zh-CN" w:bidi="ar-SA"/>
        </w:rPr>
        <w:t>陈占强</w:t>
      </w:r>
      <w:r>
        <w:rPr>
          <w:rFonts w:hint="eastAsia" w:ascii="仿宋_GB2312" w:hAnsi="仿宋_GB2312" w:eastAsia="仿宋_GB2312" w:cs="仿宋_GB2312"/>
          <w:color w:val="auto"/>
          <w:sz w:val="32"/>
          <w:szCs w:val="32"/>
          <w:lang w:val="en" w:eastAsia="zh-CN" w:bidi="ar-SA"/>
        </w:rPr>
        <w:t>、</w:t>
      </w:r>
      <w:r>
        <w:rPr>
          <w:rFonts w:hint="eastAsia" w:ascii="仿宋_GB2312" w:hAnsi="仿宋_GB2312" w:eastAsia="仿宋_GB2312" w:cs="仿宋_GB2312"/>
          <w:color w:val="auto"/>
          <w:sz w:val="32"/>
          <w:szCs w:val="32"/>
          <w:lang w:val="en-US" w:eastAsia="zh-CN" w:bidi="ar-SA"/>
        </w:rPr>
        <w:t>武东亚</w:t>
      </w:r>
      <w:r>
        <w:rPr>
          <w:rFonts w:hint="eastAsia" w:ascii="仿宋_GB2312" w:hAnsi="仿宋_GB2312" w:eastAsia="仿宋_GB2312" w:cs="仿宋_GB2312"/>
          <w:color w:val="auto"/>
          <w:sz w:val="32"/>
          <w:szCs w:val="32"/>
          <w:lang w:val="en" w:eastAsia="zh-CN" w:bidi="ar-SA"/>
        </w:rPr>
        <w:t>、</w:t>
      </w:r>
      <w:r>
        <w:rPr>
          <w:rFonts w:hint="eastAsia" w:ascii="仿宋_GB2312" w:hAnsi="仿宋_GB2312" w:eastAsia="仿宋_GB2312" w:cs="仿宋_GB2312"/>
          <w:color w:val="auto"/>
          <w:sz w:val="32"/>
          <w:szCs w:val="32"/>
          <w:lang w:val="en-US" w:eastAsia="zh-CN" w:bidi="ar-SA"/>
        </w:rPr>
        <w:t>吴茜</w:t>
      </w:r>
    </w:p>
    <w:p w14:paraId="5408E69B">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640" w:firstLineChars="200"/>
        <w:textAlignment w:val="auto"/>
        <w:rPr>
          <w:rFonts w:hint="eastAsia" w:ascii="仿宋_GB2312" w:hAnsi="仿宋_GB2312" w:eastAsia="仿宋_GB2312" w:cs="仿宋_GB2312"/>
          <w:color w:val="auto"/>
          <w:sz w:val="32"/>
          <w:szCs w:val="32"/>
          <w:lang w:eastAsia="zh-CN" w:bidi="ar-SA"/>
        </w:rPr>
      </w:pPr>
      <w:r>
        <w:rPr>
          <w:rFonts w:hint="eastAsia" w:ascii="仿宋_GB2312" w:hAnsi="仿宋_GB2312" w:eastAsia="仿宋_GB2312" w:cs="仿宋_GB2312"/>
          <w:color w:val="auto"/>
          <w:sz w:val="32"/>
          <w:szCs w:val="32"/>
          <w:lang w:val="en-US" w:eastAsia="zh-CN" w:bidi="ar-SA"/>
        </w:rPr>
        <w:t>报送地址：隆尧县象城街165号（隆尧县民政局社会组织和区划地名股）</w:t>
      </w:r>
    </w:p>
    <w:p w14:paraId="7B721D43">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left="1918" w:leftChars="304" w:hanging="1280" w:hangingChars="400"/>
        <w:textAlignment w:val="auto"/>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附件：1.</w:t>
      </w:r>
      <w:r>
        <w:rPr>
          <w:rFonts w:hint="eastAsia" w:ascii="仿宋_GB2312" w:hAnsi="仿宋_GB2312" w:eastAsia="仿宋_GB2312" w:cs="仿宋_GB2312"/>
          <w:sz w:val="32"/>
          <w:szCs w:val="32"/>
          <w:lang w:val="en-US" w:eastAsia="zh-CN" w:bidi="ar-SA"/>
        </w:rPr>
        <w:t>县属</w:t>
      </w:r>
      <w:r>
        <w:rPr>
          <w:rFonts w:hint="eastAsia" w:ascii="仿宋_GB2312" w:hAnsi="仿宋_GB2312" w:eastAsia="仿宋_GB2312" w:cs="仿宋_GB2312"/>
          <w:sz w:val="32"/>
          <w:szCs w:val="32"/>
          <w:lang w:eastAsia="zh-CN" w:bidi="ar-SA"/>
        </w:rPr>
        <w:t>社会团体和民办非企业单位年度报告</w:t>
      </w:r>
      <w:r>
        <w:rPr>
          <w:rFonts w:hint="eastAsia" w:ascii="仿宋_GB2312" w:hAnsi="仿宋_GB2312" w:eastAsia="仿宋_GB2312" w:cs="仿宋_GB2312"/>
          <w:sz w:val="32"/>
          <w:szCs w:val="32"/>
          <w:lang w:bidi="ar-SA"/>
        </w:rPr>
        <w:t>填报</w:t>
      </w:r>
    </w:p>
    <w:p w14:paraId="1A3FE9F7">
      <w:pPr>
        <w:keepNext w:val="0"/>
        <w:keepLines w:val="0"/>
        <w:pageBreakBefore w:val="0"/>
        <w:widowControl w:val="0"/>
        <w:kinsoku/>
        <w:wordWrap/>
        <w:overflowPunct/>
        <w:topLinePunct w:val="0"/>
        <w:autoSpaceDE/>
        <w:autoSpaceDN/>
        <w:bidi w:val="0"/>
        <w:adjustRightInd/>
        <w:snapToGrid/>
        <w:spacing w:beforeAutospacing="0" w:afterAutospacing="0" w:line="550" w:lineRule="exact"/>
        <w:ind w:firstLine="1920" w:firstLineChars="600"/>
        <w:textAlignment w:val="auto"/>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流程图</w:t>
      </w:r>
    </w:p>
    <w:p w14:paraId="55897BE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firstLine="1600" w:firstLineChars="500"/>
        <w:textAlignment w:val="auto"/>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2.民政一体化平台注册指南</w:t>
      </w:r>
    </w:p>
    <w:p w14:paraId="3F818613">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left="1916" w:leftChars="760" w:hanging="320" w:hangingChars="100"/>
        <w:textAlignment w:val="auto"/>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val="en-US" w:eastAsia="zh-CN" w:bidi="ar-SA"/>
        </w:rPr>
        <w:t>3.社会团体2025年度工作报告书填报指南（图文版）</w:t>
      </w:r>
    </w:p>
    <w:p w14:paraId="293FF0B2">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left="1916" w:leftChars="760" w:hanging="320" w:hangingChars="100"/>
        <w:textAlignment w:val="auto"/>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4.民办非企业单位2025年度工作报告书填报指南（图文版）</w:t>
      </w:r>
    </w:p>
    <w:p w14:paraId="1D39919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textAlignment w:val="auto"/>
        <w:rPr>
          <w:rFonts w:hint="eastAsia" w:ascii="仿宋_GB2312" w:hAnsi="仿宋_GB2312" w:eastAsia="仿宋_GB2312" w:cs="仿宋_GB2312"/>
          <w:sz w:val="32"/>
          <w:szCs w:val="32"/>
          <w:lang w:val="en-US" w:eastAsia="zh-CN" w:bidi="ar-SA"/>
        </w:rPr>
      </w:pPr>
    </w:p>
    <w:p w14:paraId="431F4D1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firstLine="6080" w:firstLineChars="1900"/>
        <w:textAlignment w:val="auto"/>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隆尧县民政局</w:t>
      </w:r>
    </w:p>
    <w:p w14:paraId="220D067F">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50" w:lineRule="exact"/>
        <w:ind w:firstLine="6080" w:firstLineChars="1900"/>
        <w:textAlignment w:val="auto"/>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2026年1月20日</w:t>
      </w:r>
    </w:p>
    <w:p w14:paraId="20B776EE">
      <w:pPr>
        <w:keepNext w:val="0"/>
        <w:keepLines w:val="0"/>
        <w:pageBreakBefore w:val="0"/>
        <w:widowControl w:val="0"/>
        <w:kinsoku/>
        <w:wordWrap/>
        <w:overflowPunct/>
        <w:topLinePunct w:val="0"/>
        <w:autoSpaceDE/>
        <w:autoSpaceDN/>
        <w:bidi w:val="0"/>
        <w:adjustRightInd/>
        <w:snapToGrid/>
        <w:spacing w:beforeAutospacing="0" w:afterAutospacing="0" w:line="550" w:lineRule="exact"/>
        <w:textAlignment w:val="auto"/>
        <w:rPr>
          <w:rFonts w:hint="eastAsia" w:ascii="仿宋_GB2312" w:hAnsi="仿宋_GB2312" w:eastAsia="仿宋_GB2312" w:cs="仿宋_GB2312"/>
          <w:color w:val="auto"/>
          <w:sz w:val="32"/>
          <w:szCs w:val="32"/>
          <w:lang w:val="en-US" w:eastAsia="zh-CN" w:bidi="ar-SA"/>
        </w:rPr>
      </w:pPr>
    </w:p>
    <w:tbl>
      <w:tblPr>
        <w:tblStyle w:val="6"/>
        <w:tblpPr w:leftFromText="181" w:rightFromText="181" w:vertAnchor="page" w:horzAnchor="page" w:tblpX="1583" w:tblpY="13996"/>
        <w:tblOverlap w:val="never"/>
        <w:tblW w:w="0" w:type="auto"/>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9061"/>
      </w:tblGrid>
      <w:tr w14:paraId="7AC9EB0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527" w:hRule="atLeast"/>
        </w:trPr>
        <w:tc>
          <w:tcPr>
            <w:tcW w:w="9061" w:type="dxa"/>
            <w:tcBorders>
              <w:tl2br w:val="nil"/>
              <w:tr2bl w:val="nil"/>
            </w:tcBorders>
            <w:vAlign w:val="center"/>
          </w:tcPr>
          <w:p w14:paraId="5C86FA7D">
            <w:pPr>
              <w:keepNext w:val="0"/>
              <w:keepLines w:val="0"/>
              <w:pageBreakBefore w:val="0"/>
              <w:widowControl w:val="0"/>
              <w:kinsoku/>
              <w:overflowPunct/>
              <w:topLinePunct w:val="0"/>
              <w:autoSpaceDE/>
              <w:autoSpaceDN/>
              <w:bidi w:val="0"/>
              <w:adjustRightInd/>
              <w:snapToGrid/>
              <w:spacing w:line="560" w:lineRule="atLeast"/>
              <w:ind w:firstLine="280" w:firstLineChars="100"/>
              <w:jc w:val="both"/>
              <w:textAlignment w:val="auto"/>
              <w:rPr>
                <w:rFonts w:hint="default" w:eastAsiaTheme="minorEastAsia"/>
                <w:vertAlign w:val="baseline"/>
                <w:lang w:val="en-US" w:eastAsia="zh-CN"/>
              </w:rPr>
            </w:pPr>
            <w:r>
              <w:rPr>
                <w:rFonts w:hint="eastAsia" w:ascii="仿宋_GB2312" w:hAnsi="仿宋_GB2312" w:eastAsia="仿宋_GB2312" w:cs="仿宋_GB2312"/>
                <w:sz w:val="28"/>
                <w:szCs w:val="28"/>
                <w:vertAlign w:val="baseline"/>
                <w:lang w:val="en-US" w:eastAsia="zh-CN"/>
              </w:rPr>
              <w:t>隆尧县</w:t>
            </w:r>
            <w:r>
              <w:rPr>
                <w:rFonts w:hint="eastAsia" w:ascii="仿宋_GB2312" w:hAnsi="仿宋_GB2312" w:eastAsia="仿宋_GB2312" w:cs="仿宋_GB2312"/>
                <w:sz w:val="28"/>
                <w:szCs w:val="28"/>
                <w:vertAlign w:val="baseline"/>
                <w:lang w:eastAsia="zh-CN"/>
              </w:rPr>
              <w:t>民政局办公室</w:t>
            </w:r>
            <w:r>
              <w:rPr>
                <w:rFonts w:hint="eastAsia" w:ascii="仿宋_GB2312" w:hAnsi="仿宋_GB2312" w:eastAsia="仿宋_GB2312" w:cs="仿宋_GB2312"/>
                <w:sz w:val="28"/>
                <w:szCs w:val="28"/>
                <w:vertAlign w:val="baseline"/>
                <w:lang w:val="en-US" w:eastAsia="zh-CN"/>
              </w:rPr>
              <w:t xml:space="preserve">                       2026年1月20日印发</w:t>
            </w:r>
          </w:p>
        </w:tc>
      </w:tr>
    </w:tbl>
    <w:p w14:paraId="15109AD4">
      <w:pPr>
        <w:keepNext w:val="0"/>
        <w:keepLines w:val="0"/>
        <w:pageBreakBefore w:val="0"/>
        <w:widowControl w:val="0"/>
        <w:kinsoku/>
        <w:wordWrap/>
        <w:overflowPunct/>
        <w:topLinePunct w:val="0"/>
        <w:autoSpaceDE/>
        <w:autoSpaceDN/>
        <w:bidi w:val="0"/>
        <w:adjustRightInd/>
        <w:snapToGrid/>
        <w:spacing w:beforeAutospacing="0" w:afterAutospacing="0" w:line="550" w:lineRule="exact"/>
        <w:textAlignment w:val="auto"/>
        <w:rPr>
          <w:rFonts w:hint="eastAsia" w:ascii="仿宋_GB2312" w:hAnsi="仿宋_GB2312" w:eastAsia="仿宋_GB2312" w:cs="仿宋_GB2312"/>
          <w:color w:val="auto"/>
          <w:sz w:val="32"/>
          <w:szCs w:val="32"/>
          <w:lang w:val="en-US" w:eastAsia="zh-CN" w:bidi="ar-SA"/>
        </w:rPr>
        <w:sectPr>
          <w:footerReference r:id="rId3" w:type="default"/>
          <w:pgSz w:w="11906" w:h="16838"/>
          <w:pgMar w:top="1984" w:right="1474" w:bottom="2098" w:left="1587" w:header="851" w:footer="992" w:gutter="0"/>
          <w:pgNumType w:fmt="decimal"/>
          <w:cols w:space="0" w:num="1"/>
          <w:rtlGutter w:val="0"/>
          <w:docGrid w:type="lines" w:linePitch="312" w:charSpace="0"/>
        </w:sectPr>
      </w:pPr>
    </w:p>
    <w:p w14:paraId="3D451D2A">
      <w:pPr>
        <w:keepNext w:val="0"/>
        <w:keepLines w:val="0"/>
        <w:pageBreakBefore w:val="0"/>
        <w:numPr>
          <w:ilvl w:val="0"/>
          <w:numId w:val="0"/>
        </w:numPr>
        <w:kinsoku/>
        <w:wordWrap/>
        <w:overflowPunct/>
        <w:topLinePunct w:val="0"/>
        <w:autoSpaceDE/>
        <w:autoSpaceDN/>
        <w:bidi w:val="0"/>
        <w:adjustRightInd/>
        <w:snapToGrid/>
        <w:spacing w:beforeAutospacing="0" w:afterAutospacing="0" w:line="560" w:lineRule="exact"/>
        <w:textAlignment w:val="auto"/>
        <w:rPr>
          <w:rFonts w:hint="default" w:ascii="仿宋_GB2312" w:hAnsi="仿宋_GB2312" w:eastAsia="仿宋_GB2312" w:cs="仿宋_GB2312"/>
          <w:sz w:val="32"/>
          <w:szCs w:val="32"/>
          <w:lang w:val="en-US" w:eastAsia="zh-CN" w:bidi="ar-SA"/>
        </w:rPr>
      </w:pPr>
    </w:p>
    <w:sectPr>
      <w:footerReference r:id="rId4" w:type="default"/>
      <w:pgSz w:w="11906" w:h="16838"/>
      <w:pgMar w:top="1984" w:right="1474" w:bottom="2098"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小标宋简体">
    <w:altName w:val="方正舒体"/>
    <w:panose1 w:val="02000000000000000000"/>
    <w:charset w:val="86"/>
    <w:family w:val="auto"/>
    <w:pitch w:val="default"/>
    <w:sig w:usb0="00000000" w:usb1="00000000" w:usb2="00000012" w:usb3="00000000" w:csb0="00040001" w:csb1="00000000"/>
  </w:font>
  <w:font w:name="方正舒体">
    <w:panose1 w:val="02010601030101010101"/>
    <w:charset w:val="86"/>
    <w:family w:val="auto"/>
    <w:pitch w:val="default"/>
    <w:sig w:usb0="00000003" w:usb1="080E0000" w:usb2="00000000" w:usb3="00000000" w:csb0="00040000" w:csb1="00000000"/>
  </w:font>
  <w:font w:name="CESI黑体-GB2312">
    <w:altName w:val="黑体"/>
    <w:panose1 w:val="02000500000000000000"/>
    <w:charset w:val="86"/>
    <w:family w:val="auto"/>
    <w:pitch w:val="default"/>
    <w:sig w:usb0="00000000" w:usb1="00000000" w:usb2="00000012" w:usb3="00000000" w:csb0="0004000F" w:csb1="00000000"/>
  </w:font>
  <w:font w:name="CESI仿宋-GB2312">
    <w:altName w:val="仿宋"/>
    <w:panose1 w:val="02000500000000000000"/>
    <w:charset w:val="86"/>
    <w:family w:val="auto"/>
    <w:pitch w:val="default"/>
    <w:sig w:usb0="00000000" w:usb1="00000000" w:usb2="00000010" w:usb3="00000000" w:csb0="0004000F" w:csb1="00000000"/>
  </w:font>
  <w:font w:name="KSOF557087D0">
    <w:panose1 w:val="02000500000000000000"/>
    <w:charset w:val="86"/>
    <w:family w:val="auto"/>
    <w:pitch w:val="default"/>
    <w:sig w:usb0="00000001"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2AD74">
    <w:pPr>
      <w:pStyle w:val="2"/>
      <w:rPr>
        <w:rFonts w:hint="eastAsia" w:ascii="宋体" w:hAnsi="宋体" w:eastAsia="宋体" w:cs="宋体"/>
        <w:sz w:val="28"/>
        <w:szCs w:val="28"/>
        <w:lang w:eastAsia="zh-CN"/>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1ED755">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221ED755">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p w14:paraId="49510678">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9893F">
    <w:pPr>
      <w:pStyle w:val="2"/>
      <w:rPr>
        <w:rFonts w:hint="eastAsia" w:ascii="宋体" w:hAnsi="宋体" w:eastAsia="宋体" w:cs="宋体"/>
        <w:sz w:val="28"/>
        <w:szCs w:val="28"/>
        <w:lang w:eastAsia="zh-CN"/>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35BD64">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14:paraId="5235BD64">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p w14:paraId="25929F6D">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wZTllMzc2MTQwZWQzZGM0YjcxYTcyNGQzMTM5MDgifQ=="/>
  </w:docVars>
  <w:rsids>
    <w:rsidRoot w:val="12806346"/>
    <w:rsid w:val="034A70E5"/>
    <w:rsid w:val="04533BCE"/>
    <w:rsid w:val="04867317"/>
    <w:rsid w:val="0886622F"/>
    <w:rsid w:val="0EFFF5AF"/>
    <w:rsid w:val="12806346"/>
    <w:rsid w:val="19644C94"/>
    <w:rsid w:val="1ECC0E79"/>
    <w:rsid w:val="1FFD206D"/>
    <w:rsid w:val="221F185B"/>
    <w:rsid w:val="2ACA5A6A"/>
    <w:rsid w:val="2F7815DF"/>
    <w:rsid w:val="37A55D62"/>
    <w:rsid w:val="3DFF308F"/>
    <w:rsid w:val="3ED798EA"/>
    <w:rsid w:val="40BE527F"/>
    <w:rsid w:val="4D0F1FC6"/>
    <w:rsid w:val="4EC752C2"/>
    <w:rsid w:val="4F8D0802"/>
    <w:rsid w:val="51FF3DC6"/>
    <w:rsid w:val="53E9AF7D"/>
    <w:rsid w:val="55A97544"/>
    <w:rsid w:val="5B8F1B92"/>
    <w:rsid w:val="5D7577CA"/>
    <w:rsid w:val="5F5DB1EB"/>
    <w:rsid w:val="67FFA00C"/>
    <w:rsid w:val="68D9773D"/>
    <w:rsid w:val="693C7E15"/>
    <w:rsid w:val="6E263896"/>
    <w:rsid w:val="6F3F0B11"/>
    <w:rsid w:val="6F4B442E"/>
    <w:rsid w:val="72D51FDA"/>
    <w:rsid w:val="73120391"/>
    <w:rsid w:val="76D46153"/>
    <w:rsid w:val="77BF73A1"/>
    <w:rsid w:val="78BB1A2A"/>
    <w:rsid w:val="7AFD59BB"/>
    <w:rsid w:val="7B5BE966"/>
    <w:rsid w:val="7B5D74EA"/>
    <w:rsid w:val="7BCFB5F6"/>
    <w:rsid w:val="7C0345F3"/>
    <w:rsid w:val="7C9FA429"/>
    <w:rsid w:val="7DB37495"/>
    <w:rsid w:val="7DD0C70E"/>
    <w:rsid w:val="7E773402"/>
    <w:rsid w:val="7FCBC4D5"/>
    <w:rsid w:val="7FDD7772"/>
    <w:rsid w:val="7FFDCA59"/>
    <w:rsid w:val="89BB237E"/>
    <w:rsid w:val="9FDC8E55"/>
    <w:rsid w:val="B6AEEB97"/>
    <w:rsid w:val="BB6F7DB1"/>
    <w:rsid w:val="CEAC7A96"/>
    <w:rsid w:val="DDBDDD6B"/>
    <w:rsid w:val="DFE6D263"/>
    <w:rsid w:val="E64FD7E7"/>
    <w:rsid w:val="E7B2B1AF"/>
    <w:rsid w:val="F4BF6E58"/>
    <w:rsid w:val="F77D504A"/>
    <w:rsid w:val="FAEB3138"/>
    <w:rsid w:val="FD76C1F3"/>
    <w:rsid w:val="FEE22A85"/>
    <w:rsid w:val="FEFFAD83"/>
    <w:rsid w:val="FF8AEBC8"/>
    <w:rsid w:val="FFEB3A72"/>
    <w:rsid w:val="FFFAA2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autoRedefine/>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1088</Words>
  <Characters>1171</Characters>
  <Lines>0</Lines>
  <Paragraphs>0</Paragraphs>
  <TotalTime>12</TotalTime>
  <ScaleCrop>false</ScaleCrop>
  <LinksUpToDate>false</LinksUpToDate>
  <CharactersWithSpaces>1171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2023-04-08T19:06:00Z</dcterms:created>
  <dc:creator>ps1711304</dc:creator>
  <cp:lastModifiedBy>丁字沽片儿警</cp:lastModifiedBy>
  <cp:lastPrinted>2026-01-20T08:05:35Z</cp:lastPrinted>
  <dcterms:modified xsi:type="dcterms:W3CDTF">2026-01-20T08:06:03Z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2B943CC032E84AC191C804C753EFB4C7</vt:lpwstr>
  </property>
  <property fmtid="{D5CDD505-2E9C-101B-9397-08002B2CF9AE}" pid="4" name="KSOTemplateDocerSaveRecord">
    <vt:lpwstr>eyJoZGlkIjoiODkwZTllMzc2MTQwZWQzZGM0YjcxYTcyNGQzMTM5MDgiLCJ1c2VySWQiOiIxMTU4MDYwMzQ5In0=</vt:lpwstr>
  </property>
</Properties>
</file>