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424242"/>
          <w:kern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olor w:val="424242"/>
          <w:kern w:val="0"/>
          <w:sz w:val="44"/>
          <w:szCs w:val="44"/>
        </w:rPr>
        <w:t>国家税务总局隆尧县税务局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ascii="inherit" w:hAnsi="inherit" w:eastAsia="微软雅黑" w:cs="宋体"/>
          <w:color w:val="424242"/>
          <w:kern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olor w:val="424242"/>
          <w:kern w:val="0"/>
          <w:sz w:val="44"/>
          <w:szCs w:val="44"/>
        </w:rPr>
        <w:t>202</w:t>
      </w:r>
      <w:r>
        <w:rPr>
          <w:rFonts w:hint="eastAsia" w:ascii="方正小标宋简体" w:hAnsi="方正小标宋简体" w:eastAsia="方正小标宋简体" w:cs="方正小标宋简体"/>
          <w:color w:val="424242"/>
          <w:kern w:val="0"/>
          <w:sz w:val="44"/>
          <w:szCs w:val="44"/>
          <w:lang w:val="en-US" w:eastAsia="zh-CN"/>
        </w:rPr>
        <w:t>3</w:t>
      </w:r>
      <w:r>
        <w:rPr>
          <w:rFonts w:hint="eastAsia" w:ascii="方正小标宋简体" w:hAnsi="方正小标宋简体" w:eastAsia="方正小标宋简体" w:cs="方正小标宋简体"/>
          <w:color w:val="424242"/>
          <w:kern w:val="0"/>
          <w:sz w:val="44"/>
          <w:szCs w:val="44"/>
        </w:rPr>
        <w:t>年政府信息公开工</w:t>
      </w:r>
      <w:r>
        <w:rPr>
          <w:rFonts w:hint="eastAsia" w:ascii="方正小标宋简体" w:hAnsi="方正小标宋简体" w:eastAsia="方正小标宋简体" w:cs="方正小标宋简体"/>
          <w:color w:val="424242"/>
          <w:kern w:val="0"/>
          <w:sz w:val="44"/>
          <w:szCs w:val="44"/>
          <w:highlight w:val="none"/>
        </w:rPr>
        <w:t>作</w:t>
      </w:r>
      <w:r>
        <w:rPr>
          <w:rFonts w:hint="eastAsia" w:ascii="方正小标宋简体" w:hAnsi="方正小标宋简体" w:eastAsia="方正小标宋简体" w:cs="方正小标宋简体"/>
          <w:color w:val="424242"/>
          <w:kern w:val="0"/>
          <w:sz w:val="44"/>
          <w:szCs w:val="44"/>
          <w:lang w:eastAsia="zh-CN"/>
        </w:rPr>
        <w:t>年度</w:t>
      </w:r>
      <w:r>
        <w:rPr>
          <w:rFonts w:hint="eastAsia" w:ascii="方正小标宋简体" w:hAnsi="方正小标宋简体" w:eastAsia="方正小标宋简体" w:cs="方正小标宋简体"/>
          <w:color w:val="424242"/>
          <w:kern w:val="0"/>
          <w:sz w:val="44"/>
          <w:szCs w:val="44"/>
          <w:highlight w:val="none"/>
        </w:rPr>
        <w:t>报</w:t>
      </w:r>
      <w:r>
        <w:rPr>
          <w:rFonts w:hint="eastAsia" w:ascii="方正小标宋简体" w:hAnsi="方正小标宋简体" w:eastAsia="方正小标宋简体" w:cs="方正小标宋简体"/>
          <w:color w:val="424242"/>
          <w:kern w:val="0"/>
          <w:sz w:val="44"/>
          <w:szCs w:val="44"/>
        </w:rPr>
        <w:t>告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beforeAutospacing="0" w:line="560" w:lineRule="exact"/>
        <w:jc w:val="left"/>
        <w:textAlignment w:val="auto"/>
        <w:rPr>
          <w:rFonts w:hint="eastAsia" w:ascii="黑体" w:hAnsi="黑体" w:eastAsia="黑体" w:cs="黑体"/>
          <w:color w:val="424242"/>
          <w:kern w:val="0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beforeAutospacing="0" w:line="380" w:lineRule="exact"/>
        <w:ind w:firstLine="480" w:firstLineChars="200"/>
        <w:jc w:val="left"/>
        <w:textAlignment w:val="auto"/>
        <w:rPr>
          <w:rFonts w:hint="default" w:ascii="黑体" w:hAnsi="黑体" w:eastAsia="黑体" w:cs="黑体"/>
          <w:color w:val="424242"/>
          <w:kern w:val="0"/>
          <w:sz w:val="24"/>
          <w:szCs w:val="24"/>
          <w:lang w:val="en"/>
        </w:rPr>
      </w:pPr>
      <w:r>
        <w:rPr>
          <w:rFonts w:hint="eastAsia" w:ascii="黑体" w:hAnsi="黑体" w:eastAsia="黑体" w:cs="黑体"/>
          <w:color w:val="424242"/>
          <w:kern w:val="0"/>
          <w:sz w:val="24"/>
          <w:szCs w:val="24"/>
          <w:lang w:eastAsia="zh-CN"/>
        </w:rPr>
        <w:t>一、</w:t>
      </w:r>
      <w:r>
        <w:rPr>
          <w:rFonts w:hint="eastAsia" w:ascii="黑体" w:hAnsi="黑体" w:eastAsia="黑体" w:cs="黑体"/>
          <w:color w:val="424242"/>
          <w:kern w:val="0"/>
          <w:sz w:val="24"/>
          <w:szCs w:val="24"/>
        </w:rPr>
        <w:t>总体情况</w:t>
      </w:r>
      <w:r>
        <w:rPr>
          <w:rFonts w:hint="default" w:ascii="黑体" w:hAnsi="黑体" w:eastAsia="黑体" w:cs="黑体"/>
          <w:color w:val="424242"/>
          <w:kern w:val="0"/>
          <w:sz w:val="24"/>
          <w:szCs w:val="24"/>
          <w:lang w:val="en"/>
        </w:rPr>
        <w:tab/>
      </w:r>
    </w:p>
    <w:p>
      <w:pPr>
        <w:pStyle w:val="2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80" w:lineRule="exact"/>
        <w:ind w:left="0" w:right="0" w:firstLine="480" w:firstLineChars="200"/>
        <w:jc w:val="both"/>
        <w:textAlignment w:val="auto"/>
        <w:rPr>
          <w:rFonts w:hint="eastAsia" w:asciiTheme="minorEastAsia" w:hAnsiTheme="minorEastAsia" w:eastAsiaTheme="minorEastAsia" w:cstheme="minorEastAsia"/>
          <w:sz w:val="24"/>
          <w:szCs w:val="24"/>
          <w:lang w:eastAsia="zh-CN"/>
        </w:rPr>
      </w:pPr>
      <w:r>
        <w:rPr>
          <w:rFonts w:hint="eastAsia" w:asciiTheme="minorEastAsia" w:hAnsiTheme="minorEastAsia" w:eastAsiaTheme="minorEastAsia" w:cstheme="minorEastAsia"/>
          <w:i w:val="0"/>
          <w:caps w:val="0"/>
          <w:color w:val="333333"/>
          <w:spacing w:val="0"/>
          <w:sz w:val="24"/>
          <w:szCs w:val="24"/>
        </w:rPr>
        <w:t>202</w:t>
      </w:r>
      <w:r>
        <w:rPr>
          <w:rFonts w:hint="eastAsia" w:asciiTheme="minorEastAsia" w:hAnsiTheme="minorEastAsia" w:eastAsiaTheme="minorEastAsia" w:cstheme="minorEastAsia"/>
          <w:i w:val="0"/>
          <w:caps w:val="0"/>
          <w:color w:val="333333"/>
          <w:spacing w:val="0"/>
          <w:sz w:val="24"/>
          <w:szCs w:val="24"/>
          <w:lang w:val="en-US" w:eastAsia="zh-CN"/>
        </w:rPr>
        <w:t>3</w:t>
      </w:r>
      <w:r>
        <w:rPr>
          <w:rFonts w:hint="eastAsia" w:asciiTheme="minorEastAsia" w:hAnsiTheme="minorEastAsia" w:eastAsiaTheme="minorEastAsia" w:cstheme="minorEastAsia"/>
          <w:i w:val="0"/>
          <w:caps w:val="0"/>
          <w:color w:val="333333"/>
          <w:spacing w:val="0"/>
          <w:sz w:val="24"/>
          <w:szCs w:val="24"/>
        </w:rPr>
        <w:t>年，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eastAsia="zh-CN"/>
        </w:rPr>
        <w:t>我局严格按照《中华人民共和国政府信息公开条例》及省、市局政府信息公开部署要求，积极推进各项重大决策部署的实施，认真落实信息公开工作要点，紧密结合税收工作实际，不断规范和加大信息公开力度，不断推进行政权力</w:t>
      </w:r>
      <w:bookmarkStart w:id="0" w:name="_GoBack"/>
      <w:bookmarkEnd w:id="0"/>
      <w:r>
        <w:rPr>
          <w:rFonts w:hint="eastAsia" w:asciiTheme="minorEastAsia" w:hAnsiTheme="minorEastAsia" w:eastAsiaTheme="minorEastAsia" w:cstheme="minorEastAsia"/>
          <w:sz w:val="24"/>
          <w:szCs w:val="24"/>
          <w:lang w:eastAsia="zh-CN"/>
        </w:rPr>
        <w:t>公开透明运行，保障人民群众对税收工作的知情权、参与权与监督权。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beforeAutospacing="0" w:line="380" w:lineRule="exact"/>
        <w:ind w:firstLine="480" w:firstLineChars="200"/>
        <w:jc w:val="left"/>
        <w:textAlignment w:val="auto"/>
        <w:rPr>
          <w:rFonts w:hint="eastAsia" w:ascii="楷体_GB2312" w:hAnsi="楷体_GB2312" w:eastAsia="楷体_GB2312" w:cs="楷体_GB2312"/>
          <w:b w:val="0"/>
          <w:bCs w:val="0"/>
          <w:sz w:val="24"/>
          <w:szCs w:val="24"/>
        </w:rPr>
      </w:pPr>
      <w:r>
        <w:rPr>
          <w:rFonts w:hint="eastAsia" w:ascii="楷体_GB2312" w:hAnsi="楷体_GB2312" w:eastAsia="楷体_GB2312" w:cs="楷体_GB2312"/>
          <w:b w:val="0"/>
          <w:bCs w:val="0"/>
          <w:sz w:val="24"/>
          <w:szCs w:val="24"/>
          <w:lang w:eastAsia="zh-CN"/>
        </w:rPr>
        <w:t>（一）主动公开情况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overflowPunct/>
        <w:topLinePunct w:val="0"/>
        <w:autoSpaceDE/>
        <w:autoSpaceDN/>
        <w:bidi w:val="0"/>
        <w:adjustRightInd/>
        <w:spacing w:before="0" w:beforeAutospacing="0" w:after="0" w:afterAutospacing="0" w:line="380" w:lineRule="exact"/>
        <w:ind w:left="0" w:right="0" w:firstLine="640"/>
        <w:jc w:val="both"/>
        <w:textAlignment w:val="auto"/>
        <w:rPr>
          <w:rFonts w:hint="eastAsia" w:asciiTheme="minorEastAsia" w:hAnsiTheme="minorEastAsia" w:eastAsiaTheme="minorEastAsia" w:cstheme="minorEastAsia"/>
          <w:b w:val="0"/>
          <w:bCs w:val="0"/>
          <w:i w:val="0"/>
          <w:iCs w:val="0"/>
          <w:caps w:val="0"/>
          <w:color w:val="000000"/>
          <w:spacing w:val="0"/>
          <w:sz w:val="24"/>
          <w:szCs w:val="24"/>
          <w:shd w:val="clear" w:color="auto" w:fill="FFFFFF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i w:val="0"/>
          <w:iCs w:val="0"/>
          <w:caps w:val="0"/>
          <w:color w:val="000000"/>
          <w:spacing w:val="0"/>
          <w:sz w:val="24"/>
          <w:szCs w:val="24"/>
          <w:shd w:val="clear" w:color="auto" w:fill="FFFFFF"/>
        </w:rPr>
        <w:t>紧紧围绕税收中心工作，不断拓展政务公开的深度、广度，围绕重点信息，以公开促落实，按照政府信息公开要求，做到应公开尽公开，确保信息公开的及时性。</w:t>
      </w:r>
      <w:r>
        <w:rPr>
          <w:rFonts w:hint="eastAsia" w:asciiTheme="minorEastAsia" w:hAnsiTheme="minorEastAsia" w:eastAsiaTheme="minorEastAsia" w:cstheme="minorEastAsia"/>
          <w:b w:val="0"/>
          <w:bCs w:val="0"/>
          <w:i w:val="0"/>
          <w:iCs w:val="0"/>
          <w:caps w:val="0"/>
          <w:color w:val="000000"/>
          <w:spacing w:val="0"/>
          <w:sz w:val="24"/>
          <w:szCs w:val="24"/>
          <w:shd w:val="clear" w:color="auto" w:fill="FFFFFF"/>
          <w:lang w:eastAsia="zh-CN"/>
        </w:rPr>
        <w:t>截止到</w:t>
      </w:r>
      <w:r>
        <w:rPr>
          <w:rFonts w:hint="eastAsia" w:asciiTheme="minorEastAsia" w:hAnsiTheme="minorEastAsia" w:eastAsiaTheme="minorEastAsia" w:cstheme="minorEastAsia"/>
          <w:b w:val="0"/>
          <w:bCs w:val="0"/>
          <w:i w:val="0"/>
          <w:iCs w:val="0"/>
          <w:caps w:val="0"/>
          <w:color w:val="000000"/>
          <w:spacing w:val="0"/>
          <w:sz w:val="24"/>
          <w:szCs w:val="24"/>
          <w:shd w:val="clear" w:color="auto" w:fill="FFFFFF"/>
          <w:lang w:val="en-US" w:eastAsia="zh-CN"/>
        </w:rPr>
        <w:t>2023年12月31日，</w:t>
      </w:r>
      <w:r>
        <w:rPr>
          <w:rFonts w:hint="eastAsia" w:asciiTheme="minorEastAsia" w:hAnsiTheme="minorEastAsia" w:eastAsiaTheme="minorEastAsia" w:cstheme="minorEastAsia"/>
          <w:b w:val="0"/>
          <w:bCs w:val="0"/>
          <w:i w:val="0"/>
          <w:iCs w:val="0"/>
          <w:caps w:val="0"/>
          <w:color w:val="000000"/>
          <w:spacing w:val="0"/>
          <w:sz w:val="24"/>
          <w:szCs w:val="24"/>
          <w:shd w:val="clear" w:color="auto" w:fill="FFFFFF"/>
          <w:lang w:eastAsia="zh-CN"/>
        </w:rPr>
        <w:t>依托市局</w:t>
      </w:r>
      <w:r>
        <w:rPr>
          <w:rFonts w:hint="eastAsia" w:asciiTheme="minorEastAsia" w:hAnsiTheme="minorEastAsia" w:eastAsiaTheme="minorEastAsia" w:cstheme="minorEastAsia"/>
          <w:b w:val="0"/>
          <w:bCs w:val="0"/>
          <w:i w:val="0"/>
          <w:iCs w:val="0"/>
          <w:caps w:val="0"/>
          <w:color w:val="000000"/>
          <w:spacing w:val="0"/>
          <w:sz w:val="24"/>
          <w:szCs w:val="24"/>
          <w:shd w:val="clear" w:color="auto" w:fill="FFFFFF"/>
        </w:rPr>
        <w:t>门户网站主动公开信息，其中</w:t>
      </w:r>
      <w:r>
        <w:rPr>
          <w:rFonts w:hint="eastAsia" w:asciiTheme="minorEastAsia" w:hAnsiTheme="minorEastAsia" w:eastAsiaTheme="minorEastAsia" w:cstheme="minorEastAsia"/>
          <w:b w:val="0"/>
          <w:bCs w:val="0"/>
          <w:i w:val="0"/>
          <w:iCs w:val="0"/>
          <w:caps w:val="0"/>
          <w:color w:val="000000"/>
          <w:spacing w:val="0"/>
          <w:sz w:val="24"/>
          <w:szCs w:val="24"/>
          <w:shd w:val="clear" w:color="auto" w:fill="FFFFFF"/>
          <w:lang w:eastAsia="zh-CN"/>
        </w:rPr>
        <w:t>我局处理</w:t>
      </w:r>
      <w:r>
        <w:rPr>
          <w:rFonts w:hint="eastAsia" w:asciiTheme="minorEastAsia" w:hAnsiTheme="minorEastAsia" w:eastAsiaTheme="minorEastAsia" w:cstheme="minorEastAsia"/>
          <w:b w:val="0"/>
          <w:bCs w:val="0"/>
          <w:i w:val="0"/>
          <w:iCs w:val="0"/>
          <w:caps w:val="0"/>
          <w:color w:val="000000"/>
          <w:spacing w:val="0"/>
          <w:sz w:val="24"/>
          <w:szCs w:val="24"/>
          <w:shd w:val="clear" w:color="auto" w:fill="FFFFFF"/>
        </w:rPr>
        <w:t>行政许可</w:t>
      </w:r>
      <w:r>
        <w:rPr>
          <w:rFonts w:hint="eastAsia" w:asciiTheme="minorEastAsia" w:hAnsiTheme="minorEastAsia" w:eastAsiaTheme="minorEastAsia" w:cstheme="minorEastAsia"/>
          <w:b w:val="0"/>
          <w:bCs w:val="0"/>
          <w:i w:val="0"/>
          <w:iCs w:val="0"/>
          <w:caps w:val="0"/>
          <w:color w:val="000000"/>
          <w:spacing w:val="0"/>
          <w:sz w:val="24"/>
          <w:szCs w:val="24"/>
          <w:shd w:val="clear" w:color="auto" w:fill="FFFFFF"/>
          <w:lang w:val="en-US" w:eastAsia="zh-CN"/>
        </w:rPr>
        <w:t>485件</w:t>
      </w:r>
      <w:r>
        <w:rPr>
          <w:rFonts w:hint="eastAsia" w:asciiTheme="minorEastAsia" w:hAnsiTheme="minorEastAsia" w:eastAsiaTheme="minorEastAsia" w:cstheme="minorEastAsia"/>
          <w:b w:val="0"/>
          <w:bCs w:val="0"/>
          <w:i w:val="0"/>
          <w:iCs w:val="0"/>
          <w:caps w:val="0"/>
          <w:color w:val="000000"/>
          <w:spacing w:val="0"/>
          <w:sz w:val="24"/>
          <w:szCs w:val="24"/>
          <w:shd w:val="clear" w:color="auto" w:fill="FFFFFF"/>
        </w:rPr>
        <w:t>，行政处罚</w:t>
      </w:r>
      <w:r>
        <w:rPr>
          <w:rFonts w:hint="eastAsia" w:asciiTheme="minorEastAsia" w:hAnsiTheme="minorEastAsia" w:eastAsiaTheme="minorEastAsia" w:cstheme="minorEastAsia"/>
          <w:b w:val="0"/>
          <w:bCs w:val="0"/>
          <w:i w:val="0"/>
          <w:iCs w:val="0"/>
          <w:caps w:val="0"/>
          <w:color w:val="000000"/>
          <w:spacing w:val="0"/>
          <w:sz w:val="24"/>
          <w:szCs w:val="24"/>
          <w:shd w:val="clear" w:color="auto" w:fill="FFFFFF"/>
          <w:lang w:val="en-US" w:eastAsia="zh-CN"/>
        </w:rPr>
        <w:t>433件。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overflowPunct/>
        <w:topLinePunct w:val="0"/>
        <w:autoSpaceDE/>
        <w:autoSpaceDN/>
        <w:bidi w:val="0"/>
        <w:adjustRightInd/>
        <w:spacing w:before="0" w:beforeAutospacing="0" w:after="0" w:afterAutospacing="0" w:line="380" w:lineRule="exact"/>
        <w:ind w:left="0" w:right="0" w:firstLine="640"/>
        <w:jc w:val="both"/>
        <w:textAlignment w:val="auto"/>
        <w:rPr>
          <w:rFonts w:hint="eastAsia" w:ascii="楷体_GB2312" w:hAnsi="楷体_GB2312" w:eastAsia="楷体_GB2312" w:cs="楷体_GB2312"/>
          <w:sz w:val="24"/>
          <w:szCs w:val="24"/>
          <w:lang w:eastAsia="zh-CN"/>
        </w:rPr>
      </w:pPr>
      <w:r>
        <w:rPr>
          <w:rFonts w:hint="eastAsia" w:ascii="楷体_GB2312" w:hAnsi="楷体_GB2312" w:eastAsia="楷体_GB2312" w:cs="楷体_GB2312"/>
          <w:sz w:val="24"/>
          <w:szCs w:val="24"/>
          <w:lang w:eastAsia="zh-CN"/>
        </w:rPr>
        <w:t>（二）依申请公开情况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beforeAutospacing="0" w:line="380" w:lineRule="exact"/>
        <w:ind w:left="638" w:leftChars="304" w:firstLine="0" w:firstLineChars="0"/>
        <w:jc w:val="left"/>
        <w:textAlignment w:val="auto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2023年，我局未收到依申请公开事项。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beforeAutospacing="0" w:line="380" w:lineRule="exact"/>
        <w:ind w:left="638" w:leftChars="304" w:firstLine="0" w:firstLineChars="0"/>
        <w:jc w:val="left"/>
        <w:textAlignment w:val="auto"/>
        <w:rPr>
          <w:rFonts w:hint="eastAsia" w:ascii="楷体_GB2312" w:hAnsi="楷体_GB2312" w:eastAsia="楷体_GB2312" w:cs="楷体_GB2312"/>
          <w:sz w:val="24"/>
          <w:szCs w:val="24"/>
          <w:lang w:eastAsia="zh-CN"/>
        </w:rPr>
      </w:pPr>
      <w:r>
        <w:rPr>
          <w:rFonts w:hint="eastAsia" w:ascii="楷体_GB2312" w:hAnsi="楷体_GB2312" w:eastAsia="楷体_GB2312" w:cs="楷体_GB2312"/>
          <w:sz w:val="24"/>
          <w:szCs w:val="24"/>
          <w:lang w:eastAsia="zh-CN"/>
        </w:rPr>
        <w:t>（三）政府信息管理情况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 w:val="0"/>
        <w:overflowPunct/>
        <w:topLinePunct w:val="0"/>
        <w:autoSpaceDE/>
        <w:autoSpaceDN/>
        <w:bidi w:val="0"/>
        <w:adjustRightInd/>
        <w:spacing w:before="0" w:beforeAutospacing="0" w:after="0" w:afterAutospacing="0" w:line="380" w:lineRule="exact"/>
        <w:ind w:left="0" w:right="0" w:firstLine="640"/>
        <w:jc w:val="both"/>
        <w:textAlignment w:val="auto"/>
        <w:rPr>
          <w:rFonts w:hint="eastAsia" w:asciiTheme="minorEastAsia" w:hAnsiTheme="minorEastAsia" w:eastAsiaTheme="minorEastAsia" w:cstheme="minorEastAsia"/>
          <w:sz w:val="24"/>
          <w:szCs w:val="24"/>
          <w:highlight w:val="none"/>
          <w:lang w:eastAsia="zh-CN"/>
        </w:rPr>
      </w:pP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eastAsia="zh-CN"/>
        </w:rPr>
        <w:t>严格按照信息公开保密审查流程要求，遵循“先审查，后公开”、“一事一审”原则。</w:t>
      </w: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auto"/>
          <w:spacing w:val="0"/>
          <w:kern w:val="0"/>
          <w:sz w:val="24"/>
          <w:szCs w:val="24"/>
          <w:shd w:val="clear" w:color="auto" w:fill="FFFFFF"/>
          <w:lang w:val="en-US" w:eastAsia="zh-CN" w:bidi="ar"/>
        </w:rPr>
        <w:t>做到发布前审核、发布后更新的有效性管理，确保公开信息依法、及时、全面、准确。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eastAsia="zh-CN"/>
        </w:rPr>
        <w:t>结合我局实际情况，建立健全信息公开保密审查机制，</w:t>
      </w: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auto"/>
          <w:spacing w:val="0"/>
          <w:kern w:val="0"/>
          <w:sz w:val="24"/>
          <w:szCs w:val="24"/>
          <w:shd w:val="clear" w:color="auto" w:fill="FFFFFF"/>
          <w:lang w:val="en-US" w:eastAsia="zh-CN" w:bidi="ar"/>
        </w:rPr>
        <w:t>确保数据内容准确、更新及时和公众查询便利，修订完善信息公开发布、审查制度并严格落实，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highlight w:val="none"/>
          <w:lang w:eastAsia="zh-CN"/>
        </w:rPr>
        <w:t>对外公开的信息，需按经办人确认、股室审核、办公室审签、分管局领导审签、主要负责人</w:t>
      </w:r>
      <w:r>
        <w:rPr>
          <w:rFonts w:hint="eastAsia" w:asciiTheme="minorEastAsia" w:hAnsiTheme="minorEastAsia" w:eastAsiaTheme="minorEastAsia" w:cstheme="minorEastAsia"/>
          <w:sz w:val="24"/>
          <w:szCs w:val="24"/>
          <w:highlight w:val="none"/>
          <w:lang w:eastAsia="zh-CN"/>
        </w:rPr>
        <w:t>审签再公开的流程进行，确保政府信息公开规范管理。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380" w:lineRule="exact"/>
        <w:ind w:firstLine="480" w:firstLineChars="200"/>
        <w:textAlignment w:val="auto"/>
        <w:rPr>
          <w:rFonts w:hint="eastAsia" w:ascii="方正楷体_GBK" w:hAnsi="方正楷体_GBK" w:eastAsia="方正楷体_GBK" w:cs="方正楷体_GBK"/>
          <w:kern w:val="0"/>
          <w:sz w:val="24"/>
          <w:szCs w:val="24"/>
          <w:lang w:val="en-US" w:eastAsia="zh-CN" w:bidi="ar-SA"/>
        </w:rPr>
      </w:pPr>
      <w:r>
        <w:rPr>
          <w:rFonts w:hint="eastAsia" w:ascii="楷体_GB2312" w:hAnsi="楷体_GB2312" w:eastAsia="楷体_GB2312" w:cs="楷体_GB2312"/>
          <w:sz w:val="24"/>
          <w:szCs w:val="24"/>
          <w:lang w:val="en-US" w:eastAsia="zh-CN"/>
        </w:rPr>
        <w:t>（四）政府信息公开平台建设情况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overflowPunct/>
        <w:topLinePunct w:val="0"/>
        <w:autoSpaceDE/>
        <w:autoSpaceDN/>
        <w:bidi w:val="0"/>
        <w:adjustRightInd/>
        <w:spacing w:before="0" w:beforeAutospacing="0" w:after="0" w:afterAutospacing="0" w:line="380" w:lineRule="exact"/>
        <w:ind w:left="0" w:right="0" w:firstLine="640"/>
        <w:jc w:val="both"/>
        <w:textAlignment w:val="auto"/>
        <w:rPr>
          <w:rFonts w:hint="eastAsia" w:asciiTheme="minorEastAsia" w:hAnsiTheme="minorEastAsia" w:eastAsiaTheme="minorEastAsia" w:cstheme="minorEastAsia"/>
          <w:kern w:val="0"/>
          <w:sz w:val="24"/>
          <w:szCs w:val="24"/>
          <w:highlight w:val="none"/>
          <w:lang w:eastAsia="zh-CN"/>
        </w:rPr>
      </w:pPr>
      <w:r>
        <w:rPr>
          <w:rFonts w:hint="eastAsia" w:asciiTheme="minorEastAsia" w:hAnsiTheme="minorEastAsia" w:eastAsiaTheme="minorEastAsia" w:cstheme="minorEastAsia"/>
          <w:kern w:val="0"/>
          <w:sz w:val="24"/>
          <w:szCs w:val="24"/>
          <w:highlight w:val="none"/>
          <w:lang w:eastAsia="zh-CN"/>
        </w:rPr>
        <w:t>按照统一规范，加强政府信息公开专栏管理维护，持续优化网站栏目，对政府信息公开指南、政府信息公开制度、法定主动公开内容栏目，按照上级要求及时进行整改更新。</w:t>
      </w: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auto"/>
          <w:spacing w:val="0"/>
          <w:kern w:val="0"/>
          <w:sz w:val="24"/>
          <w:szCs w:val="24"/>
          <w:shd w:val="clear" w:color="auto" w:fill="FFFFFF"/>
          <w:lang w:val="en-US" w:eastAsia="zh-CN" w:bidi="ar"/>
        </w:rPr>
        <w:t>积极以纳税人需求为导向，全面推进政府信息公开平台建设。完善线上公开平台建设，做好网站政务公开工作，及时更新调整领导简介、政府采购等栏目，方便纳税人、缴费人查询。加强媒体宣传建设，推进整体协同、响应迅速的媒体矩阵体系建设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380" w:lineRule="exact"/>
        <w:ind w:firstLine="480" w:firstLineChars="200"/>
        <w:textAlignment w:val="auto"/>
        <w:rPr>
          <w:rFonts w:hint="eastAsia" w:ascii="楷体_GB2312" w:hAnsi="楷体_GB2312" w:eastAsia="楷体_GB2312" w:cs="楷体_GB2312"/>
          <w:sz w:val="24"/>
          <w:szCs w:val="24"/>
          <w:lang w:val="en-US" w:eastAsia="zh-CN"/>
        </w:rPr>
      </w:pPr>
      <w:r>
        <w:rPr>
          <w:rFonts w:hint="eastAsia" w:ascii="楷体_GB2312" w:hAnsi="楷体_GB2312" w:eastAsia="楷体_GB2312" w:cs="楷体_GB2312"/>
          <w:sz w:val="24"/>
          <w:szCs w:val="24"/>
          <w:lang w:val="en-US" w:eastAsia="zh-CN"/>
        </w:rPr>
        <w:t>（五）监督保障情况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380" w:lineRule="exact"/>
        <w:ind w:firstLine="480" w:firstLineChars="200"/>
        <w:textAlignment w:val="auto"/>
        <w:rPr>
          <w:rFonts w:hint="eastAsia" w:asciiTheme="minorEastAsia" w:hAnsiTheme="minorEastAsia" w:eastAsiaTheme="minorEastAsia" w:cstheme="minorEastAsia"/>
          <w:kern w:val="0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kern w:val="0"/>
          <w:sz w:val="24"/>
          <w:szCs w:val="24"/>
          <w:highlight w:val="none"/>
          <w:lang w:val="en-US" w:eastAsia="zh-CN"/>
        </w:rPr>
        <w:t>全面落实监督岗位责任，加强业务指导与监督考核，严格按照</w:t>
      </w:r>
      <w:r>
        <w:rPr>
          <w:rFonts w:hint="eastAsia" w:asciiTheme="minorEastAsia" w:hAnsiTheme="minorEastAsia" w:eastAsiaTheme="minorEastAsia" w:cstheme="minorEastAsia"/>
          <w:kern w:val="0"/>
          <w:sz w:val="24"/>
          <w:szCs w:val="24"/>
          <w:lang w:val="en-US" w:eastAsia="zh-CN"/>
        </w:rPr>
        <w:t>政府信息公开绩效考核标准和</w:t>
      </w: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auto"/>
          <w:spacing w:val="0"/>
          <w:kern w:val="0"/>
          <w:sz w:val="24"/>
          <w:szCs w:val="24"/>
          <w:shd w:val="clear" w:color="auto" w:fill="FFFFFF"/>
          <w:lang w:val="en-US" w:eastAsia="zh-CN" w:bidi="ar"/>
        </w:rPr>
        <w:t>省</w:t>
      </w: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auto"/>
          <w:spacing w:val="0"/>
          <w:kern w:val="0"/>
          <w:sz w:val="24"/>
          <w:szCs w:val="24"/>
          <w:highlight w:val="none"/>
          <w:shd w:val="clear" w:color="auto" w:fill="FFFFFF"/>
          <w:lang w:val="en-US" w:eastAsia="zh-CN" w:bidi="ar"/>
        </w:rPr>
        <w:t>市局工作要求及相关管理规定，</w:t>
      </w:r>
      <w:r>
        <w:rPr>
          <w:rFonts w:hint="eastAsia" w:asciiTheme="minorEastAsia" w:hAnsiTheme="minorEastAsia" w:eastAsiaTheme="minorEastAsia" w:cstheme="minorEastAsia"/>
          <w:kern w:val="0"/>
          <w:sz w:val="24"/>
          <w:szCs w:val="24"/>
          <w:highlight w:val="none"/>
          <w:lang w:val="en-US" w:eastAsia="zh-CN"/>
        </w:rPr>
        <w:t>细化完善县局考评办法，</w:t>
      </w: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auto"/>
          <w:spacing w:val="0"/>
          <w:kern w:val="0"/>
          <w:sz w:val="24"/>
          <w:szCs w:val="24"/>
          <w:highlight w:val="none"/>
          <w:shd w:val="clear" w:color="auto" w:fill="FFFFFF"/>
          <w:lang w:val="en-US" w:eastAsia="zh-CN" w:bidi="ar"/>
        </w:rPr>
        <w:t>对公开</w:t>
      </w: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auto"/>
          <w:spacing w:val="0"/>
          <w:kern w:val="0"/>
          <w:sz w:val="24"/>
          <w:szCs w:val="24"/>
          <w:shd w:val="clear" w:color="auto" w:fill="FFFFFF"/>
          <w:lang w:val="en-US" w:eastAsia="zh-CN" w:bidi="ar"/>
        </w:rPr>
        <w:t>内容及时更新并定期审查,</w:t>
      </w: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auto"/>
          <w:spacing w:val="0"/>
          <w:kern w:val="0"/>
          <w:sz w:val="24"/>
          <w:szCs w:val="24"/>
          <w:highlight w:val="none"/>
          <w:shd w:val="clear" w:color="auto" w:fill="FFFFFF"/>
          <w:lang w:val="en-US" w:eastAsia="zh-CN" w:bidi="ar"/>
        </w:rPr>
        <w:t>与地方政府有关部门积极对接,做到更新同步、</w:t>
      </w: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auto"/>
          <w:spacing w:val="0"/>
          <w:kern w:val="0"/>
          <w:sz w:val="24"/>
          <w:szCs w:val="24"/>
          <w:shd w:val="clear" w:color="auto" w:fill="FFFFFF"/>
          <w:lang w:val="en-US" w:eastAsia="zh-CN" w:bidi="ar"/>
        </w:rPr>
        <w:t>数据同源、形式统一。</w:t>
      </w:r>
      <w:r>
        <w:rPr>
          <w:rFonts w:hint="eastAsia" w:asciiTheme="minorEastAsia" w:hAnsiTheme="minorEastAsia" w:eastAsiaTheme="minorEastAsia" w:cstheme="minorEastAsia"/>
          <w:color w:val="auto"/>
          <w:kern w:val="0"/>
          <w:sz w:val="24"/>
          <w:szCs w:val="24"/>
          <w:lang w:val="en-US" w:eastAsia="zh-CN"/>
        </w:rPr>
        <w:t>加强日常指导和督促检查，确保政府信息公开工作落实到位。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黑体" w:hAnsi="黑体" w:eastAsia="黑体" w:cs="黑体"/>
          <w:color w:val="424242"/>
          <w:kern w:val="0"/>
          <w:sz w:val="24"/>
          <w:szCs w:val="24"/>
        </w:rPr>
      </w:pPr>
      <w:r>
        <w:rPr>
          <w:rFonts w:hint="eastAsia" w:ascii="黑体" w:hAnsi="黑体" w:eastAsia="黑体" w:cs="黑体"/>
          <w:color w:val="424242"/>
          <w:kern w:val="0"/>
          <w:sz w:val="24"/>
          <w:szCs w:val="24"/>
        </w:rPr>
        <w:t>二、主动公开政府信息情况</w:t>
      </w:r>
    </w:p>
    <w:tbl>
      <w:tblPr>
        <w:tblStyle w:val="3"/>
        <w:tblW w:w="9735" w:type="dxa"/>
        <w:jc w:val="center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430"/>
        <w:gridCol w:w="2430"/>
        <w:gridCol w:w="2430"/>
        <w:gridCol w:w="2445"/>
      </w:tblGrid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  <w:jc w:val="center"/>
        </w:trPr>
        <w:tc>
          <w:tcPr>
            <w:tcW w:w="9735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6D9F1"/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auto"/>
              <w:rPr>
                <w:rFonts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第二十条第（一）项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  <w:jc w:val="center"/>
        </w:trPr>
        <w:tc>
          <w:tcPr>
            <w:tcW w:w="24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auto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信息内容</w:t>
            </w:r>
          </w:p>
        </w:tc>
        <w:tc>
          <w:tcPr>
            <w:tcW w:w="24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auto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本年制发件数</w:t>
            </w:r>
          </w:p>
        </w:tc>
        <w:tc>
          <w:tcPr>
            <w:tcW w:w="24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auto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本年废止件数</w:t>
            </w:r>
          </w:p>
        </w:tc>
        <w:tc>
          <w:tcPr>
            <w:tcW w:w="24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auto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现行有效件数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  <w:jc w:val="center"/>
        </w:trPr>
        <w:tc>
          <w:tcPr>
            <w:tcW w:w="24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规章</w:t>
            </w:r>
          </w:p>
        </w:tc>
        <w:tc>
          <w:tcPr>
            <w:tcW w:w="24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24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24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  <w:jc w:val="center"/>
        </w:trPr>
        <w:tc>
          <w:tcPr>
            <w:tcW w:w="24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行政规范性文件</w:t>
            </w:r>
          </w:p>
        </w:tc>
        <w:tc>
          <w:tcPr>
            <w:tcW w:w="24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24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24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  <w:jc w:val="center"/>
        </w:trPr>
        <w:tc>
          <w:tcPr>
            <w:tcW w:w="9735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6D9F1"/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第二十条第（五）项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  <w:jc w:val="center"/>
        </w:trPr>
        <w:tc>
          <w:tcPr>
            <w:tcW w:w="24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本年处理决定数量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  <w:jc w:val="center"/>
        </w:trPr>
        <w:tc>
          <w:tcPr>
            <w:tcW w:w="24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default" w:ascii="微软雅黑" w:hAnsi="微软雅黑" w:eastAsia="微软雅黑" w:cs="宋体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宋体"/>
                <w:color w:val="auto"/>
                <w:kern w:val="0"/>
                <w:sz w:val="24"/>
                <w:szCs w:val="24"/>
                <w:lang w:val="en-US" w:eastAsia="zh-CN"/>
              </w:rPr>
              <w:t>485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  <w:jc w:val="center"/>
        </w:trPr>
        <w:tc>
          <w:tcPr>
            <w:tcW w:w="9735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6D9F1"/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第二十条第（六）项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  <w:jc w:val="center"/>
        </w:trPr>
        <w:tc>
          <w:tcPr>
            <w:tcW w:w="24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本年处理决定数量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  <w:jc w:val="center"/>
        </w:trPr>
        <w:tc>
          <w:tcPr>
            <w:tcW w:w="24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default" w:ascii="微软雅黑" w:hAnsi="微软雅黑" w:eastAsia="微软雅黑" w:cs="宋体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宋体"/>
                <w:color w:val="auto"/>
                <w:kern w:val="0"/>
                <w:sz w:val="24"/>
                <w:szCs w:val="24"/>
                <w:lang w:val="en-US" w:eastAsia="zh-CN"/>
              </w:rPr>
              <w:t>433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  <w:jc w:val="center"/>
        </w:trPr>
        <w:tc>
          <w:tcPr>
            <w:tcW w:w="24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  <w:jc w:val="center"/>
        </w:trPr>
        <w:tc>
          <w:tcPr>
            <w:tcW w:w="9735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6D9F1"/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第二十条第（八）项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  <w:jc w:val="center"/>
        </w:trPr>
        <w:tc>
          <w:tcPr>
            <w:tcW w:w="24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000000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本年收费金额（单位：万元）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  <w:jc w:val="center"/>
        </w:trPr>
        <w:tc>
          <w:tcPr>
            <w:tcW w:w="24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000000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</w:tr>
    </w:tbl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黑体" w:hAnsi="黑体" w:eastAsia="黑体" w:cs="黑体"/>
          <w:color w:val="424242"/>
          <w:kern w:val="0"/>
          <w:sz w:val="24"/>
          <w:szCs w:val="24"/>
        </w:rPr>
      </w:pPr>
      <w:r>
        <w:rPr>
          <w:rFonts w:hint="eastAsia" w:ascii="黑体" w:hAnsi="黑体" w:eastAsia="黑体" w:cs="黑体"/>
          <w:color w:val="424242"/>
          <w:kern w:val="0"/>
          <w:sz w:val="24"/>
          <w:szCs w:val="24"/>
        </w:rPr>
        <w:t>三、收到和处理政府信息公开申请情况</w:t>
      </w:r>
    </w:p>
    <w:tbl>
      <w:tblPr>
        <w:tblStyle w:val="3"/>
        <w:tblW w:w="9750" w:type="dxa"/>
        <w:jc w:val="center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770"/>
        <w:gridCol w:w="957"/>
        <w:gridCol w:w="3176"/>
        <w:gridCol w:w="692"/>
        <w:gridCol w:w="692"/>
        <w:gridCol w:w="692"/>
        <w:gridCol w:w="692"/>
        <w:gridCol w:w="693"/>
        <w:gridCol w:w="693"/>
        <w:gridCol w:w="693"/>
      </w:tblGrid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4903" w:type="dxa"/>
            <w:gridSpan w:val="3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auto"/>
              <w:rPr>
                <w:rFonts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（本列数据的勾稽关系为：第一项加第二项之和，等于第三项加第四项之和）</w:t>
            </w:r>
          </w:p>
        </w:tc>
        <w:tc>
          <w:tcPr>
            <w:tcW w:w="4847" w:type="dxa"/>
            <w:gridSpan w:val="7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auto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申请人情况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0" w:type="auto"/>
            <w:gridSpan w:val="3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auto"/>
              <w:rPr>
                <w:rFonts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</w:p>
        </w:tc>
        <w:tc>
          <w:tcPr>
            <w:tcW w:w="692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auto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自然人</w:t>
            </w:r>
          </w:p>
        </w:tc>
        <w:tc>
          <w:tcPr>
            <w:tcW w:w="3462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auto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法人或其他组织</w:t>
            </w:r>
          </w:p>
        </w:tc>
        <w:tc>
          <w:tcPr>
            <w:tcW w:w="693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auto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总计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0" w:type="auto"/>
            <w:gridSpan w:val="3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商业</w:t>
            </w:r>
          </w:p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企业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科研</w:t>
            </w:r>
          </w:p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机构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社会公益组织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法律服务机构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其他</w:t>
            </w:r>
          </w:p>
        </w:tc>
        <w:tc>
          <w:tcPr>
            <w:tcW w:w="0" w:type="auto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4903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一、本年新收政府信息公开申请数量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4903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二、上年结转政府信息公开申请数量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70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三、本年度办理结果</w:t>
            </w:r>
          </w:p>
        </w:tc>
        <w:tc>
          <w:tcPr>
            <w:tcW w:w="41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（一）予以公开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</w:p>
        </w:tc>
        <w:tc>
          <w:tcPr>
            <w:tcW w:w="41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（二）部分公开（区分处理的，只计这一情形，不计其他情形）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</w:p>
        </w:tc>
        <w:tc>
          <w:tcPr>
            <w:tcW w:w="957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（三）不予公开</w:t>
            </w:r>
          </w:p>
        </w:tc>
        <w:tc>
          <w:tcPr>
            <w:tcW w:w="31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1.属于国家秘密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</w:p>
        </w:tc>
        <w:tc>
          <w:tcPr>
            <w:tcW w:w="31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2.其他法律行政法规禁止公开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</w:p>
        </w:tc>
        <w:tc>
          <w:tcPr>
            <w:tcW w:w="31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3.危及“三安全一稳定”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</w:p>
        </w:tc>
        <w:tc>
          <w:tcPr>
            <w:tcW w:w="31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4.保护第三方合法权益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</w:p>
        </w:tc>
        <w:tc>
          <w:tcPr>
            <w:tcW w:w="31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5.属于三类内部事务信息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</w:p>
        </w:tc>
        <w:tc>
          <w:tcPr>
            <w:tcW w:w="31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6.属于四类过程性信息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</w:p>
        </w:tc>
        <w:tc>
          <w:tcPr>
            <w:tcW w:w="31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7.属于行政执法案卷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</w:p>
        </w:tc>
        <w:tc>
          <w:tcPr>
            <w:tcW w:w="31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8.属于行政查询事项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</w:p>
        </w:tc>
        <w:tc>
          <w:tcPr>
            <w:tcW w:w="957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（四）无法提供</w:t>
            </w:r>
          </w:p>
        </w:tc>
        <w:tc>
          <w:tcPr>
            <w:tcW w:w="31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1.本机关不掌握相关政府信息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</w:p>
        </w:tc>
        <w:tc>
          <w:tcPr>
            <w:tcW w:w="31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2.没有现成信息需要另行制作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</w:p>
        </w:tc>
        <w:tc>
          <w:tcPr>
            <w:tcW w:w="31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3.补正后申请内容仍不明确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</w:p>
        </w:tc>
        <w:tc>
          <w:tcPr>
            <w:tcW w:w="957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（五）不予处理</w:t>
            </w:r>
          </w:p>
        </w:tc>
        <w:tc>
          <w:tcPr>
            <w:tcW w:w="31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1.信访举报投诉类申请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</w:p>
        </w:tc>
        <w:tc>
          <w:tcPr>
            <w:tcW w:w="31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2.重复申请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</w:p>
        </w:tc>
        <w:tc>
          <w:tcPr>
            <w:tcW w:w="31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3.要求提供公开出版物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</w:p>
        </w:tc>
        <w:tc>
          <w:tcPr>
            <w:tcW w:w="31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4.无正当理由大量反复申请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80" w:hRule="atLeast"/>
          <w:jc w:val="center"/>
        </w:trPr>
        <w:tc>
          <w:tcPr>
            <w:tcW w:w="0" w:type="auto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</w:p>
        </w:tc>
        <w:tc>
          <w:tcPr>
            <w:tcW w:w="31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5.要求行政机关确认或重新出具已获取信息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</w:p>
        </w:tc>
        <w:tc>
          <w:tcPr>
            <w:tcW w:w="957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（六）其他处理</w:t>
            </w:r>
          </w:p>
        </w:tc>
        <w:tc>
          <w:tcPr>
            <w:tcW w:w="31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1.申请人无正当理由逾期不补正、行政机关不再处理其政府信息公开申请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720" w:lineRule="auto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</w:p>
        </w:tc>
        <w:tc>
          <w:tcPr>
            <w:tcW w:w="31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2.申请人逾期未按收费通知要求缴纳费用、行政机关不再处理其政府信息公开申请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720" w:lineRule="auto"/>
              <w:jc w:val="center"/>
              <w:rPr>
                <w:rFonts w:hint="default" w:ascii="微软雅黑" w:hAnsi="微软雅黑" w:eastAsia="微软雅黑" w:cs="宋体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</w:p>
        </w:tc>
        <w:tc>
          <w:tcPr>
            <w:tcW w:w="31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3.其他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</w:p>
        </w:tc>
        <w:tc>
          <w:tcPr>
            <w:tcW w:w="41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（七）总计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4903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四、结转下年度继续办理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</w:tr>
    </w:tbl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黑体" w:hAnsi="黑体" w:eastAsia="黑体" w:cs="黑体"/>
          <w:color w:val="424242"/>
          <w:kern w:val="0"/>
          <w:sz w:val="24"/>
          <w:szCs w:val="24"/>
        </w:rPr>
      </w:pPr>
      <w:r>
        <w:rPr>
          <w:rFonts w:hint="eastAsia" w:ascii="黑体" w:hAnsi="黑体" w:eastAsia="黑体" w:cs="黑体"/>
          <w:color w:val="424242"/>
          <w:kern w:val="0"/>
          <w:sz w:val="24"/>
          <w:szCs w:val="24"/>
        </w:rPr>
        <w:t>四、政府信息公开行政复议、行政诉讼情况</w:t>
      </w:r>
    </w:p>
    <w:tbl>
      <w:tblPr>
        <w:tblStyle w:val="3"/>
        <w:tblW w:w="9750" w:type="dxa"/>
        <w:jc w:val="center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50"/>
        <w:gridCol w:w="650"/>
        <w:gridCol w:w="650"/>
        <w:gridCol w:w="650"/>
        <w:gridCol w:w="650"/>
        <w:gridCol w:w="650"/>
        <w:gridCol w:w="650"/>
        <w:gridCol w:w="650"/>
        <w:gridCol w:w="650"/>
        <w:gridCol w:w="650"/>
        <w:gridCol w:w="650"/>
        <w:gridCol w:w="650"/>
        <w:gridCol w:w="650"/>
        <w:gridCol w:w="650"/>
        <w:gridCol w:w="650"/>
      </w:tblGrid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250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auto"/>
              <w:rPr>
                <w:rFonts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行政复议</w:t>
            </w:r>
          </w:p>
        </w:tc>
        <w:tc>
          <w:tcPr>
            <w:tcW w:w="6500" w:type="dxa"/>
            <w:gridSpan w:val="10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auto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行政诉讼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50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结果维持</w:t>
            </w:r>
          </w:p>
        </w:tc>
        <w:tc>
          <w:tcPr>
            <w:tcW w:w="650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结果</w:t>
            </w: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纠正</w:t>
            </w:r>
          </w:p>
        </w:tc>
        <w:tc>
          <w:tcPr>
            <w:tcW w:w="650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其他</w:t>
            </w: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结果</w:t>
            </w:r>
          </w:p>
        </w:tc>
        <w:tc>
          <w:tcPr>
            <w:tcW w:w="650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尚未</w:t>
            </w: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审结</w:t>
            </w:r>
          </w:p>
        </w:tc>
        <w:tc>
          <w:tcPr>
            <w:tcW w:w="650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总计</w:t>
            </w:r>
          </w:p>
        </w:tc>
        <w:tc>
          <w:tcPr>
            <w:tcW w:w="3250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未经复议直接起诉</w:t>
            </w:r>
          </w:p>
        </w:tc>
        <w:tc>
          <w:tcPr>
            <w:tcW w:w="3250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复议后起诉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</w:p>
        </w:tc>
        <w:tc>
          <w:tcPr>
            <w:tcW w:w="650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</w:p>
        </w:tc>
        <w:tc>
          <w:tcPr>
            <w:tcW w:w="650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</w:p>
        </w:tc>
        <w:tc>
          <w:tcPr>
            <w:tcW w:w="6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结果</w:t>
            </w: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维持</w:t>
            </w:r>
          </w:p>
        </w:tc>
        <w:tc>
          <w:tcPr>
            <w:tcW w:w="6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结果</w:t>
            </w: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纠正</w:t>
            </w:r>
          </w:p>
        </w:tc>
        <w:tc>
          <w:tcPr>
            <w:tcW w:w="6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其他</w:t>
            </w: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结果</w:t>
            </w:r>
          </w:p>
        </w:tc>
        <w:tc>
          <w:tcPr>
            <w:tcW w:w="6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尚未</w:t>
            </w: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审结</w:t>
            </w:r>
          </w:p>
        </w:tc>
        <w:tc>
          <w:tcPr>
            <w:tcW w:w="6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总计</w:t>
            </w:r>
          </w:p>
        </w:tc>
        <w:tc>
          <w:tcPr>
            <w:tcW w:w="6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结果</w:t>
            </w: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维持</w:t>
            </w:r>
          </w:p>
        </w:tc>
        <w:tc>
          <w:tcPr>
            <w:tcW w:w="6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结果</w:t>
            </w: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纠正</w:t>
            </w:r>
          </w:p>
        </w:tc>
        <w:tc>
          <w:tcPr>
            <w:tcW w:w="6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其他</w:t>
            </w: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结果</w:t>
            </w:r>
          </w:p>
        </w:tc>
        <w:tc>
          <w:tcPr>
            <w:tcW w:w="6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尚未</w:t>
            </w: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审结</w:t>
            </w:r>
          </w:p>
        </w:tc>
        <w:tc>
          <w:tcPr>
            <w:tcW w:w="6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color w:val="424242"/>
                <w:kern w:val="0"/>
                <w:sz w:val="24"/>
                <w:szCs w:val="24"/>
              </w:rPr>
              <w:t>总计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75" w:hRule="atLeast"/>
          <w:jc w:val="center"/>
        </w:trPr>
        <w:tc>
          <w:tcPr>
            <w:tcW w:w="6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6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widowControl/>
              <w:spacing w:line="380" w:lineRule="exact"/>
              <w:jc w:val="center"/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kern w:val="0"/>
                <w:sz w:val="24"/>
                <w:szCs w:val="24"/>
              </w:rPr>
              <w:t>0</w:t>
            </w:r>
          </w:p>
        </w:tc>
      </w:tr>
    </w:tbl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80" w:lineRule="exact"/>
        <w:textAlignment w:val="auto"/>
        <w:rPr>
          <w:rFonts w:hint="default" w:ascii="Calibri" w:hAnsi="Calibri" w:cs="Calibri"/>
          <w:i w:val="0"/>
          <w:iCs w:val="0"/>
          <w:caps w:val="0"/>
          <w:color w:val="auto"/>
          <w:spacing w:val="0"/>
          <w:sz w:val="24"/>
          <w:szCs w:val="24"/>
        </w:rPr>
      </w:pPr>
      <w:r>
        <w:rPr>
          <w:rFonts w:hint="eastAsia" w:ascii="黑体" w:hAnsi="黑体" w:eastAsia="黑体" w:cs="黑体"/>
          <w:color w:val="424242"/>
          <w:kern w:val="0"/>
          <w:sz w:val="24"/>
          <w:szCs w:val="24"/>
          <w:lang w:eastAsia="zh-CN"/>
        </w:rPr>
        <w:t>五、</w:t>
      </w:r>
      <w:r>
        <w:rPr>
          <w:rFonts w:hint="eastAsia" w:ascii="黑体" w:hAnsi="黑体" w:eastAsia="黑体" w:cs="黑体"/>
          <w:color w:val="424242"/>
          <w:kern w:val="0"/>
          <w:sz w:val="24"/>
          <w:szCs w:val="24"/>
        </w:rPr>
        <w:t>存在的主要问题及改进</w:t>
      </w:r>
      <w:r>
        <w:rPr>
          <w:rFonts w:hint="eastAsia" w:ascii="黑体" w:hAnsi="黑体" w:eastAsia="黑体" w:cs="黑体"/>
          <w:color w:val="424242"/>
          <w:kern w:val="0"/>
          <w:sz w:val="24"/>
          <w:szCs w:val="24"/>
          <w:lang w:eastAsia="zh-CN"/>
        </w:rPr>
        <w:t>情况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80" w:lineRule="exact"/>
        <w:ind w:firstLine="480" w:firstLineChars="200"/>
        <w:textAlignment w:val="auto"/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auto"/>
          <w:spacing w:val="0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auto"/>
          <w:spacing w:val="0"/>
          <w:kern w:val="0"/>
          <w:sz w:val="24"/>
          <w:szCs w:val="24"/>
          <w:shd w:val="clear" w:color="auto" w:fill="FFFFFF"/>
          <w:lang w:val="en-US" w:eastAsia="zh-CN" w:bidi="ar"/>
        </w:rPr>
        <w:t>2023年，政府信息公开整体水平上取得一些进步，但也存在一些问题：一是政府信息公开流程不够规范。下一步我局将压实责任，安排专人做好管理工作，规范信息发布，加强数据内容核对校验，确保信息准确严谨，政府信息公开流程规范。二是</w:t>
      </w: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auto"/>
          <w:spacing w:val="0"/>
          <w:sz w:val="24"/>
          <w:szCs w:val="24"/>
          <w:shd w:val="clear" w:color="auto" w:fill="FFFFFF"/>
        </w:rPr>
        <w:t>信息公开的</w:t>
      </w: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auto"/>
          <w:spacing w:val="0"/>
          <w:sz w:val="24"/>
          <w:szCs w:val="24"/>
          <w:shd w:val="clear" w:color="auto" w:fill="FFFFFF"/>
          <w:lang w:eastAsia="zh-CN"/>
        </w:rPr>
        <w:t>精准性和</w:t>
      </w: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auto"/>
          <w:spacing w:val="0"/>
          <w:sz w:val="24"/>
          <w:szCs w:val="24"/>
          <w:shd w:val="clear" w:color="auto" w:fill="FFFFFF"/>
        </w:rPr>
        <w:t>及时性有待提高</w:t>
      </w: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auto"/>
          <w:spacing w:val="0"/>
          <w:sz w:val="24"/>
          <w:szCs w:val="24"/>
          <w:shd w:val="clear" w:color="auto" w:fill="FFFFFF"/>
          <w:lang w:eastAsia="zh-CN"/>
        </w:rPr>
        <w:t>。下一步我局将</w:t>
      </w: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auto"/>
          <w:spacing w:val="0"/>
          <w:sz w:val="24"/>
          <w:szCs w:val="24"/>
          <w:shd w:val="clear" w:color="auto" w:fill="FFFFFF"/>
        </w:rPr>
        <w:t>明确责任分工，提高信息公开质效</w:t>
      </w: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auto"/>
          <w:spacing w:val="0"/>
          <w:sz w:val="24"/>
          <w:szCs w:val="24"/>
          <w:shd w:val="clear" w:color="auto" w:fill="FFFFFF"/>
          <w:lang w:eastAsia="zh-CN"/>
        </w:rPr>
        <w:t>，</w:t>
      </w: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auto"/>
          <w:spacing w:val="0"/>
          <w:sz w:val="24"/>
          <w:szCs w:val="24"/>
          <w:shd w:val="clear" w:color="auto" w:fill="FFFFFF"/>
        </w:rPr>
        <w:t>按照税收管理领域基层政务公开标准目录，细化分解任务，明确承接部门，</w:t>
      </w: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auto"/>
          <w:spacing w:val="0"/>
          <w:sz w:val="24"/>
          <w:szCs w:val="24"/>
          <w:shd w:val="clear" w:color="auto" w:fill="FFFFFF"/>
          <w:lang w:eastAsia="zh-CN"/>
        </w:rPr>
        <w:t>确保</w:t>
      </w: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auto"/>
          <w:spacing w:val="0"/>
          <w:sz w:val="24"/>
          <w:szCs w:val="24"/>
          <w:shd w:val="clear" w:color="auto" w:fill="FFFFFF"/>
        </w:rPr>
        <w:t>信息公开的</w:t>
      </w: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auto"/>
          <w:spacing w:val="0"/>
          <w:sz w:val="24"/>
          <w:szCs w:val="24"/>
          <w:highlight w:val="none"/>
          <w:shd w:val="clear" w:color="auto" w:fill="FFFFFF"/>
          <w:lang w:eastAsia="zh-CN"/>
        </w:rPr>
        <w:t>精准性和及时性</w:t>
      </w: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auto"/>
          <w:spacing w:val="0"/>
          <w:sz w:val="24"/>
          <w:szCs w:val="24"/>
          <w:highlight w:val="none"/>
          <w:shd w:val="clear" w:color="auto" w:fill="FFFFFF"/>
        </w:rPr>
        <w:t>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80" w:lineRule="exact"/>
        <w:ind w:firstLine="480" w:firstLineChars="200"/>
        <w:textAlignment w:val="auto"/>
        <w:rPr>
          <w:rFonts w:hint="eastAsia" w:ascii="黑体" w:hAnsi="黑体" w:eastAsia="黑体" w:cs="黑体"/>
          <w:color w:val="424242"/>
          <w:kern w:val="0"/>
          <w:sz w:val="24"/>
          <w:szCs w:val="24"/>
        </w:rPr>
      </w:pPr>
      <w:r>
        <w:rPr>
          <w:rFonts w:hint="eastAsia" w:ascii="黑体" w:hAnsi="黑体" w:eastAsia="黑体" w:cs="黑体"/>
          <w:color w:val="424242"/>
          <w:kern w:val="0"/>
          <w:sz w:val="24"/>
          <w:szCs w:val="24"/>
        </w:rPr>
        <w:t>六、其他需要报告的事项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80" w:lineRule="exact"/>
        <w:ind w:firstLine="480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color w:val="424242"/>
          <w:kern w:val="0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color w:val="424242"/>
          <w:kern w:val="0"/>
          <w:sz w:val="24"/>
          <w:szCs w:val="24"/>
          <w:lang w:val="en-US" w:eastAsia="zh-CN"/>
        </w:rPr>
        <w:t>2023年我局未收取政府信息公开费用。</w:t>
      </w:r>
    </w:p>
    <w:p>
      <w:pPr>
        <w:rPr>
          <w:sz w:val="24"/>
          <w:szCs w:val="24"/>
        </w:rPr>
      </w:pPr>
    </w:p>
    <w:p>
      <w:pPr>
        <w:rPr>
          <w:sz w:val="24"/>
          <w:szCs w:val="24"/>
        </w:rPr>
      </w:pPr>
    </w:p>
    <w:p>
      <w:pPr>
        <w:rPr>
          <w:sz w:val="24"/>
          <w:szCs w:val="24"/>
        </w:rPr>
      </w:pPr>
    </w:p>
    <w:p/>
    <w:sectPr>
      <w:pgSz w:w="11906" w:h="16838"/>
      <w:pgMar w:top="1440" w:right="1800" w:bottom="1440" w:left="1800" w:header="720" w:footer="720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inherit">
    <w:altName w:val="仿宋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楷体_GBK">
    <w:altName w:val="微软雅黑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3DE2722"/>
    <w:rsid w:val="00A56F7F"/>
    <w:rsid w:val="13DE2722"/>
    <w:rsid w:val="545950E5"/>
    <w:rsid w:val="587D4E40"/>
    <w:rsid w:val="6FFD35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uppressAutoHyphens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6</TotalTime>
  <ScaleCrop>false</ScaleCrop>
  <LinksUpToDate>false</LinksUpToDate>
  <CharactersWithSpaces>0</CharactersWithSpaces>
  <Application>WPS Office_11.8.2.10158_F1E327BC-269C-435d-A152-05C5408002CA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2024-01-29T16:21:00Z</dcterms:created>
  <dc:creator>Administrator</dc:creator>
  <cp:lastModifiedBy>Administrator</cp:lastModifiedBy>
  <dcterms:modified xsi:type="dcterms:W3CDTF">2026-01-20T01:04:44Z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2052-11.8.2.10158</vt:lpwstr>
  </property>
  <property fmtid="{D5CDD505-2E9C-101B-9397-08002B2CF9AE}" pid="3" name="ICV">
    <vt:lpwstr>E6D4ED51932B52048B52BB65C5FDBFA7</vt:lpwstr>
  </property>
</Properties>
</file>