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exact"/>
        <w:jc w:val="center"/>
        <w:rPr>
          <w:rFonts w:ascii="宋体" w:hAnsi="宋体"/>
          <w:b/>
          <w:sz w:val="44"/>
          <w:szCs w:val="44"/>
        </w:rPr>
      </w:pPr>
      <w:r>
        <w:rPr>
          <w:rFonts w:hint="eastAsia" w:ascii="宋体" w:hAnsi="宋体"/>
          <w:b/>
          <w:sz w:val="44"/>
          <w:szCs w:val="44"/>
        </w:rPr>
        <w:t>隆尧县</w:t>
      </w:r>
      <w:r>
        <w:rPr>
          <w:rFonts w:ascii="宋体" w:hAnsi="宋体"/>
          <w:b/>
          <w:sz w:val="44"/>
          <w:szCs w:val="44"/>
        </w:rPr>
        <w:t>公安局</w:t>
      </w:r>
      <w:r>
        <w:rPr>
          <w:rFonts w:hint="eastAsia" w:ascii="宋体" w:hAnsi="宋体"/>
          <w:b/>
          <w:sz w:val="44"/>
          <w:szCs w:val="44"/>
        </w:rPr>
        <w:t>2021年</w:t>
      </w:r>
    </w:p>
    <w:p>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隆尧县公安局 (公章)         单位负责人:          </w:t>
      </w:r>
    </w:p>
    <w:tbl>
      <w:tblPr>
        <w:tblStyle w:val="10"/>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410"/>
        <w:gridCol w:w="7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410"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09"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410" w:type="dxa"/>
            <w:vMerge w:val="continue"/>
            <w:tcBorders>
              <w:top w:val="single" w:color="000000" w:sz="4" w:space="0"/>
              <w:left w:val="single" w:color="auto" w:sz="4" w:space="0"/>
              <w:bottom w:val="single" w:color="000000" w:sz="4" w:space="0"/>
              <w:right w:val="single" w:color="auto" w:sz="4" w:space="0"/>
            </w:tcBorders>
            <w:vAlign w:val="center"/>
          </w:tcPr>
          <w:p/>
        </w:tc>
        <w:tc>
          <w:tcPr>
            <w:tcW w:w="709" w:type="dxa"/>
            <w:vMerge w:val="continue"/>
            <w:tcBorders>
              <w:top w:val="single" w:color="000000" w:sz="4" w:space="0"/>
              <w:left w:val="single" w:color="auto" w:sz="4" w:space="0"/>
              <w:bottom w:val="single" w:color="000000" w:sz="4" w:space="0"/>
              <w:right w:val="single" w:color="auto" w:sz="4" w:space="0"/>
            </w:tcBorders>
            <w:vAlign w:val="center"/>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8897" w:type="dxa"/>
            <w:gridSpan w:val="5"/>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86.1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符合（1）；</w:t>
            </w:r>
          </w:p>
          <w:p>
            <w:pPr>
              <w:widowControl/>
              <w:spacing w:line="240" w:lineRule="exact"/>
              <w:jc w:val="left"/>
              <w:rPr>
                <w:szCs w:val="21"/>
              </w:rPr>
            </w:pPr>
            <w:r>
              <w:rPr>
                <w:rFonts w:ascii="仿宋_GB2312" w:hAnsi="新宋体" w:eastAsia="仿宋_GB2312" w:cs="仿宋_GB2312"/>
                <w:kern w:val="0"/>
                <w:szCs w:val="21"/>
              </w:rPr>
              <w:t>不符合（0）。</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全部符合（2）；</w:t>
            </w:r>
          </w:p>
          <w:p>
            <w:pPr>
              <w:widowControl/>
              <w:spacing w:line="240" w:lineRule="exact"/>
              <w:jc w:val="left"/>
              <w:rPr>
                <w:szCs w:val="21"/>
              </w:rPr>
            </w:pPr>
            <w:r>
              <w:rPr>
                <w:rFonts w:ascii="仿宋_GB2312" w:hAnsi="新宋体" w:eastAsia="仿宋_GB2312" w:cs="仿宋_GB2312"/>
                <w:kern w:val="0"/>
                <w:szCs w:val="21"/>
              </w:rPr>
              <w:t>其中一项不符合（0）。</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在职人员控制率=（在职人员数/编制数）×100%。</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41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0.98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41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tc>
        <w:tc>
          <w:tcPr>
            <w:tcW w:w="851" w:type="dxa"/>
            <w:vMerge w:val="continue"/>
            <w:tcBorders>
              <w:left w:val="single" w:color="000000" w:sz="4" w:space="0"/>
              <w:bottom w:val="single" w:color="000000" w:sz="4" w:space="0"/>
              <w:right w:val="single" w:color="000000" w:sz="4" w:space="0"/>
            </w:tcBorders>
            <w:vAlign w:val="center"/>
          </w:tcPr>
          <w:p/>
        </w:tc>
        <w:tc>
          <w:tcPr>
            <w:tcW w:w="1559"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410" w:type="dxa"/>
            <w:tcBorders>
              <w:top w:val="single" w:color="auto"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1.预算完成率大于或等于95%的，得满分；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2.预算完成率小于或等于85%的，得0分；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pPr>
              <w:widowControl/>
              <w:spacing w:line="240" w:lineRule="exact"/>
              <w:jc w:val="left"/>
              <w:rPr>
                <w:szCs w:val="21"/>
              </w:rPr>
            </w:pPr>
            <w:r>
              <w:rPr>
                <w:rFonts w:ascii="仿宋_GB2312" w:hAnsi="新宋体" w:eastAsia="仿宋_GB2312" w:cs="仿宋_GB2312"/>
                <w:kern w:val="0"/>
                <w:szCs w:val="21"/>
              </w:rPr>
              <w:t>2.预算调整率大于或等于10%的，得0分；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1.55</w:t>
            </w:r>
          </w:p>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pPr>
              <w:widowControl/>
              <w:pBdr>
                <w:top w:val="none" w:color="auto" w:sz="0" w:space="0"/>
                <w:left w:val="none" w:color="auto" w:sz="0" w:space="0"/>
                <w:bottom w:val="none" w:color="auto" w:sz="0" w:space="0"/>
                <w:right w:val="none" w:color="auto" w:sz="0" w:space="0"/>
              </w:pBdr>
              <w:spacing w:line="240" w:lineRule="exact"/>
              <w:jc w:val="left"/>
              <w:rPr>
                <w:szCs w:val="21"/>
              </w:rPr>
            </w:pP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1.结转结余率等于0的，得满分；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2.结转结余率大于或等于50%的，得0分；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1.政府采购执行率等于100%的，得满分；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2.政府采购执行率小于或等于90%的，0分；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pPr>
              <w:widowControl/>
              <w:spacing w:line="240" w:lineRule="exact"/>
              <w:jc w:val="left"/>
              <w:rPr>
                <w:szCs w:val="21"/>
              </w:rPr>
            </w:pPr>
            <w:r>
              <w:rPr>
                <w:rFonts w:ascii="仿宋_GB2312" w:hAnsi="新宋体" w:eastAsia="仿宋_GB2312" w:cs="仿宋_GB2312"/>
                <w:kern w:val="0"/>
                <w:szCs w:val="21"/>
              </w:rPr>
              <w:t>3.项目的重大开支经过评估论证；</w:t>
            </w:r>
          </w:p>
          <w:p>
            <w:pPr>
              <w:widowControl/>
              <w:spacing w:line="240" w:lineRule="exact"/>
              <w:jc w:val="left"/>
              <w:rPr>
                <w:szCs w:val="21"/>
              </w:rPr>
            </w:pPr>
            <w:r>
              <w:rPr>
                <w:rFonts w:ascii="仿宋_GB2312" w:hAnsi="新宋体" w:eastAsia="仿宋_GB2312" w:cs="仿宋_GB2312"/>
                <w:kern w:val="0"/>
                <w:szCs w:val="21"/>
              </w:rPr>
              <w:t>4.符合部门预算批复的用途；</w:t>
            </w:r>
          </w:p>
          <w:p>
            <w:pPr>
              <w:widowControl/>
              <w:spacing w:line="240" w:lineRule="exact"/>
              <w:jc w:val="left"/>
              <w:rPr>
                <w:szCs w:val="21"/>
              </w:rPr>
            </w:pPr>
            <w:r>
              <w:rPr>
                <w:rFonts w:ascii="仿宋_GB2312" w:hAnsi="新宋体" w:eastAsia="仿宋_GB2312" w:cs="仿宋_GB2312"/>
                <w:kern w:val="0"/>
                <w:szCs w:val="21"/>
              </w:rPr>
              <w:t>5.不存在截留情况；</w:t>
            </w:r>
          </w:p>
          <w:p>
            <w:pPr>
              <w:widowControl/>
              <w:spacing w:line="240" w:lineRule="exact"/>
              <w:jc w:val="left"/>
              <w:rPr>
                <w:szCs w:val="21"/>
              </w:rPr>
            </w:pPr>
            <w:r>
              <w:rPr>
                <w:rFonts w:ascii="仿宋_GB2312" w:hAnsi="新宋体" w:eastAsia="仿宋_GB2312" w:cs="仿宋_GB2312"/>
                <w:kern w:val="0"/>
                <w:szCs w:val="21"/>
              </w:rPr>
              <w:t>6.不存在挤占情况；</w:t>
            </w:r>
          </w:p>
          <w:p>
            <w:pPr>
              <w:widowControl/>
              <w:spacing w:line="240" w:lineRule="exact"/>
              <w:jc w:val="left"/>
              <w:rPr>
                <w:szCs w:val="21"/>
              </w:rPr>
            </w:pPr>
            <w:r>
              <w:rPr>
                <w:rFonts w:ascii="仿宋_GB2312" w:hAnsi="新宋体" w:eastAsia="仿宋_GB2312" w:cs="仿宋_GB2312"/>
                <w:kern w:val="0"/>
                <w:szCs w:val="21"/>
              </w:rPr>
              <w:t>7.不存在挪用情况；</w:t>
            </w:r>
          </w:p>
          <w:p>
            <w:pPr>
              <w:widowControl/>
              <w:spacing w:line="240" w:lineRule="exact"/>
              <w:jc w:val="left"/>
              <w:rPr>
                <w:szCs w:val="21"/>
              </w:rPr>
            </w:pPr>
            <w:r>
              <w:rPr>
                <w:rFonts w:ascii="仿宋_GB2312" w:hAnsi="新宋体" w:eastAsia="仿宋_GB2312" w:cs="仿宋_GB2312"/>
                <w:kern w:val="0"/>
                <w:szCs w:val="21"/>
              </w:rPr>
              <w:t>8.不存在虚列支出情况。</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全部符合（8）；</w:t>
            </w:r>
          </w:p>
          <w:p>
            <w:pPr>
              <w:widowControl/>
              <w:spacing w:line="240" w:lineRule="exact"/>
              <w:jc w:val="left"/>
              <w:rPr>
                <w:szCs w:val="21"/>
              </w:rPr>
            </w:pPr>
            <w:r>
              <w:rPr>
                <w:rFonts w:ascii="仿宋_GB2312" w:hAnsi="新宋体" w:eastAsia="仿宋_GB2312" w:cs="仿宋_GB2312"/>
                <w:kern w:val="0"/>
                <w:szCs w:val="21"/>
              </w:rPr>
              <w:t>符合其中七项（6）；</w:t>
            </w:r>
          </w:p>
          <w:p>
            <w:pPr>
              <w:widowControl/>
              <w:spacing w:line="240" w:lineRule="exact"/>
              <w:jc w:val="left"/>
              <w:rPr>
                <w:szCs w:val="21"/>
              </w:rPr>
            </w:pPr>
            <w:r>
              <w:rPr>
                <w:rFonts w:ascii="仿宋_GB2312" w:hAnsi="新宋体" w:eastAsia="仿宋_GB2312" w:cs="仿宋_GB2312"/>
                <w:kern w:val="0"/>
                <w:szCs w:val="21"/>
              </w:rPr>
              <w:t>符合其中六项（4）；</w:t>
            </w:r>
          </w:p>
          <w:p>
            <w:pPr>
              <w:widowControl/>
              <w:spacing w:line="240" w:lineRule="exact"/>
              <w:jc w:val="left"/>
              <w:rPr>
                <w:szCs w:val="21"/>
              </w:rPr>
            </w:pPr>
            <w:r>
              <w:rPr>
                <w:rFonts w:ascii="仿宋_GB2312" w:hAnsi="新宋体" w:eastAsia="仿宋_GB2312" w:cs="仿宋_GB2312"/>
                <w:kern w:val="0"/>
                <w:szCs w:val="21"/>
              </w:rPr>
              <w:t>符合其中五项（2）；</w:t>
            </w:r>
          </w:p>
          <w:p>
            <w:pPr>
              <w:widowControl/>
              <w:spacing w:line="240" w:lineRule="exact"/>
              <w:jc w:val="left"/>
              <w:rPr>
                <w:szCs w:val="21"/>
              </w:rPr>
            </w:pPr>
            <w:r>
              <w:rPr>
                <w:rFonts w:ascii="仿宋_GB2312" w:hAnsi="新宋体" w:eastAsia="仿宋_GB2312" w:cs="仿宋_GB2312"/>
                <w:kern w:val="0"/>
                <w:szCs w:val="21"/>
              </w:rPr>
              <w:t>符合其中四项及以下（0）。</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1.公开预决算信息；</w:t>
            </w:r>
          </w:p>
          <w:p>
            <w:pPr>
              <w:widowControl/>
              <w:spacing w:line="240" w:lineRule="exact"/>
              <w:jc w:val="left"/>
              <w:rPr>
                <w:szCs w:val="21"/>
              </w:rPr>
            </w:pPr>
            <w:r>
              <w:rPr>
                <w:rFonts w:ascii="仿宋_GB2312" w:hAnsi="新宋体" w:eastAsia="仿宋_GB2312" w:cs="仿宋_GB2312"/>
                <w:kern w:val="0"/>
                <w:szCs w:val="21"/>
              </w:rPr>
              <w:t>2.按规定内容公开预决算信息；</w:t>
            </w:r>
          </w:p>
          <w:p>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全部符合（3）；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1.基本财务管理制度健全；</w:t>
            </w:r>
          </w:p>
          <w:p>
            <w:pPr>
              <w:widowControl/>
              <w:spacing w:line="240" w:lineRule="exact"/>
              <w:jc w:val="left"/>
              <w:rPr>
                <w:szCs w:val="21"/>
              </w:rPr>
            </w:pPr>
            <w:r>
              <w:rPr>
                <w:rFonts w:ascii="仿宋_GB2312" w:hAnsi="新宋体" w:eastAsia="仿宋_GB2312" w:cs="仿宋_GB2312"/>
                <w:kern w:val="0"/>
                <w:szCs w:val="21"/>
              </w:rPr>
              <w:t>2.基础数据信息和会计信息资料真实；</w:t>
            </w:r>
          </w:p>
          <w:p>
            <w:pPr>
              <w:widowControl/>
              <w:spacing w:line="240" w:lineRule="exact"/>
              <w:jc w:val="left"/>
              <w:rPr>
                <w:szCs w:val="21"/>
              </w:rPr>
            </w:pPr>
            <w:r>
              <w:rPr>
                <w:rFonts w:ascii="仿宋_GB2312" w:hAnsi="新宋体" w:eastAsia="仿宋_GB2312" w:cs="仿宋_GB2312"/>
                <w:kern w:val="0"/>
                <w:szCs w:val="21"/>
              </w:rPr>
              <w:t>3.基础数据信息和会计信息资料完整；</w:t>
            </w:r>
          </w:p>
          <w:p>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符合全部四项（4）；</w:t>
            </w:r>
          </w:p>
          <w:p>
            <w:pPr>
              <w:widowControl/>
              <w:spacing w:line="240" w:lineRule="exact"/>
              <w:jc w:val="left"/>
              <w:rPr>
                <w:szCs w:val="21"/>
              </w:rPr>
            </w:pPr>
            <w:r>
              <w:rPr>
                <w:rFonts w:ascii="仿宋_GB2312" w:hAnsi="新宋体" w:eastAsia="仿宋_GB2312" w:cs="仿宋_GB2312"/>
                <w:kern w:val="0"/>
                <w:szCs w:val="21"/>
              </w:rPr>
              <w:t>符合其中三项（2）；</w:t>
            </w:r>
          </w:p>
          <w:p>
            <w:pPr>
              <w:widowControl/>
              <w:spacing w:line="240" w:lineRule="exact"/>
              <w:jc w:val="left"/>
              <w:rPr>
                <w:szCs w:val="21"/>
              </w:rPr>
            </w:pPr>
            <w:r>
              <w:rPr>
                <w:rFonts w:ascii="仿宋_GB2312" w:hAnsi="新宋体" w:eastAsia="仿宋_GB2312" w:cs="仿宋_GB2312"/>
                <w:kern w:val="0"/>
                <w:szCs w:val="21"/>
              </w:rPr>
              <w:t>符合其中两项（1）；</w:t>
            </w:r>
          </w:p>
          <w:p>
            <w:pPr>
              <w:widowControl/>
              <w:spacing w:line="240" w:lineRule="exact"/>
              <w:jc w:val="left"/>
              <w:rPr>
                <w:szCs w:val="21"/>
              </w:rPr>
            </w:pPr>
            <w:r>
              <w:rPr>
                <w:rFonts w:ascii="仿宋_GB2312" w:hAnsi="新宋体" w:eastAsia="仿宋_GB2312" w:cs="仿宋_GB2312"/>
                <w:kern w:val="0"/>
                <w:szCs w:val="21"/>
              </w:rPr>
              <w:t>符合其中一项及以下（0）。</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pPr>
              <w:widowControl/>
              <w:spacing w:line="240" w:lineRule="exact"/>
              <w:jc w:val="left"/>
              <w:rPr>
                <w:szCs w:val="21"/>
              </w:rPr>
            </w:pPr>
            <w:r>
              <w:rPr>
                <w:rFonts w:ascii="仿宋_GB2312" w:hAnsi="新宋体" w:eastAsia="仿宋_GB2312" w:cs="仿宋_GB2312"/>
                <w:kern w:val="0"/>
                <w:szCs w:val="21"/>
              </w:rPr>
              <w:t>评价要点：</w:t>
            </w:r>
          </w:p>
          <w:p>
            <w:pPr>
              <w:widowControl/>
              <w:spacing w:line="240" w:lineRule="exact"/>
              <w:jc w:val="left"/>
              <w:rPr>
                <w:szCs w:val="21"/>
              </w:rPr>
            </w:pPr>
            <w:r>
              <w:rPr>
                <w:rFonts w:ascii="仿宋_GB2312" w:hAnsi="新宋体" w:eastAsia="仿宋_GB2312" w:cs="仿宋_GB2312"/>
                <w:kern w:val="0"/>
                <w:szCs w:val="21"/>
              </w:rPr>
              <w:t>1.资产保存完整；</w:t>
            </w:r>
          </w:p>
          <w:p>
            <w:pPr>
              <w:widowControl/>
              <w:spacing w:line="240" w:lineRule="exact"/>
              <w:jc w:val="left"/>
              <w:rPr>
                <w:szCs w:val="21"/>
              </w:rPr>
            </w:pPr>
            <w:r>
              <w:rPr>
                <w:rFonts w:ascii="仿宋_GB2312" w:hAnsi="新宋体" w:eastAsia="仿宋_GB2312" w:cs="仿宋_GB2312"/>
                <w:kern w:val="0"/>
                <w:szCs w:val="21"/>
              </w:rPr>
              <w:t>2.资产账务管理是否合规，帐实相符；</w:t>
            </w:r>
          </w:p>
          <w:p>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41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符合全部三项（3）；</w:t>
            </w:r>
          </w:p>
          <w:p>
            <w:pPr>
              <w:widowControl/>
              <w:spacing w:line="240" w:lineRule="exact"/>
              <w:jc w:val="left"/>
              <w:rPr>
                <w:szCs w:val="21"/>
              </w:rPr>
            </w:pPr>
            <w:r>
              <w:rPr>
                <w:rFonts w:ascii="仿宋_GB2312" w:hAnsi="新宋体" w:eastAsia="仿宋_GB2312" w:cs="仿宋_GB2312"/>
                <w:kern w:val="0"/>
                <w:szCs w:val="21"/>
              </w:rPr>
              <w:t>符合其中两项（2）；</w:t>
            </w:r>
          </w:p>
          <w:p>
            <w:pPr>
              <w:widowControl/>
              <w:spacing w:line="240" w:lineRule="exact"/>
              <w:jc w:val="left"/>
              <w:rPr>
                <w:szCs w:val="21"/>
              </w:rPr>
            </w:pPr>
            <w:r>
              <w:rPr>
                <w:rFonts w:ascii="仿宋_GB2312" w:hAnsi="新宋体" w:eastAsia="仿宋_GB2312" w:cs="仿宋_GB2312"/>
                <w:kern w:val="0"/>
                <w:szCs w:val="21"/>
              </w:rPr>
              <w:t>符合其中一项（1）；</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符合零项（0）。</w:t>
            </w: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410" w:type="dxa"/>
            <w:tcBorders>
              <w:top w:val="single" w:color="auto"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pPr>
              <w:widowControl/>
              <w:pBdr>
                <w:top w:val="none" w:color="auto" w:sz="0" w:space="0"/>
                <w:left w:val="none" w:color="auto" w:sz="0" w:space="0"/>
                <w:bottom w:val="none" w:color="auto" w:sz="0" w:space="0"/>
                <w:right w:val="none" w:color="auto"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pPr>
              <w:widowControl/>
              <w:pBdr>
                <w:top w:val="none" w:color="auto" w:sz="0" w:space="0"/>
                <w:left w:val="none" w:color="auto" w:sz="0" w:space="0"/>
                <w:bottom w:val="none" w:color="auto" w:sz="0" w:space="0"/>
                <w:right w:val="none" w:color="auto" w:sz="0" w:space="0"/>
              </w:pBdr>
              <w:spacing w:line="240" w:lineRule="exact"/>
              <w:jc w:val="left"/>
              <w:rPr>
                <w:szCs w:val="21"/>
              </w:rPr>
            </w:pPr>
          </w:p>
        </w:tc>
        <w:tc>
          <w:tcPr>
            <w:tcW w:w="709"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410"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tc>
        <w:tc>
          <w:tcPr>
            <w:tcW w:w="1559"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410" w:type="dxa"/>
            <w:tcBorders>
              <w:top w:val="single" w:color="000000" w:sz="4" w:space="0"/>
              <w:left w:val="single" w:color="auto"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1.项目质量达标率等于100%的，得满分；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709"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新宋体" w:eastAsia="仿宋_GB2312" w:cs="仿宋_GB2312"/>
                <w:kern w:val="0"/>
                <w:szCs w:val="21"/>
              </w:rPr>
            </w:pPr>
          </w:p>
          <w:p>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tc>
        <w:tc>
          <w:tcPr>
            <w:tcW w:w="851" w:type="dxa"/>
            <w:vMerge w:val="continue"/>
            <w:tcBorders>
              <w:left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tc>
        <w:tc>
          <w:tcPr>
            <w:tcW w:w="851" w:type="dxa"/>
            <w:vMerge w:val="continue"/>
            <w:tcBorders>
              <w:left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tc>
        <w:tc>
          <w:tcPr>
            <w:tcW w:w="851" w:type="dxa"/>
            <w:vMerge w:val="continue"/>
            <w:tcBorders>
              <w:left w:val="single" w:color="000000" w:sz="4" w:space="0"/>
              <w:right w:val="single" w:color="000000" w:sz="4" w:space="0"/>
            </w:tcBorders>
            <w:vAlign w:val="center"/>
          </w:tcPr>
          <w:p/>
        </w:tc>
        <w:tc>
          <w:tcPr>
            <w:tcW w:w="1559"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pPr>
              <w:widowControl/>
              <w:pBdr>
                <w:top w:val="none" w:color="auto" w:sz="0" w:space="0"/>
                <w:left w:val="none" w:color="auto" w:sz="0" w:space="0"/>
                <w:bottom w:val="none" w:color="auto" w:sz="0" w:space="0"/>
                <w:right w:val="none" w:color="auto"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410"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709"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bl>
    <w:p>
      <w:pPr>
        <w:widowControl/>
        <w:spacing w:line="480" w:lineRule="exact"/>
        <w:jc w:val="left"/>
        <w:rPr>
          <w:rFonts w:ascii="仿宋" w:hAnsi="仿宋" w:eastAsia="仿宋" w:cs="仿宋"/>
          <w:kern w:val="0"/>
          <w:sz w:val="32"/>
          <w:szCs w:val="32"/>
          <w:shd w:val="clear" w:color="auto" w:fill="FFFFFF"/>
        </w:rPr>
      </w:pPr>
    </w:p>
    <w:p>
      <w:pPr>
        <w:rPr>
          <w:rFonts w:ascii="黑体" w:hAnsi="黑体" w:eastAsia="黑体" w:cs="黑体"/>
          <w:b/>
          <w:bCs/>
          <w:sz w:val="30"/>
          <w:szCs w:val="30"/>
        </w:rPr>
      </w:pPr>
      <w:r>
        <w:rPr>
          <w:rFonts w:hint="eastAsia" w:ascii="黑体" w:hAnsi="黑体" w:eastAsia="黑体" w:cs="黑体"/>
          <w:b/>
          <w:bCs/>
          <w:sz w:val="30"/>
          <w:szCs w:val="30"/>
        </w:rPr>
        <w:t>(后附部门整体自评报告)</w:t>
      </w:r>
    </w:p>
    <w:p>
      <w:pPr>
        <w:ind w:firstLine="780"/>
        <w:jc w:val="center"/>
        <w:rPr>
          <w:rFonts w:ascii="宋体" w:cs="黑体"/>
          <w:b/>
          <w:bCs/>
          <w:sz w:val="44"/>
          <w:szCs w:val="44"/>
        </w:rPr>
      </w:pPr>
      <w:r>
        <w:rPr>
          <w:rFonts w:hint="eastAsia" w:ascii="宋体" w:cs="黑体"/>
          <w:b/>
          <w:bCs/>
          <w:sz w:val="44"/>
          <w:szCs w:val="44"/>
        </w:rPr>
        <w:t>隆尧县公安局</w:t>
      </w:r>
    </w:p>
    <w:p>
      <w:pPr>
        <w:ind w:firstLine="780"/>
        <w:jc w:val="center"/>
        <w:rPr>
          <w:rFonts w:ascii="宋体" w:cs="黑体"/>
          <w:b/>
          <w:bCs/>
          <w:sz w:val="44"/>
          <w:szCs w:val="44"/>
        </w:rPr>
      </w:pPr>
      <w:r>
        <w:rPr>
          <w:rFonts w:hint="eastAsia" w:ascii="宋体" w:cs="黑体"/>
          <w:b/>
          <w:bCs/>
          <w:sz w:val="44"/>
          <w:szCs w:val="44"/>
        </w:rPr>
        <w:t>2021年部门整体支出绩效评价报告</w:t>
      </w:r>
    </w:p>
    <w:p>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一、基本概况。</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(一)部门主要职责职能和部门组织架构</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部门主要职责：</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（一）贯彻执行国家、省、市公安工作的方针政策、法律法规及规章，结合我县实际制定相关政策、措施和办法，经县政府批准后组织实施。</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（二）按照县委、县政府和上级公安部门的指示及工作部署，研究安排和组织实施全县公安工作，并督促检查执行情况。</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（三）规划全县公安工作，研究全县公安工作重大情况（四）搜集、掌握影响政治稳定、危害国家安全和社会治安的有关情况，分析形势，制定对策，适时组织实施。</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（五）指导对危害国家安全案件、刑事案件、经济犯罪案件、和重大问题，推进全县公安工作的改革和发展。</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毒品犯罪案件、恐怖犯罪案件的侦查工作，直接立案侦办重大案件。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（八）组织实施消防工作，依法进行消防监督。</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（九）组织实施全县公安机关警卫工作，负责对来我县的党和国家领导人以及重要外宾和重要会议的安全警卫工作。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（十）组织指导全县公安机关开展网络安全保卫工作，监督检查指导信息安全等级保护工作；直接立案侦办涉及网络安全的重特大案件。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（十一）指导全县监管场所及监视设备的建设和管理；指导对收押人员的监管、教育工作。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（十二）指导监督全县公安机关执法活动，拟订有关公安工作规范性文件；指导办理听证、行政复议、国家赔偿、刑事诉讼案件工作。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（十三）指导、监督并组织实施全县公安机关维护城乡道路交通安全、交通秩序及对机动车辆驾驶人的管理工作。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（十四）监督、检查和指导全县出入境管理工作，管理全县公民非公务活动出境和来隆境外人员，依法组织侦办和查处涉外案（事）件。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（十五）规划全县公安科学技术和公安信息化建设工作，组织实施公安信息技术、刑事科学技术及技术侦察手段建设。</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（十六）规划、指导并组织实施全县公安队伍正规化、职业化建设以及公安宣传、教育、训练和思想政治工作；按照权限管理公安干部；搞好全县消防等公安现役部队建设。</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（十七）组织实施并指导全县公安机关的警务督察工作；查处和督办公安民警重大违法、违纪案件；维护公安民警正当执法权益。</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（十八）执行公安机关装备、被装配备标准并负责管理工作；执导全县公安机关财务、经费等保障工作。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（十九）对武警隆尧县中队执行公安任务及相关业务建设实施领导和指挥。</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（二十）承办县委、县政府和上级公安机关交办的其他事项。</w:t>
      </w:r>
    </w:p>
    <w:p>
      <w:pPr>
        <w:autoSpaceDE w:val="0"/>
        <w:autoSpaceDN w:val="0"/>
        <w:adjustRightIn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机构设置：</w:t>
      </w:r>
    </w:p>
    <w:p>
      <w:pPr>
        <w:snapToGrid w:val="0"/>
        <w:spacing w:line="560" w:lineRule="exact"/>
        <w:ind w:firstLine="480" w:firstLineChars="200"/>
        <w:rPr>
          <w:rFonts w:ascii="仿宋" w:hAnsi="仿宋" w:eastAsia="仿宋" w:cs="仿宋"/>
          <w:sz w:val="24"/>
        </w:rPr>
      </w:pPr>
      <w:r>
        <w:rPr>
          <w:rFonts w:hint="eastAsia" w:ascii="仿宋" w:hAnsi="仿宋" w:eastAsia="仿宋" w:cs="仿宋"/>
          <w:sz w:val="24"/>
        </w:rPr>
        <w:t>纳入隆尧县公安局（部门）决算的机构设置情况如下：</w:t>
      </w:r>
    </w:p>
    <w:tbl>
      <w:tblPr>
        <w:tblStyle w:val="10"/>
        <w:tblW w:w="811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568"/>
        <w:gridCol w:w="1488"/>
        <w:gridCol w:w="2028"/>
        <w:gridCol w:w="20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单位名称</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单位性质</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单位规格</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3"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隆尧县公安局</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正科级</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隆尧县看守所</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正股级</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1" w:hRule="atLeast"/>
          <w:jc w:val="center"/>
        </w:trPr>
        <w:tc>
          <w:tcPr>
            <w:tcW w:w="256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隆尧县武警中队</w:t>
            </w:r>
          </w:p>
        </w:tc>
        <w:tc>
          <w:tcPr>
            <w:tcW w:w="148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行政</w:t>
            </w: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p>
        </w:tc>
        <w:tc>
          <w:tcPr>
            <w:tcW w:w="2028" w:type="dxa"/>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pacing w:line="560" w:lineRule="exact"/>
              <w:jc w:val="center"/>
              <w:rPr>
                <w:rFonts w:ascii="仿宋" w:hAnsi="仿宋" w:eastAsia="仿宋"/>
              </w:rPr>
            </w:pPr>
            <w:r>
              <w:rPr>
                <w:rFonts w:hint="eastAsia" w:ascii="仿宋" w:hAnsi="仿宋" w:eastAsia="仿宋"/>
              </w:rPr>
              <w:t>财政拨款</w:t>
            </w:r>
          </w:p>
        </w:tc>
      </w:tr>
    </w:tbl>
    <w:p>
      <w:pPr>
        <w:snapToGrid w:val="0"/>
        <w:spacing w:line="560" w:lineRule="exact"/>
        <w:rPr>
          <w:rFonts w:ascii="仿宋_GB2312" w:hAnsi="仿宋" w:eastAsia="仿宋_GB2312"/>
          <w:sz w:val="32"/>
          <w:szCs w:val="32"/>
        </w:rPr>
      </w:pP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（二）人员及资产情况。</w:t>
      </w:r>
    </w:p>
    <w:p>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人员情况：</w:t>
      </w:r>
    </w:p>
    <w:p>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2021年末公安局实有在职人员</w:t>
      </w:r>
      <w:r>
        <w:rPr>
          <w:rFonts w:ascii="仿宋" w:hAnsi="仿宋" w:eastAsia="仿宋"/>
          <w:sz w:val="32"/>
          <w:szCs w:val="32"/>
        </w:rPr>
        <w:t>256</w:t>
      </w:r>
      <w:r>
        <w:rPr>
          <w:rFonts w:hint="eastAsia" w:ascii="仿宋" w:hAnsi="仿宋" w:eastAsia="仿宋"/>
          <w:sz w:val="32"/>
          <w:szCs w:val="32"/>
        </w:rPr>
        <w:t>人，不包括劳务派遣人员及交警、武警，较上年增加5人，原因为2021年死亡1人、退休3人、调出7人、新增16人。</w:t>
      </w:r>
    </w:p>
    <w:p>
      <w:pPr>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资产情况:2021年末资产6299.38万元 。</w:t>
      </w:r>
    </w:p>
    <w:p>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（三）部门履职总体目标。</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隆尧县公安局将在市局和县委、县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bCs/>
          <w:sz w:val="32"/>
          <w:szCs w:val="32"/>
        </w:rPr>
        <w:t>1、维护国家安全和政治稳定。</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2、降低案件发案率，提高案件侦破率。</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3、维护社会稳定，提高群众安全感和满意度。</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5、提高科学技术水平，为公安机关开展业务工作提供技术支持。</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6、确保公安各项业务顺利开展，维护社会稳定能力增强。</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7、预防减少不稳定因素的发生，有效化解不稳定隐患、群体性事件和突发事件，维护国家安全工作。</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8、社会治安突出问题得以解决，社会矛盾纠纷得以排查和调处，社会治安形势得以好转。</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9、实现全县经济社会发展安全安定、人民生活和谐有序。</w:t>
      </w:r>
    </w:p>
    <w:p>
      <w:pPr>
        <w:adjustRightInd w:val="0"/>
        <w:spacing w:line="560" w:lineRule="exact"/>
        <w:rPr>
          <w:rFonts w:ascii="仿宋" w:hAnsi="仿宋" w:eastAsia="仿宋"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r>
        <w:rPr>
          <w:rFonts w:hint="eastAsia" w:ascii="仿宋" w:hAnsi="仿宋" w:eastAsia="仿宋" w:cs="仿宋"/>
          <w:sz w:val="32"/>
          <w:szCs w:val="32"/>
        </w:rPr>
        <w:t>。</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2021年我部门初预算资金安排</w:t>
      </w:r>
      <w:r>
        <w:rPr>
          <w:rFonts w:ascii="仿宋" w:hAnsi="仿宋" w:eastAsia="仿宋" w:cs="仿宋"/>
          <w:sz w:val="32"/>
          <w:szCs w:val="32"/>
        </w:rPr>
        <w:t>6558.6</w:t>
      </w:r>
      <w:r>
        <w:rPr>
          <w:rFonts w:hint="eastAsia" w:ascii="仿宋" w:hAnsi="仿宋" w:eastAsia="仿宋" w:cs="仿宋"/>
          <w:sz w:val="32"/>
          <w:szCs w:val="32"/>
        </w:rPr>
        <w:t>3万元，实际支出6683.56万元。</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（一）部门开展预算绩效管理情况。</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加强组织领导。成立由主要领导任组长的预算绩效管理工作领导小组，从预算编制、执行、监控、分析、报告、评价等方面全流程予以管理，提高各级领导绩效意识，理顺工作运行机制，形成齐抓共管的良好局面。</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健全完善制度。根据上级全面实施绩效管理的意见，相关规定，结合公安实际制定系列绩效管理制度。在预算方面，制定预算绩效管理办法，规范事前绩效评估、预算绩效目标设定、绩效运行监控等工作规范，明确各警种部门职责，健全运转顺畅、相互协调的工作流程，为全年预算绩效目标的实现奠定制度基础。</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加强绩效运行监控。充分发挥项目绩效管理规定的作用，按照节点对相关警种部门的项目推动和建设各环节进行打分。对支出进度、资金绩效、内控制度执行情况等进行实时监控，发现问题及时采取措施，确保绩效目标如期保质实现。</w:t>
      </w:r>
    </w:p>
    <w:p>
      <w:pPr>
        <w:spacing w:line="56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做好绩效自评。按财政要求，组织各警种部门对部门预算绩效开展自评，自评率100%。组织公安系统专家和社会专家，对重点资金使用情况进行重点评价，对发现的问题及时整改。将评价结果与下年度预算安排相结合，调整优化支出结构，提高财政资金使用效益。</w:t>
      </w:r>
    </w:p>
    <w:p>
      <w:pPr>
        <w:adjustRightInd w:val="0"/>
        <w:spacing w:line="560" w:lineRule="exact"/>
        <w:ind w:firstLine="480" w:firstLineChars="150"/>
        <w:rPr>
          <w:rFonts w:ascii="仿宋" w:hAnsi="仿宋" w:eastAsia="仿宋" w:cs="仿宋"/>
          <w:sz w:val="32"/>
          <w:szCs w:val="32"/>
        </w:rPr>
      </w:pPr>
      <w:r>
        <w:rPr>
          <w:rFonts w:hint="eastAsia" w:ascii="仿宋" w:hAnsi="仿宋" w:eastAsia="仿宋" w:cs="仿宋"/>
          <w:sz w:val="32"/>
          <w:szCs w:val="32"/>
        </w:rPr>
        <w:t>（二）工作履行活动完成情况和实施履职活动产生的效果或服务对象满意程度。</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以来，隆尧县公安局在市局和县委、县政府的坚强领导下，按照各级政法和公安工作会议和年初工作部署，紧紧围绕建党100周年创造安全稳定政治社会环境这条主线，牢牢把握对党忠诚、服务人民、执法公正、纪律严明总要求，聚焦“保五争三拼第一”工作目标，扎实开展“燕赵-砺剑铸盾”专项行动和“奋战一百天全警争一流”活动，全力提升维护稳定、打击犯罪、防控防范、基础支撑、护航发展、规范执法、队伍管理等能力，不断推进公安工作高质量赶超发展，为建设“经济强县、平安隆尧”贡献力量，圆满完成年度重点工作任务在2021年群众满意度测评中名列前</w:t>
      </w:r>
      <w:r>
        <w:rPr>
          <w:rFonts w:hint="eastAsia" w:ascii="仿宋" w:hAnsi="仿宋" w:eastAsia="仿宋" w:cs="仿宋"/>
          <w:sz w:val="32"/>
          <w:szCs w:val="32"/>
          <w:lang w:eastAsia="zh-CN"/>
        </w:rPr>
        <w:t>茅</w:t>
      </w:r>
      <w:bookmarkStart w:id="0" w:name="_GoBack"/>
      <w:bookmarkEnd w:id="0"/>
      <w:r>
        <w:rPr>
          <w:rFonts w:hint="eastAsia" w:ascii="仿宋" w:hAnsi="仿宋" w:eastAsia="仿宋" w:cs="仿宋"/>
          <w:sz w:val="32"/>
          <w:szCs w:val="32"/>
        </w:rPr>
        <w:t>。</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是强化社会管控，保持严打高压。扎实开展“燕赵-砺剑铸盾”专项行动，严打各类违法犯罪行为。今年以来共受理各类治安案件1458起，查处733起，查处违法人员法制639人。立刑事案件861起、破获245起，抓获各类犯罪嫌疑人421人。抓获各类网上逃犯73人，其中外地上网逃犯17人、历年网逃8人。严打突出违法犯罪。成功破获“3.10”张某故意杀人案、“3.25”李某故意杀人案两起现行命案，实现了命案现案破案率100%的目标。通过DNA数据采集比对，成功比中两名被拐儿童，有效推动了打拐工作开展。在打击涉枪工作中，成功破获“6.10”非法制造枪支案等一批刑事案件，抓获各类嫌疑人10人。在市局组织的“公安部9.29”四川、广西集中收缴枪支行动中，核查线索13条，形成战果8条，查获改装制造火药枪8支、气枪1支；成功破获薛某非法制造改装火药枪案，抓获犯罪嫌疑人2人，收缴改装枪支2把。扫黑除恶常态化斗争方面，2020年11月，吴某涉黑案二审生效后，“5.31”专案组的大部分工作已经结束，但该案还有重要逃犯在逃，采取强制措施的18名犯罪嫌疑人需要依法起诉，大约有价值4亿元的涉黑财产，需要依法向邢台市中级人民法院提起没收程序等工作，主要包括：吴某涉黑组织冻结的公司股权9项；贵州的两宗矿用土地；石家庄两处开发用地；查封海南、山东等地的22套房产；查封的智高地产的10辆汽车，冻结吴某实际控制公司涉案金额6800余万元，扣押的现金6900万元。“5.31”专案组将守正笃实，打好收官战。在打击多发性侵财犯罪方面，共破获电信诈骗案件85起，抓获电信诈骗案件嫌疑人143人，惩戒涉案两卡人员139人。共制止电诈案件50余起，共紧急止付冻结涉案账号170余个，止付冻结涉案资金2200余万元。在打击涉污违法犯罪方面，共办理污染环境类行政案件42起，行政拘留41人。办理刑事案件1起，移送起诉1人。查处非法采砂采矿案件3起，抓获犯罪嫌疑人11名，其中刑事拘留10人，逮捕1人，取保9人。研究起草了《隆尧县开展禁止非法生产、运输、销售、储存、燃放烟花爆竹集中攻坚行动实施方案》，共查处烟花爆竹案件54起，行政拘留51人，行政处罚3人。在打击金融犯罪方面，共核查反馈云端线索19条线索，其中集群战役8条，数据协同11条。抓获“赵某等人涉嫌非法吸收公众存款案”犯罪嫌疑人孙某，完成非法集资积案清零任务。收缴假币12500余元。立案侦查9起，破案7起，抓获网上逃犯3人，刑事拘留6人，取保候审6人，移送起诉15人。目前，正在侦办“颜某、王某等人涉嫌合同诈骗案”，该案涉案金额1.2亿元，涉及北京、上海、浙江、广东、重庆等12个省市地区，我局成立了专案组，由原分管经侦的局领导担任组长，抽调法制大队长提前介入，参与办案指导。在治安管理防范方面，查处黄赌案件13起，其中，刑事案件1起，行政案件12起，刑事拘留2人，行政拘留51人，行政罚款41人；破获涉森林系统案件7起，抓获犯罪嫌疑人8人；全县55家旅馆全部完成旅馆业人像识别系统的安装使用工作。落实查证涉枪线索4条，办理涉枪案件1起，刑事拘留1人，取保1人、移送起诉2人。大力推进智慧安防小区建设，完成智慧安防小区62处，完成率100%。在禁毒方面，查处40起非法种植案件，铲除罂粟**株，种植率较去年下降23%。今年9月份，经市局指定管辖，破获一起在邢台市区内发生的贩毒案件，抓获贩毒人员1名。查处我市首例吸食新型毒品“大麻电子烟”涉毒人员1人。查处2起易制毒化学品案件，对2家企业进行了处罚。对辖区涉毒人员，依法采取强制隔离戒毒1人，社区戒毒1人。强化禁毒宣传，建成了一处大型禁毒教育长廊，获得市禁毒委的好评。交通管理方面。深入开展道路交通秩序整治行动，今年以来共查处各类交通违法行为56710起，其中酒后驾驶328起，醉酒驾驶16起，行政拘留18人，刑事拘留21人。事故中队相继建立了“远程定责、快速理赔”机制和“四位一体、道路交通法庭”机制，通过音视频通话取证和在中队大厅设置窗口，协调签约律师事务所、司法局、人民法院派专人入驻，负责案件调解工作，进一步提升了一般事故、复杂异议事故快速处理能力。今年以来共办理交通案件1290起，死亡23人，受伤680人，直接损失38万余元。网络安全方面。通过市局向省厅、公安部发送情报专案2起，发起集群战役2起，其中一起被公安部评为五星情报。侦破3起通讯行业“内鬼”侵犯公民个人信息案，抓获通犯罪嫌疑人3名，扣押“接码”手机3部，获取外地涉案线索48条，覆盖12个省市，成功捣毁了一条“网络黑灰产业链”；侦破1起非法获取、家庭摄像头控制权限偷看、偷拍新型网络犯罪案件，抓获犯罪嫌疑人1名，查扣手机1部，查获家庭网络摄像头控制权限ID编码39个。市局发贺电表示祝贺，市县领导对合成作战中心在打击工作中取得的成绩给予了高度肯定。强化出入境管理，继续落实上级内部要求，非必要紧急事由不建议办理，截至目前共受理护照15人，港澳证22人次。扎实开展“三非”外国人治理工作，组织开展“三非”集中宣传8次，查获非法入境人员4名、非法居留人员2名。经民警摸排走访，查获一非法入境越南籍男子，目前在拘留所进行拘留审查，待查实身份后遣送出境。推进监所“铁桶工程”建设，严守场所封闭管理、人员核酸检测、收押过渡隔离“三条底线”，认真落实各项防控措施，确保监所安全。今年以来看守所收押各类违法犯罪人员226名，处理出所各类人员248名，现有在押人员125名。治安拘留所共办理执行拘留463人，现有在押人员1人（拘留审查越南人）。</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是强化责任担当，全力防控疫情。为全面做好全县疫情防控工作，成立隆尧县公安局疫情防控工作领导小组，协同作战。在县界、城界设置封控检查点11个，开展车辆检查、人员劝返工作。对城区42个小区、13个城中村和28个管控点位，开展对车辆、人员疏导劝返，维护现场秩序，实现了城区人员、车辆静止状态；强化大数据接受、推送工作，</w:t>
      </w:r>
      <w:r>
        <w:rPr>
          <w:rFonts w:hint="eastAsia" w:ascii="仿宋" w:hAnsi="仿宋" w:eastAsia="仿宋" w:cs="仿宋"/>
          <w:sz w:val="32"/>
          <w:szCs w:val="32"/>
          <w:lang w:eastAsia="zh-CN"/>
        </w:rPr>
        <w:t>推广应用</w:t>
      </w:r>
      <w:r>
        <w:rPr>
          <w:rFonts w:hint="eastAsia" w:ascii="仿宋" w:hAnsi="仿宋" w:eastAsia="仿宋" w:cs="仿宋"/>
          <w:sz w:val="32"/>
          <w:szCs w:val="32"/>
        </w:rPr>
        <w:t>“万人归属地一键查询”小程序，加快了疫情数据核查速度和准确性。抽调30名警力参加县疫情指挥部流调工作，确保精准摸清人员行程轨迹。对全县13个方舱、宾馆隔离点组织警力开展24小时执勤；严厉打击涉疫违法犯罪，共查处涉及疫情行政案件31起，行政拘留7人、行政警告5人；1月13日凌晨，按照市局要求，抽调31名警力，组成了援南抗疫突击队，连续战斗29天，开展对南宫市涉疫重点村庄全员转移、外围区域风控、重点路段管控、主城区机动巡查等任务。牵头承办全县自动测温人脸识别系统，由专人负责管理维护，通过每日通报在线率，确保设备在线率和使用率，切实发挥哨点检测作用，建成速度全市第二，在线率保持先进。</w:t>
      </w:r>
    </w:p>
    <w:p>
      <w:pPr>
        <w:adjustRightIn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三是强化人员管控，维护社会稳定。</w:t>
      </w:r>
      <w:r>
        <w:rPr>
          <w:rFonts w:hint="eastAsia" w:ascii="仿宋" w:hAnsi="仿宋" w:eastAsia="仿宋" w:cs="仿宋"/>
          <w:sz w:val="32"/>
          <w:szCs w:val="32"/>
          <w:lang w:val="en-US" w:eastAsia="zh-CN"/>
        </w:rPr>
        <w:t>...略。</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四是强化护航发展，优化营商环境。统筹兼顾抓好疫情防控工作和经济发展建设，今年以来，组织局领导班子成员和各派出所对全县100家规模以上企业开展走访企业活动，听取企业保障需求，落实服务保障措施，切实发挥好保驾护航作用。各涉企警种开通办事预约电话，最大限度地为疫情防控期间复工企业办理各项审批业务提供便利。由政府副县长、公安局长王爱国同志亲自协调，联合检、法、司的驻今麦郎法律服务工作室启动，为企业提供法律咨询保驾护航。在全县“城建工作百日会战”中，成功处置李某等人私藏危爆物品和管制刀具案件，抓获违法嫌疑人11人，查获散装汽油100余升，管制刀具14把。严打拖欠农民工工资违法犯罪，查处北京某公司承建隆尧县丰硕院棚户区改造项目、河北某物业公司和牛桥乡煤改气工程3起拒不支付劳动报酬案，刑事拘留3人，帮助110名农民工追回拖欠工资134万余元。</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五是强化案审监督，提升执法质量。2021年共受理警情2666起；行政案件1257起，行政处罚510人（其中行政拘留424人）；刑事案件787起，刑事拘留240人，取保候审236人，监视居住31人，逮捕134人，移送审查起诉422人。积极落实复议诉讼公安机关负责人出庭制度，法制大队组织全体人员旁听。强化执法培训，邀请检察院副检察长、刑事二庭主任，法院副院长、未成年审判庭厅长、刑庭副厅长对我局法制员进行授课；邀请司法局对新实施的《中华人民共和国行政处罚法》进行培训。我局作为“河北省政法大数据办案平台证据标准指引系统”试点县，立案1866起，刑事拘留337人，取保候审216人，监视居住25人，提请逮捕239起，移送起诉356起。及时同检法就刑事案件侦查起诉过程中发现的问题共同商讨，掌握统一尺度，确保刑事案件不捕率、退差率下降。重大复杂的刑事案件法制法制组织检察院提前介入。强化执法办案中心建设，我局目前是邢台地区唯一一个独门独院管理的执法办案管理中心，4月15日，省厅法制总队领导予了充分的肯定。</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六是强化队伍管理，打造公安铁军。扎实开展政法队伍教育整顿活动，按照中央、省市县部署要求，圆满完成了各阶段规定动作要求，受到各级督导、指导检查组的肯定。深化从优待警工作，11月3日，组织全体民辅警及离退休老干部分批次在隆尧县医院开展体检活动。完善退休民辅警离职欢送制度，对离职民辅警为公安工作做出的贡献给予评价和肯定。为进一步发扬公安优良传统，打造多元化的公安队伍育警模式，帮助青年民警更快更好成长，11月30日,举行首届“传帮带”结对仪式。来自各警种部门的业务骨干，与青年民警结成27对“传帮带”新老组合,促进新警迅速成长。开展辅警招录计划，县委、县政府已作出公安招录200人、交警招录70人批示，招录工作正在进行中。文化育警，激发队伍新活力。评选出为“亮剑之星”“扫黑勇士”“最美女警”“最美警嫂”，于8月26日举行“最美人物”颁奖仪式。扎实开展“我为群众办实事”</w:t>
      </w:r>
      <w:r>
        <w:rPr>
          <w:rFonts w:hint="eastAsia" w:ascii="仿宋" w:hAnsi="仿宋" w:eastAsia="仿宋" w:cs="仿宋"/>
          <w:sz w:val="32"/>
          <w:szCs w:val="32"/>
          <w:lang w:eastAsia="zh-CN"/>
        </w:rPr>
        <w:t>实践</w:t>
      </w:r>
      <w:r>
        <w:rPr>
          <w:rFonts w:hint="eastAsia" w:ascii="仿宋" w:hAnsi="仿宋" w:eastAsia="仿宋" w:cs="仿宋"/>
          <w:sz w:val="32"/>
          <w:szCs w:val="32"/>
        </w:rPr>
        <w:t>活动，举办我做的群众最满意的一件事报告会，来自不同岗位的10名民辅警讲述了自己履职担当、用心解决人民群众的烦心事的故事，展现了现时代公安民警倾心为民的情怀和担当。我局共出台便民利企措施19项，办实事解难题180件，收到锦旗14面。圆满完成全省特警“红蓝对抗”拉动演练关键环节的参演任务，配合市局完成各项任务，特巡警在全市考核中名列北部警务协作区第一名，全市第二名。共办理民警维权案件4起，刑事拘留7人，行政拘留2人。强化公安宣传，先后在国家级报刊媒体刊发稿件9篇，省、市级媒体刊发稿件22篇。</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评价对象绩效目标。</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2021年，隆尧县公安局将在市公安局和县委、县政府的坚强领导下，紧紧围绕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w:t>
      </w:r>
    </w:p>
    <w:p>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绩效指标。</w:t>
      </w:r>
    </w:p>
    <w:p>
      <w:pPr>
        <w:adjustRightIn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根据项目性质结合部门工作实际设定</w:t>
      </w:r>
      <w:r>
        <w:rPr>
          <w:rFonts w:hint="eastAsia" w:ascii="仿宋" w:hAnsi="仿宋" w:eastAsia="仿宋" w:cs="仿宋_GB2312"/>
          <w:color w:val="000000"/>
          <w:kern w:val="0"/>
          <w:sz w:val="32"/>
          <w:szCs w:val="32"/>
        </w:rPr>
        <w:t>认真完善反映行业特点和项目特征的个性绩效指标，提高绩效目标与指标的相关性，从</w:t>
      </w:r>
      <w:r>
        <w:rPr>
          <w:rFonts w:hint="eastAsia" w:ascii="仿宋" w:hAnsi="仿宋" w:eastAsia="仿宋"/>
          <w:sz w:val="32"/>
          <w:szCs w:val="32"/>
        </w:rPr>
        <w:t>数量指标、质量指标、时效指标、社会效益指标多维度对项目进行绩效考核。</w:t>
      </w:r>
    </w:p>
    <w:p>
      <w:pPr>
        <w:pStyle w:val="15"/>
        <w:numPr>
          <w:ilvl w:val="0"/>
          <w:numId w:val="2"/>
        </w:numPr>
        <w:adjustRightInd w:val="0"/>
        <w:spacing w:line="560" w:lineRule="exact"/>
        <w:ind w:firstLineChars="0"/>
        <w:rPr>
          <w:rFonts w:ascii="仿宋" w:hAnsi="仿宋" w:eastAsia="仿宋" w:cs="仿宋"/>
          <w:sz w:val="32"/>
          <w:szCs w:val="32"/>
        </w:rPr>
      </w:pPr>
      <w:r>
        <w:rPr>
          <w:rFonts w:hint="eastAsia" w:ascii="仿宋" w:hAnsi="仿宋" w:eastAsia="仿宋" w:cs="仿宋"/>
          <w:sz w:val="32"/>
          <w:szCs w:val="32"/>
        </w:rPr>
        <w:t>评价标准和评价方法。</w:t>
      </w:r>
    </w:p>
    <w:p>
      <w:pPr>
        <w:widowControl/>
        <w:spacing w:line="560" w:lineRule="exact"/>
        <w:ind w:firstLine="640" w:firstLineChars="200"/>
        <w:jc w:val="left"/>
        <w:rPr>
          <w:rFonts w:ascii="仿宋" w:hAnsi="仿宋" w:eastAsia="仿宋" w:cs="仿宋_GB2312"/>
          <w:color w:val="000000"/>
          <w:sz w:val="32"/>
          <w:szCs w:val="32"/>
        </w:rPr>
      </w:pPr>
      <w:r>
        <w:rPr>
          <w:rFonts w:hint="eastAsia" w:ascii="仿宋" w:hAnsi="仿宋" w:eastAsia="仿宋" w:cs="楷体_GB2312"/>
          <w:color w:val="000000"/>
          <w:sz w:val="32"/>
          <w:szCs w:val="32"/>
        </w:rPr>
        <w:t>依据设定预算时设定的绩效指标制定</w:t>
      </w:r>
      <w:r>
        <w:rPr>
          <w:rFonts w:hint="eastAsia" w:ascii="仿宋" w:hAnsi="仿宋" w:eastAsia="仿宋" w:cs="仿宋_GB2312"/>
          <w:color w:val="000000"/>
          <w:sz w:val="32"/>
          <w:szCs w:val="32"/>
        </w:rPr>
        <w:t>部门整体支出绩效自评工作方案。在广泛收集评价资料基础上，综合运用</w:t>
      </w:r>
      <w:r>
        <w:rPr>
          <w:rFonts w:hint="eastAsia" w:ascii="仿宋" w:hAnsi="仿宋" w:eastAsia="仿宋" w:cs="仿宋_GB2312"/>
          <w:color w:val="000000"/>
          <w:kern w:val="0"/>
          <w:sz w:val="32"/>
          <w:szCs w:val="32"/>
          <w:lang w:val="zh-CN"/>
        </w:rPr>
        <w:t>成本效益法、比较法、因素分析法、综合指数法、公众评判法等多种方法进行评价。</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年初各项目绩效目标基本实现，综合自评结果为良好。</w:t>
      </w:r>
    </w:p>
    <w:p>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本年收支预、决算差异原因分析：信息化建设较预算支出增加主要原因为智慧平安社区软件建设项目，执法办案较预算支出增加主要原因为扫黑除恶办案专项经费项目，其他强制隔离戒毒支出增加原因为禁毒教育长廊建设项目，其他国有土地使用权出让收入安排的支出原因为政府性基金预算财政拨款收入不足以支付</w:t>
      </w:r>
      <w:r>
        <w:rPr>
          <w:rFonts w:ascii="仿宋" w:hAnsi="仿宋" w:eastAsia="仿宋" w:cs="仿宋"/>
          <w:sz w:val="32"/>
          <w:szCs w:val="32"/>
        </w:rPr>
        <w:t xml:space="preserve"> </w:t>
      </w:r>
      <w:r>
        <w:rPr>
          <w:rFonts w:hint="eastAsia" w:ascii="仿宋" w:hAnsi="仿宋" w:eastAsia="仿宋" w:cs="仿宋"/>
          <w:sz w:val="32"/>
          <w:szCs w:val="32"/>
        </w:rPr>
        <w:t>“天网覆盖”四级网建设项目；抚恤金支出为公安局去世人员抚恤支出。</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存在问题</w:t>
      </w:r>
    </w:p>
    <w:p>
      <w:pPr>
        <w:spacing w:line="560" w:lineRule="exact"/>
        <w:ind w:firstLine="640" w:firstLineChars="200"/>
        <w:rPr>
          <w:rFonts w:ascii="黑体" w:hAnsi="黑体" w:eastAsia="黑体" w:cs="仿宋"/>
          <w:sz w:val="32"/>
          <w:szCs w:val="32"/>
        </w:rPr>
      </w:pPr>
      <w:r>
        <w:rPr>
          <w:rFonts w:hint="eastAsia" w:ascii="仿宋" w:hAnsi="仿宋" w:eastAsia="仿宋" w:cs="仿宋"/>
          <w:sz w:val="32"/>
          <w:szCs w:val="32"/>
        </w:rPr>
        <w:t>绩效目标基本未发生偏离，但</w:t>
      </w:r>
      <w:r>
        <w:rPr>
          <w:rFonts w:hint="eastAsia" w:ascii="仿宋" w:hAnsi="仿宋" w:eastAsia="仿宋" w:cs="宋体"/>
          <w:color w:val="000000"/>
          <w:kern w:val="0"/>
          <w:sz w:val="32"/>
          <w:szCs w:val="32"/>
        </w:rPr>
        <w:t>绩效考评指标的设计上，部分指标设置不科学、部分指标缺乏数据支持和可行的分析测评，绩效指标体系有待完善</w:t>
      </w:r>
    </w:p>
    <w:p>
      <w:pPr>
        <w:pStyle w:val="15"/>
        <w:numPr>
          <w:ilvl w:val="0"/>
          <w:numId w:val="1"/>
        </w:numPr>
        <w:spacing w:line="560" w:lineRule="exact"/>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项目执行中积极开展绩效信息收集利用加强绩效管理规范，对支出进度、资金绩效、内控制度执行情况等进行实时监控，发现问题及时采取措施，确保绩效目标如期保质实现。今后我部门将加强</w:t>
      </w:r>
      <w:r>
        <w:rPr>
          <w:rFonts w:hint="eastAsia" w:ascii="仿宋" w:hAnsi="仿宋" w:eastAsia="仿宋" w:cs="仿宋"/>
          <w:sz w:val="32"/>
          <w:szCs w:val="32"/>
        </w:rPr>
        <w:t>对绩效自评结果的运用，督促资金使用做好绩效自评发现的问题，认真进行整改，</w:t>
      </w:r>
      <w:r>
        <w:rPr>
          <w:rFonts w:hint="eastAsia" w:ascii="仿宋" w:hAnsi="仿宋" w:eastAsia="仿宋"/>
          <w:sz w:val="32"/>
          <w:szCs w:val="32"/>
        </w:rPr>
        <w:t>进一步深化、完善绩效管理体系，建立全程预算绩效管理机制，促进绩效管理工作向广度和深度延伸。</w:t>
      </w:r>
    </w:p>
    <w:p>
      <w:pPr>
        <w:pStyle w:val="15"/>
        <w:spacing w:line="560" w:lineRule="exact"/>
        <w:ind w:left="1429" w:firstLine="0" w:firstLineChars="0"/>
        <w:rPr>
          <w:rFonts w:ascii="黑体" w:hAnsi="黑体" w:eastAsia="黑体" w:cs="仿宋"/>
          <w:sz w:val="32"/>
          <w:szCs w:val="32"/>
        </w:rPr>
      </w:pPr>
    </w:p>
    <w:sectPr>
      <w:footerReference r:id="rId3" w:type="default"/>
      <w:footerReference r:id="rId4" w:type="even"/>
      <w:pgSz w:w="11906" w:h="16838"/>
      <w:pgMar w:top="1701" w:right="1418" w:bottom="1701"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Lucida Sans">
    <w:altName w:val="Lucida Sans Unicode"/>
    <w:panose1 w:val="020B0602030504020204"/>
    <w:charset w:val="00"/>
    <w:family w:val="auto"/>
    <w:pitch w:val="default"/>
    <w:sig w:usb0="00000000" w:usb1="00000000" w:usb2="00000000" w:usb3="00000000" w:csb0="20000001"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auto"/>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9</w:t>
    </w:r>
    <w:r>
      <w:rPr>
        <w:rStyle w:val="13"/>
        <w:rFonts w:ascii="宋体" w:hAnsi="宋体" w:eastAsia="宋体"/>
        <w:sz w:val="28"/>
        <w:szCs w:val="28"/>
      </w:rPr>
      <w:fldChar w:fldCharType="end"/>
    </w:r>
    <w:r>
      <w:rPr>
        <w:rStyle w:val="13"/>
        <w:rFonts w:hint="eastAsia" w:ascii="宋体" w:hAnsi="宋体" w:eastAsia="宋体"/>
        <w:sz w:val="28"/>
        <w:szCs w:val="28"/>
      </w:rPr>
      <w:t>-</w:t>
    </w:r>
  </w:p>
  <w:p>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separate"/>
    </w:r>
    <w:r>
      <w:rPr>
        <w:rStyle w:val="13"/>
      </w:rPr>
      <w:fldChar w:fldCharType="end"/>
    </w:r>
  </w:p>
  <w:p>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E332E9"/>
    <w:multiLevelType w:val="multilevel"/>
    <w:tmpl w:val="4DE332E9"/>
    <w:lvl w:ilvl="0" w:tentative="0">
      <w:start w:val="1"/>
      <w:numFmt w:val="japaneseCounting"/>
      <w:lvlText w:val="%1、"/>
      <w:lvlJc w:val="left"/>
      <w:pPr>
        <w:ind w:left="1429" w:hanging="720"/>
      </w:pPr>
      <w:rPr>
        <w:rFonts w:hint="default"/>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1">
    <w:nsid w:val="56EF487F"/>
    <w:multiLevelType w:val="multilevel"/>
    <w:tmpl w:val="56EF487F"/>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dit="readOnly" w:enforcement="0"/>
  <w:defaultTabStop w:val="420"/>
  <w:drawingGridHorizontalSpacing w:val="105"/>
  <w:drawingGridVerticalSpacing w:val="313"/>
  <w:displayHorizontalDrawingGridEvery w:val="0"/>
  <w:displayVerticalDrawingGridEvery w:val="1"/>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Yjg0MjVmNDQwOTkyZmEzZjVmYWFjYzZkNWIxODhlNWYifQ=="/>
  </w:docVars>
  <w:rsids>
    <w:rsidRoot w:val="00000000"/>
    <w:rsid w:val="1DD43E20"/>
    <w:rsid w:val="439F1AAD"/>
    <w:rsid w:val="5D0B7306"/>
    <w:rsid w:val="5D4149B4"/>
    <w:rsid w:val="7A9561F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Lucida Sans"/>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Times New Roman" w:eastAsia="宋体" w:cs="Arial"/>
      <w:kern w:val="2"/>
      <w:sz w:val="21"/>
      <w:szCs w:val="22"/>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ascii="宋体" w:hAnsi="宋体" w:eastAsia="宋体" w:cs="宋体"/>
      <w:b/>
      <w:kern w:val="44"/>
      <w:sz w:val="48"/>
      <w:szCs w:val="48"/>
    </w:rPr>
  </w:style>
  <w:style w:type="paragraph" w:styleId="3">
    <w:name w:val="heading 2"/>
    <w:basedOn w:val="1"/>
    <w:next w:val="1"/>
    <w:qFormat/>
    <w:uiPriority w:val="0"/>
    <w:pPr>
      <w:keepNext/>
      <w:keepLines/>
      <w:widowControl w:val="0"/>
      <w:spacing w:before="260" w:after="260" w:line="415" w:lineRule="auto"/>
      <w:outlineLvl w:val="1"/>
    </w:pPr>
    <w:rPr>
      <w:rFonts w:ascii="Cambria" w:hAnsi="Cambria" w:eastAsia="宋体" w:cs="Times New Roman"/>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uiPriority w:val="0"/>
    <w:tblPr>
      <w:tblCellMar>
        <w:top w:w="0" w:type="dxa"/>
        <w:left w:w="108" w:type="dxa"/>
        <w:bottom w:w="0" w:type="dxa"/>
        <w:right w:w="108" w:type="dxa"/>
      </w:tblCellMar>
    </w:tblPr>
  </w:style>
  <w:style w:type="paragraph" w:styleId="5">
    <w:name w:val="Body Text"/>
    <w:basedOn w:val="1"/>
    <w:qFormat/>
    <w:uiPriority w:val="0"/>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qFormat/>
    <w:uiPriority w:val="0"/>
    <w:rPr>
      <w:rFonts w:ascii="宋体" w:hAnsi="Courier New" w:eastAsia="宋体" w:cs="Courier New"/>
      <w:szCs w:val="21"/>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0"/>
    <w:rPr>
      <w:b/>
      <w:bCs/>
    </w:rPr>
  </w:style>
  <w:style w:type="character" w:styleId="13">
    <w:name w:val="page number"/>
    <w:basedOn w:val="11"/>
    <w:qFormat/>
    <w:uiPriority w:val="0"/>
  </w:style>
  <w:style w:type="character" w:customStyle="1" w:styleId="14">
    <w:name w:val="font31"/>
    <w:basedOn w:val="11"/>
    <w:qFormat/>
    <w:uiPriority w:val="0"/>
    <w:rPr>
      <w:rFonts w:ascii="宋体" w:hAnsi="宋体" w:eastAsia="宋体" w:cs="宋体"/>
      <w:b/>
      <w:color w:val="000000"/>
      <w:sz w:val="36"/>
      <w:szCs w:val="36"/>
      <w:u w:val="none"/>
    </w:rPr>
  </w:style>
  <w:style w:type="paragraph" w:styleId="15">
    <w:name w:val="List Paragraph"/>
    <w:basedOn w:val="1"/>
    <w:qFormat/>
    <w:uiPriority w:val="0"/>
    <w:pPr>
      <w:ind w:firstLine="20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7221C86-6FD7-4ED8-833C-510759112E55}">
  <ds:schemaRefs/>
</ds:datastoreItem>
</file>

<file path=docProps/app.xml><?xml version="1.0" encoding="utf-8"?>
<Properties xmlns="http://schemas.openxmlformats.org/officeDocument/2006/extended-properties" xmlns:vt="http://schemas.openxmlformats.org/officeDocument/2006/docPropsVTypes">
  <Template>Normal.eit</Template>
  <Pages>20</Pages>
  <Words>12204</Words>
  <Characters>12785</Characters>
  <Lines>0</Lines>
  <Paragraphs>82</Paragraphs>
  <TotalTime>21</TotalTime>
  <ScaleCrop>false</ScaleCrop>
  <LinksUpToDate>false</LinksUpToDate>
  <CharactersWithSpaces>12850</CharactersWithSpaces>
  <Application>WPS Office_11.1.0.10314_F1E327BC-269C-435d-A152-05C5408002CA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Administrator</cp:lastModifiedBy>
  <cp:lastPrinted>2018-11-29T03:23:00Z</cp:lastPrinted>
  <dcterms:modified xsi:type="dcterms:W3CDTF">2026-01-15T03:38:12Z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9993E2AD9E4B40F08408A593AF81324A_13</vt:lpwstr>
  </property>
  <property fmtid="{D5CDD505-2E9C-101B-9397-08002B2CF9AE}" pid="4" name="KSOTemplateDocerSaveRecord">
    <vt:lpwstr>eyJoZGlkIjoiNDc1NjhhN2M4ZmI3ZTk0YjljMjlhMjcyNjNjMDgwMTQiLCJ1c2VySWQiOiIzNzAwMTI1ODcifQ==</vt:lpwstr>
  </property>
</Properties>
</file>