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480" w:lineRule="exact"/>
        <w:jc w:val="center"/>
        <w:rPr>
          <w:rFonts w:ascii="宋体" w:hAnsi="宋体"/>
          <w:b/>
          <w:sz w:val="44"/>
          <w:szCs w:val="44"/>
        </w:rPr>
      </w:pPr>
      <w:r>
        <w:rPr>
          <w:rFonts w:hint="eastAsia" w:ascii="宋体" w:hAnsi="宋体"/>
          <w:b/>
          <w:sz w:val="44"/>
          <w:szCs w:val="44"/>
        </w:rPr>
        <w:t>隆尧县</w:t>
      </w:r>
      <w:r>
        <w:rPr>
          <w:rFonts w:ascii="宋体" w:hAnsi="宋体"/>
          <w:b/>
          <w:sz w:val="44"/>
          <w:szCs w:val="44"/>
        </w:rPr>
        <w:t>公安局</w:t>
      </w:r>
      <w:r>
        <w:rPr>
          <w:rFonts w:hint="eastAsia" w:ascii="宋体" w:hAnsi="宋体"/>
          <w:b/>
          <w:sz w:val="44"/>
          <w:szCs w:val="44"/>
        </w:rPr>
        <w:t>2021年</w:t>
      </w:r>
    </w:p>
    <w:p>
      <w:pPr>
        <w:spacing w:line="480" w:lineRule="exact"/>
        <w:jc w:val="center"/>
        <w:rPr>
          <w:rFonts w:ascii="宋体" w:hAnsi="宋体" w:eastAsia="宋体" w:cs="宋体"/>
          <w:b/>
          <w:color w:val="000000"/>
          <w:kern w:val="0"/>
          <w:sz w:val="44"/>
          <w:szCs w:val="44"/>
          <w:shd w:val="clear" w:color="auto" w:fill="FFFFFF"/>
        </w:rPr>
      </w:pPr>
      <w:r>
        <w:rPr>
          <w:rFonts w:hint="eastAsia" w:ascii="宋体" w:hAnsi="宋体"/>
          <w:b/>
          <w:sz w:val="44"/>
          <w:szCs w:val="44"/>
        </w:rPr>
        <w:t>部门整体支出绩效评价</w:t>
      </w:r>
      <w:r>
        <w:rPr>
          <w:rFonts w:hint="eastAsia" w:ascii="宋体" w:hAnsi="宋体" w:eastAsia="宋体" w:cs="宋体"/>
          <w:b/>
          <w:color w:val="000000"/>
          <w:kern w:val="0"/>
          <w:sz w:val="44"/>
          <w:szCs w:val="44"/>
          <w:shd w:val="clear" w:color="auto" w:fill="FFFFFF"/>
        </w:rPr>
        <w:t>指标体系评分表</w:t>
      </w:r>
    </w:p>
    <w:p>
      <w:pPr>
        <w:spacing w:line="480" w:lineRule="exact"/>
        <w:jc w:val="left"/>
        <w:rPr>
          <w:rFonts w:ascii="仿宋" w:hAnsi="仿宋" w:eastAsia="仿宋" w:cs="仿宋"/>
          <w:sz w:val="24"/>
          <w:szCs w:val="24"/>
        </w:rPr>
      </w:pPr>
      <w:r>
        <w:rPr>
          <w:rFonts w:hint="eastAsia" w:ascii="仿宋" w:hAnsi="仿宋" w:eastAsia="仿宋" w:cs="仿宋"/>
          <w:sz w:val="24"/>
          <w:szCs w:val="24"/>
        </w:rPr>
        <w:t xml:space="preserve">单位名称: 隆尧县公安局 (公章)         单位负责人:          </w:t>
      </w:r>
    </w:p>
    <w:tbl>
      <w:tblPr>
        <w:tblStyle w:val="10"/>
        <w:tblW w:w="960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817"/>
        <w:gridCol w:w="851"/>
        <w:gridCol w:w="1559"/>
        <w:gridCol w:w="3260"/>
        <w:gridCol w:w="2410"/>
        <w:gridCol w:w="70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9"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b/>
              </w:rPr>
            </w:pPr>
            <w:r>
              <w:rPr>
                <w:rFonts w:ascii="仿宋_GB2312" w:hAnsi="新宋体" w:eastAsia="仿宋_GB2312" w:cs="仿宋_GB2312"/>
                <w:b/>
                <w:kern w:val="0"/>
                <w:sz w:val="24"/>
                <w:szCs w:val="24"/>
              </w:rPr>
              <w:t>一级指标</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b/>
              </w:rPr>
            </w:pPr>
            <w:r>
              <w:rPr>
                <w:rFonts w:ascii="仿宋_GB2312" w:hAnsi="新宋体" w:eastAsia="仿宋_GB2312" w:cs="仿宋_GB2312"/>
                <w:b/>
                <w:kern w:val="0"/>
                <w:sz w:val="24"/>
                <w:szCs w:val="24"/>
              </w:rPr>
              <w:t>二级指标</w:t>
            </w:r>
          </w:p>
        </w:tc>
        <w:tc>
          <w:tcPr>
            <w:tcW w:w="4819" w:type="dxa"/>
            <w:gridSpan w:val="2"/>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rPr>
              <w:t>三级指标</w:t>
            </w:r>
          </w:p>
        </w:tc>
        <w:tc>
          <w:tcPr>
            <w:tcW w:w="2410" w:type="dxa"/>
            <w:vMerge w:val="restart"/>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rPr>
              <w:t>评分标准</w:t>
            </w:r>
          </w:p>
        </w:tc>
        <w:tc>
          <w:tcPr>
            <w:tcW w:w="709" w:type="dxa"/>
            <w:vMerge w:val="restart"/>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b/>
              </w:rPr>
            </w:pPr>
            <w:r>
              <w:rPr>
                <w:rFonts w:ascii="仿宋_GB2312" w:hAnsi="新宋体" w:eastAsia="仿宋_GB2312" w:cs="仿宋_GB2312"/>
                <w:b/>
                <w:kern w:val="0"/>
                <w:sz w:val="24"/>
                <w:szCs w:val="24"/>
              </w:rPr>
              <w:t>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3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rPr>
              <w:t>指标名称</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rPr>
              <w:t>指标解释说明</w:t>
            </w:r>
          </w:p>
        </w:tc>
        <w:tc>
          <w:tcPr>
            <w:tcW w:w="2410" w:type="dxa"/>
            <w:vMerge w:val="continue"/>
            <w:tcBorders>
              <w:top w:val="single" w:color="000000" w:sz="4" w:space="0"/>
              <w:left w:val="single" w:color="auto" w:sz="4" w:space="0"/>
              <w:bottom w:val="single" w:color="000000" w:sz="4" w:space="0"/>
              <w:right w:val="single" w:color="auto" w:sz="4" w:space="0"/>
            </w:tcBorders>
            <w:vAlign w:val="center"/>
          </w:tcPr>
          <w:p/>
        </w:tc>
        <w:tc>
          <w:tcPr>
            <w:tcW w:w="709" w:type="dxa"/>
            <w:vMerge w:val="continue"/>
            <w:tcBorders>
              <w:top w:val="single" w:color="000000" w:sz="4" w:space="0"/>
              <w:left w:val="single" w:color="auto" w:sz="4" w:space="0"/>
              <w:bottom w:val="single" w:color="000000" w:sz="4" w:space="0"/>
              <w:right w:val="single" w:color="auto" w:sz="4" w:space="0"/>
            </w:tcBorders>
            <w:vAlign w:val="cente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67" w:hRule="atLeast"/>
        </w:trPr>
        <w:tc>
          <w:tcPr>
            <w:tcW w:w="8897" w:type="dxa"/>
            <w:gridSpan w:val="5"/>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center"/>
              <w:rPr>
                <w:rFonts w:ascii="仿宋_GB2312" w:hAnsi="新宋体" w:eastAsia="仿宋_GB2312" w:cs="仿宋_GB2312"/>
                <w:b/>
                <w:kern w:val="0"/>
                <w:sz w:val="24"/>
                <w:szCs w:val="24"/>
              </w:rPr>
            </w:pPr>
            <w:r>
              <w:rPr>
                <w:rFonts w:hint="eastAsia" w:ascii="仿宋_GB2312" w:hAnsi="新宋体" w:eastAsia="仿宋_GB2312" w:cs="仿宋_GB2312"/>
                <w:b/>
                <w:kern w:val="0"/>
                <w:sz w:val="24"/>
                <w:szCs w:val="24"/>
              </w:rPr>
              <w:t>自评总分</w:t>
            </w:r>
          </w:p>
        </w:tc>
        <w:tc>
          <w:tcPr>
            <w:tcW w:w="709"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szCs w:val="21"/>
              </w:rPr>
            </w:pPr>
            <w:r>
              <w:rPr>
                <w:rFonts w:hint="eastAsia"/>
                <w:szCs w:val="21"/>
              </w:rPr>
              <w:t>86.1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29"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投入（1</w:t>
            </w:r>
            <w:r>
              <w:rPr>
                <w:rFonts w:hint="eastAsia" w:ascii="仿宋_GB2312" w:hAnsi="新宋体" w:eastAsia="仿宋_GB2312" w:cs="仿宋_GB2312"/>
                <w:kern w:val="0"/>
                <w:szCs w:val="21"/>
              </w:rPr>
              <w:t>0分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绩效</w:t>
            </w:r>
            <w:r>
              <w:rPr>
                <w:rFonts w:ascii="仿宋_GB2312" w:hAnsi="新宋体" w:eastAsia="仿宋_GB2312" w:cs="仿宋_GB2312"/>
                <w:kern w:val="0"/>
                <w:szCs w:val="21"/>
              </w:rPr>
              <w:t>目标设定</w:t>
            </w:r>
            <w:r>
              <w:rPr>
                <w:rFonts w:hint="eastAsia" w:ascii="仿宋_GB2312" w:hAnsi="新宋体" w:eastAsia="仿宋_GB2312" w:cs="仿宋_GB2312"/>
                <w:kern w:val="0"/>
                <w:szCs w:val="21"/>
              </w:rPr>
              <w:t>情</w:t>
            </w:r>
          </w:p>
          <w:p>
            <w:pPr>
              <w:widowControl/>
              <w:spacing w:line="240" w:lineRule="exact"/>
              <w:jc w:val="left"/>
              <w:rPr>
                <w:sz w:val="18"/>
                <w:szCs w:val="18"/>
              </w:rPr>
            </w:pP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职责明确</w:t>
            </w:r>
          </w:p>
          <w:p>
            <w:pPr>
              <w:widowControl/>
              <w:spacing w:line="240" w:lineRule="exact"/>
              <w:jc w:val="left"/>
              <w:rPr>
                <w:szCs w:val="21"/>
              </w:rPr>
            </w:pPr>
            <w:r>
              <w:rPr>
                <w:rFonts w:ascii="仿宋_GB2312" w:hAnsi="新宋体" w:eastAsia="仿宋_GB2312" w:cs="仿宋_GB2312"/>
                <w:kern w:val="0"/>
                <w:szCs w:val="21"/>
              </w:rPr>
              <w:t>（1</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部门的职责设定是否符合“三定”方案中所赋予的职责，用以反映和评价部门工作的目的性与计划性。</w:t>
            </w:r>
          </w:p>
        </w:tc>
        <w:tc>
          <w:tcPr>
            <w:tcW w:w="2410"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符合（1）；</w:t>
            </w:r>
          </w:p>
          <w:p>
            <w:pPr>
              <w:widowControl/>
              <w:spacing w:line="240" w:lineRule="exact"/>
              <w:jc w:val="left"/>
              <w:rPr>
                <w:szCs w:val="21"/>
              </w:rPr>
            </w:pPr>
            <w:r>
              <w:rPr>
                <w:rFonts w:ascii="仿宋_GB2312" w:hAnsi="新宋体" w:eastAsia="仿宋_GB2312" w:cs="仿宋_GB2312"/>
                <w:kern w:val="0"/>
                <w:szCs w:val="21"/>
              </w:rPr>
              <w:t>不符合（0）。</w:t>
            </w:r>
          </w:p>
        </w:tc>
        <w:tc>
          <w:tcPr>
            <w:tcW w:w="709"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szCs w:val="21"/>
              </w:rPr>
            </w:pPr>
            <w:r>
              <w:rPr>
                <w:rFonts w:hint="eastAsia"/>
                <w:szCs w:val="21"/>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535"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tc>
        <w:tc>
          <w:tcPr>
            <w:tcW w:w="1559"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活动合规性</w:t>
            </w:r>
          </w:p>
          <w:p>
            <w:pPr>
              <w:widowControl/>
              <w:spacing w:line="240" w:lineRule="exact"/>
              <w:jc w:val="left"/>
              <w:rPr>
                <w:szCs w:val="21"/>
              </w:rPr>
            </w:pPr>
            <w:r>
              <w:rPr>
                <w:rFonts w:ascii="仿宋_GB2312" w:hAnsi="新宋体" w:eastAsia="仿宋_GB2312" w:cs="仿宋_GB2312"/>
                <w:kern w:val="0"/>
                <w:szCs w:val="21"/>
              </w:rPr>
              <w:t>（2</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部门的活动是否在职责范围之内并符合部门中长期规划，用以反映和评价部门活动目标与部门履职、年度工作任务的相符性情况。</w:t>
            </w:r>
          </w:p>
          <w:p>
            <w:pPr>
              <w:widowControl/>
              <w:spacing w:line="240" w:lineRule="exact"/>
              <w:jc w:val="left"/>
              <w:rPr>
                <w:szCs w:val="21"/>
              </w:rPr>
            </w:pPr>
            <w:r>
              <w:rPr>
                <w:rFonts w:ascii="仿宋_GB2312" w:hAnsi="新宋体" w:eastAsia="仿宋_GB2312" w:cs="仿宋_GB2312"/>
                <w:kern w:val="0"/>
                <w:szCs w:val="21"/>
              </w:rPr>
              <w:t>评价要点：</w:t>
            </w:r>
          </w:p>
          <w:p>
            <w:pPr>
              <w:widowControl/>
              <w:spacing w:line="240" w:lineRule="exact"/>
              <w:jc w:val="left"/>
              <w:rPr>
                <w:szCs w:val="21"/>
              </w:rPr>
            </w:pPr>
            <w:r>
              <w:rPr>
                <w:rFonts w:ascii="仿宋_GB2312" w:hAnsi="新宋体" w:eastAsia="仿宋_GB2312" w:cs="仿宋_GB2312"/>
                <w:kern w:val="0"/>
                <w:szCs w:val="21"/>
              </w:rPr>
              <w:t>1.部门活动的设定在部门所确定的职责范围之内；</w:t>
            </w:r>
          </w:p>
          <w:p>
            <w:pPr>
              <w:widowControl/>
              <w:spacing w:line="240" w:lineRule="exact"/>
              <w:jc w:val="left"/>
              <w:rPr>
                <w:szCs w:val="21"/>
              </w:rPr>
            </w:pPr>
            <w:r>
              <w:rPr>
                <w:rFonts w:ascii="仿宋_GB2312" w:hAnsi="新宋体" w:eastAsia="仿宋_GB2312" w:cs="仿宋_GB2312"/>
                <w:kern w:val="0"/>
                <w:szCs w:val="21"/>
              </w:rPr>
              <w:t>2.部门活动符合</w:t>
            </w:r>
            <w:r>
              <w:rPr>
                <w:rFonts w:hint="eastAsia" w:ascii="仿宋_GB2312" w:hAnsi="新宋体" w:eastAsia="仿宋_GB2312" w:cs="仿宋_GB2312"/>
                <w:kern w:val="0"/>
                <w:szCs w:val="21"/>
              </w:rPr>
              <w:t>市</w:t>
            </w:r>
            <w:r>
              <w:rPr>
                <w:rFonts w:ascii="仿宋_GB2312" w:hAnsi="新宋体" w:eastAsia="仿宋_GB2312" w:cs="仿宋_GB2312"/>
                <w:kern w:val="0"/>
                <w:szCs w:val="21"/>
              </w:rPr>
              <w:t>委、</w:t>
            </w:r>
            <w:r>
              <w:rPr>
                <w:rFonts w:hint="eastAsia" w:ascii="仿宋_GB2312" w:hAnsi="新宋体" w:eastAsia="仿宋_GB2312" w:cs="仿宋_GB2312"/>
                <w:kern w:val="0"/>
                <w:szCs w:val="21"/>
              </w:rPr>
              <w:t>市</w:t>
            </w:r>
            <w:r>
              <w:rPr>
                <w:rFonts w:ascii="仿宋_GB2312" w:hAnsi="新宋体" w:eastAsia="仿宋_GB2312" w:cs="仿宋_GB2312"/>
                <w:kern w:val="0"/>
                <w:szCs w:val="21"/>
              </w:rPr>
              <w:t>政府的发展规划及本部门的年度工作安排与发展规划。</w:t>
            </w:r>
          </w:p>
        </w:tc>
        <w:tc>
          <w:tcPr>
            <w:tcW w:w="2410"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全部符合（2）；</w:t>
            </w:r>
          </w:p>
          <w:p>
            <w:pPr>
              <w:widowControl/>
              <w:spacing w:line="240" w:lineRule="exact"/>
              <w:jc w:val="left"/>
              <w:rPr>
                <w:szCs w:val="21"/>
              </w:rPr>
            </w:pPr>
            <w:r>
              <w:rPr>
                <w:rFonts w:ascii="仿宋_GB2312" w:hAnsi="新宋体" w:eastAsia="仿宋_GB2312" w:cs="仿宋_GB2312"/>
                <w:kern w:val="0"/>
                <w:szCs w:val="21"/>
              </w:rPr>
              <w:t>其中一项不符合（0）。</w:t>
            </w:r>
          </w:p>
        </w:tc>
        <w:tc>
          <w:tcPr>
            <w:tcW w:w="709"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szCs w:val="21"/>
              </w:rPr>
            </w:pPr>
            <w:r>
              <w:rPr>
                <w:rFonts w:hint="eastAsia"/>
                <w:szCs w:val="21"/>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0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tc>
        <w:tc>
          <w:tcPr>
            <w:tcW w:w="1559"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活动合理性</w:t>
            </w:r>
          </w:p>
          <w:p>
            <w:pPr>
              <w:widowControl/>
              <w:spacing w:line="240" w:lineRule="exact"/>
              <w:jc w:val="left"/>
              <w:rPr>
                <w:szCs w:val="21"/>
              </w:rPr>
            </w:pPr>
            <w:r>
              <w:rPr>
                <w:rFonts w:ascii="仿宋_GB2312" w:hAnsi="新宋体" w:eastAsia="仿宋_GB2312" w:cs="仿宋_GB2312"/>
                <w:kern w:val="0"/>
                <w:szCs w:val="21"/>
              </w:rPr>
              <w:t>（2</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部门所设立的活动是否明确合理、活动的关键性指标设置是否可衡量，用以反映和评价部门活动目标设定的合理性。</w:t>
            </w:r>
          </w:p>
          <w:p>
            <w:pPr>
              <w:widowControl/>
              <w:spacing w:line="240" w:lineRule="exact"/>
              <w:jc w:val="left"/>
              <w:rPr>
                <w:szCs w:val="21"/>
              </w:rPr>
            </w:pPr>
            <w:r>
              <w:rPr>
                <w:rFonts w:ascii="仿宋_GB2312" w:hAnsi="新宋体" w:eastAsia="仿宋_GB2312" w:cs="仿宋_GB2312"/>
                <w:kern w:val="0"/>
                <w:szCs w:val="21"/>
              </w:rPr>
              <w:t>评价要点：</w:t>
            </w:r>
          </w:p>
          <w:p>
            <w:pPr>
              <w:widowControl/>
              <w:spacing w:line="240" w:lineRule="exact"/>
              <w:jc w:val="left"/>
              <w:rPr>
                <w:szCs w:val="21"/>
              </w:rPr>
            </w:pPr>
            <w:r>
              <w:rPr>
                <w:rFonts w:ascii="仿宋_GB2312" w:hAnsi="新宋体" w:eastAsia="仿宋_GB2312" w:cs="仿宋_GB2312"/>
                <w:kern w:val="0"/>
                <w:szCs w:val="21"/>
              </w:rPr>
              <w:t>1.活动目标的设定是可量化的，可通过清晰、可衡量的关键指标值予以体现；</w:t>
            </w:r>
          </w:p>
          <w:p>
            <w:pPr>
              <w:widowControl/>
              <w:spacing w:line="240" w:lineRule="exact"/>
              <w:jc w:val="left"/>
              <w:rPr>
                <w:szCs w:val="21"/>
              </w:rPr>
            </w:pPr>
            <w:r>
              <w:rPr>
                <w:rFonts w:ascii="仿宋_GB2312" w:hAnsi="新宋体" w:eastAsia="仿宋_GB2312" w:cs="仿宋_GB2312"/>
                <w:kern w:val="0"/>
                <w:szCs w:val="21"/>
              </w:rPr>
              <w:t>2.在活动目标设定时，将关键指标明细分解为具体的达成目标与工作任务。</w:t>
            </w:r>
          </w:p>
        </w:tc>
        <w:tc>
          <w:tcPr>
            <w:tcW w:w="2410"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全部符合（2）；</w:t>
            </w:r>
          </w:p>
          <w:p>
            <w:pPr>
              <w:widowControl/>
              <w:spacing w:line="240" w:lineRule="exact"/>
              <w:jc w:val="left"/>
              <w:rPr>
                <w:szCs w:val="21"/>
              </w:rPr>
            </w:pPr>
            <w:r>
              <w:rPr>
                <w:rFonts w:ascii="仿宋_GB2312" w:hAnsi="新宋体" w:eastAsia="仿宋_GB2312" w:cs="仿宋_GB2312"/>
                <w:kern w:val="0"/>
                <w:szCs w:val="21"/>
              </w:rPr>
              <w:t>其中一项不符合（0）。</w:t>
            </w:r>
          </w:p>
        </w:tc>
        <w:tc>
          <w:tcPr>
            <w:tcW w:w="709"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szCs w:val="21"/>
              </w:rPr>
            </w:pPr>
            <w:r>
              <w:rPr>
                <w:rFonts w:hint="eastAsia"/>
                <w:szCs w:val="21"/>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51"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tc>
        <w:tc>
          <w:tcPr>
            <w:tcW w:w="851" w:type="dxa"/>
            <w:vMerge w:val="restart"/>
            <w:tcBorders>
              <w:top w:val="single" w:color="000000" w:sz="4" w:space="0"/>
              <w:left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预算配置</w:t>
            </w:r>
            <w:r>
              <w:rPr>
                <w:rFonts w:hint="eastAsia" w:ascii="仿宋_GB2312" w:hAnsi="新宋体" w:eastAsia="仿宋_GB2312" w:cs="仿宋_GB2312"/>
                <w:kern w:val="0"/>
                <w:szCs w:val="21"/>
              </w:rPr>
              <w:t>情况</w:t>
            </w:r>
            <w:r>
              <w:rPr>
                <w:rFonts w:ascii="仿宋_GB2312" w:hAnsi="新宋体" w:eastAsia="仿宋_GB2312" w:cs="仿宋_GB2312"/>
                <w:kern w:val="0"/>
                <w:szCs w:val="21"/>
              </w:rPr>
              <w:t>(</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1559" w:type="dxa"/>
            <w:tcBorders>
              <w:top w:val="single" w:color="auto" w:sz="4" w:space="0"/>
              <w:left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在职人员控制率（</w:t>
            </w:r>
            <w:r>
              <w:rPr>
                <w:rFonts w:hint="eastAsia" w:ascii="仿宋_GB2312" w:hAnsi="新宋体" w:eastAsia="仿宋_GB2312" w:cs="仿宋_GB2312"/>
                <w:kern w:val="0"/>
                <w:szCs w:val="21"/>
              </w:rPr>
              <w:t>1分</w:t>
            </w:r>
            <w:r>
              <w:rPr>
                <w:rFonts w:ascii="仿宋_GB2312" w:hAnsi="新宋体" w:eastAsia="仿宋_GB2312" w:cs="仿宋_GB2312"/>
                <w:kern w:val="0"/>
                <w:szCs w:val="21"/>
              </w:rPr>
              <w:t>）</w:t>
            </w:r>
          </w:p>
        </w:tc>
        <w:tc>
          <w:tcPr>
            <w:tcW w:w="3260" w:type="dxa"/>
            <w:tcBorders>
              <w:top w:val="single" w:color="auto" w:sz="4" w:space="0"/>
              <w:left w:val="single" w:color="auto" w:sz="4" w:space="0"/>
              <w:right w:val="single" w:color="auto" w:sz="4" w:space="0"/>
            </w:tcBorders>
            <w:vAlign w:val="center"/>
          </w:tcPr>
          <w:p>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部门本年度实际在职人员数与编制数的比率，用以反映和评价部门对人员成本的控制程度。</w:t>
            </w:r>
          </w:p>
          <w:p>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在职人员控制率=（在职人员数/编制数）×100%。</w:t>
            </w:r>
          </w:p>
          <w:p>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在职人员数：部门实际在职人数，以财政部确定的部门决算编制口径为准，由编制部门和人劳部门批复同意的临聘人员除外。</w:t>
            </w:r>
          </w:p>
          <w:p>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编制数：机构编制部门核定批复的部门人员编制数。</w:t>
            </w:r>
          </w:p>
        </w:tc>
        <w:tc>
          <w:tcPr>
            <w:tcW w:w="2410" w:type="dxa"/>
            <w:tcBorders>
              <w:top w:val="single" w:color="auto" w:sz="4" w:space="0"/>
              <w:left w:val="single" w:color="auto" w:sz="4" w:space="0"/>
              <w:right w:val="single" w:color="auto" w:sz="4" w:space="0"/>
            </w:tcBorders>
            <w:vAlign w:val="center"/>
          </w:tcPr>
          <w:p>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1.在职人员控制率小于或等于100%的，得满分；</w:t>
            </w:r>
          </w:p>
          <w:p>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2.在职人员控制率大于或等于115%的，得0分；</w:t>
            </w:r>
          </w:p>
          <w:p>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3.在职人员控制率在100%-115%之间的，在0分和满分之间计算确定：</w:t>
            </w:r>
          </w:p>
          <w:p>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得分=[max（在职人员控制率）－某部门在职人员控制率]/[max（在职人员控制率）－min（在职人员控制率）]×该指标分值。</w:t>
            </w:r>
          </w:p>
        </w:tc>
        <w:tc>
          <w:tcPr>
            <w:tcW w:w="709"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0.98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817" w:type="dxa"/>
            <w:vMerge w:val="restart"/>
            <w:tcBorders>
              <w:top w:val="single" w:color="000000" w:sz="4" w:space="0"/>
              <w:left w:val="single" w:color="000000" w:sz="4" w:space="0"/>
              <w:right w:val="single" w:color="000000" w:sz="4" w:space="0"/>
            </w:tcBorders>
            <w:vAlign w:val="center"/>
          </w:tcPr>
          <w:p>
            <w:pPr>
              <w:spacing w:line="240" w:lineRule="exact"/>
              <w:rPr>
                <w:rFonts w:ascii="宋体"/>
                <w:szCs w:val="21"/>
              </w:rPr>
            </w:pPr>
          </w:p>
        </w:tc>
        <w:tc>
          <w:tcPr>
            <w:tcW w:w="851" w:type="dxa"/>
            <w:vMerge w:val="continue"/>
            <w:tcBorders>
              <w:left w:val="single" w:color="000000" w:sz="4" w:space="0"/>
              <w:right w:val="single" w:color="000000" w:sz="4" w:space="0"/>
            </w:tcBorders>
            <w:vAlign w:val="center"/>
          </w:tcPr>
          <w:p/>
        </w:tc>
        <w:tc>
          <w:tcPr>
            <w:tcW w:w="1559" w:type="dxa"/>
            <w:tcBorders>
              <w:top w:val="single" w:color="auto" w:sz="4" w:space="0"/>
              <w:left w:val="single" w:color="000000" w:sz="4" w:space="0"/>
              <w:right w:val="single" w:color="auto" w:sz="4" w:space="0"/>
            </w:tcBorders>
            <w:vAlign w:val="center"/>
          </w:tcPr>
          <w:p>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“三公经费”变动率（2分）</w:t>
            </w:r>
          </w:p>
        </w:tc>
        <w:tc>
          <w:tcPr>
            <w:tcW w:w="3260" w:type="dxa"/>
            <w:tcBorders>
              <w:top w:val="single" w:color="auto" w:sz="4" w:space="0"/>
              <w:left w:val="single" w:color="auto" w:sz="4" w:space="0"/>
              <w:right w:val="single" w:color="auto" w:sz="4" w:space="0"/>
            </w:tcBorders>
            <w:vAlign w:val="center"/>
          </w:tcPr>
          <w:p>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部门本年度“三公经费”预算数与上年度“三公经费”预算数的变动比率，用以反映和考核部门对控制重点行政成本的努力程度。“三公经费”变动率=[（本年度“三公经费”总额-上年度“三公经费”总额）/上年度“三公经费”总额]×100%。</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“三公经费”：年度预算安排的因公出国（境）费、公务车辆购置及运行费和公务招待费。</w:t>
            </w:r>
          </w:p>
        </w:tc>
        <w:tc>
          <w:tcPr>
            <w:tcW w:w="2410" w:type="dxa"/>
            <w:tcBorders>
              <w:top w:val="single" w:color="auto" w:sz="4" w:space="0"/>
              <w:left w:val="single" w:color="auto" w:sz="4" w:space="0"/>
              <w:right w:val="single" w:color="auto" w:sz="4" w:space="0"/>
            </w:tcBorders>
            <w:vAlign w:val="center"/>
          </w:tcPr>
          <w:p>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1.</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小于或等于</w:t>
            </w:r>
            <w:r>
              <w:rPr>
                <w:rFonts w:hint="eastAsia" w:ascii="仿宋_GB2312" w:hAnsi="新宋体" w:eastAsia="仿宋_GB2312" w:cs="仿宋_GB2312"/>
                <w:kern w:val="0"/>
                <w:szCs w:val="21"/>
              </w:rPr>
              <w:t>-5</w:t>
            </w:r>
            <w:r>
              <w:rPr>
                <w:rFonts w:ascii="仿宋_GB2312" w:hAnsi="新宋体" w:eastAsia="仿宋_GB2312" w:cs="仿宋_GB2312"/>
                <w:kern w:val="0"/>
                <w:szCs w:val="21"/>
              </w:rPr>
              <w:t>%的，得满分；</w:t>
            </w:r>
          </w:p>
          <w:p>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2.</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大于或等于1</w:t>
            </w:r>
            <w:r>
              <w:rPr>
                <w:rFonts w:hint="eastAsia" w:ascii="仿宋_GB2312" w:hAnsi="新宋体" w:eastAsia="仿宋_GB2312" w:cs="仿宋_GB2312"/>
                <w:kern w:val="0"/>
                <w:szCs w:val="21"/>
              </w:rPr>
              <w:t>0</w:t>
            </w:r>
            <w:r>
              <w:rPr>
                <w:rFonts w:ascii="仿宋_GB2312" w:hAnsi="新宋体" w:eastAsia="仿宋_GB2312" w:cs="仿宋_GB2312"/>
                <w:kern w:val="0"/>
                <w:szCs w:val="21"/>
              </w:rPr>
              <w:t>%的，得0分；</w:t>
            </w:r>
          </w:p>
          <w:p>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3.在职人员控制率在</w:t>
            </w:r>
            <w:r>
              <w:rPr>
                <w:rFonts w:hint="eastAsia" w:ascii="仿宋_GB2312" w:hAnsi="新宋体" w:eastAsia="仿宋_GB2312" w:cs="仿宋_GB2312"/>
                <w:kern w:val="0"/>
                <w:szCs w:val="21"/>
              </w:rPr>
              <w:t>-5</w:t>
            </w:r>
            <w:r>
              <w:rPr>
                <w:rFonts w:ascii="仿宋_GB2312" w:hAnsi="新宋体" w:eastAsia="仿宋_GB2312" w:cs="仿宋_GB2312"/>
                <w:kern w:val="0"/>
                <w:szCs w:val="21"/>
              </w:rPr>
              <w:t>%-</w:t>
            </w:r>
            <w:r>
              <w:rPr>
                <w:rFonts w:hint="eastAsia" w:ascii="仿宋_GB2312" w:hAnsi="新宋体" w:eastAsia="仿宋_GB2312" w:cs="仿宋_GB2312"/>
                <w:kern w:val="0"/>
                <w:szCs w:val="21"/>
              </w:rPr>
              <w:t>10</w:t>
            </w:r>
            <w:r>
              <w:rPr>
                <w:rFonts w:ascii="仿宋_GB2312" w:hAnsi="新宋体" w:eastAsia="仿宋_GB2312" w:cs="仿宋_GB2312"/>
                <w:kern w:val="0"/>
                <w:szCs w:val="21"/>
              </w:rPr>
              <w:t>%之间的，在0分和满分之间计算确定：</w:t>
            </w:r>
          </w:p>
          <w:p>
            <w:pPr>
              <w:widowControl/>
              <w:spacing w:line="240" w:lineRule="exact"/>
              <w:jc w:val="left"/>
              <w:textAlignment w:val="center"/>
              <w:rPr>
                <w:rFonts w:ascii="仿宋" w:hAnsi="仿宋" w:eastAsia="仿宋" w:cs="仿宋"/>
                <w:kern w:val="0"/>
                <w:szCs w:val="21"/>
              </w:rPr>
            </w:pPr>
            <w:r>
              <w:rPr>
                <w:rFonts w:ascii="仿宋_GB2312" w:hAnsi="新宋体" w:eastAsia="仿宋_GB2312" w:cs="仿宋_GB2312"/>
                <w:kern w:val="0"/>
                <w:szCs w:val="21"/>
              </w:rPr>
              <w:t>得分=[max（</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]/[max（</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）－min（</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）]×该指标分值。</w:t>
            </w:r>
          </w:p>
        </w:tc>
        <w:tc>
          <w:tcPr>
            <w:tcW w:w="709"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817" w:type="dxa"/>
            <w:vMerge w:val="continue"/>
            <w:tcBorders>
              <w:left w:val="single" w:color="000000" w:sz="4" w:space="0"/>
              <w:bottom w:val="single" w:color="000000" w:sz="4" w:space="0"/>
              <w:right w:val="single" w:color="000000" w:sz="4" w:space="0"/>
            </w:tcBorders>
            <w:vAlign w:val="center"/>
          </w:tcPr>
          <w:p/>
        </w:tc>
        <w:tc>
          <w:tcPr>
            <w:tcW w:w="851" w:type="dxa"/>
            <w:vMerge w:val="continue"/>
            <w:tcBorders>
              <w:left w:val="single" w:color="000000" w:sz="4" w:space="0"/>
              <w:bottom w:val="single" w:color="000000" w:sz="4" w:space="0"/>
              <w:right w:val="single" w:color="000000" w:sz="4" w:space="0"/>
            </w:tcBorders>
            <w:vAlign w:val="center"/>
          </w:tcPr>
          <w:p/>
        </w:tc>
        <w:tc>
          <w:tcPr>
            <w:tcW w:w="1559" w:type="dxa"/>
            <w:tcBorders>
              <w:top w:val="single" w:color="auto" w:sz="4" w:space="0"/>
              <w:left w:val="single" w:color="000000" w:sz="4" w:space="0"/>
              <w:right w:val="single" w:color="auto" w:sz="4" w:space="0"/>
            </w:tcBorders>
            <w:vAlign w:val="center"/>
          </w:tcPr>
          <w:p>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重点支出安排率（2分）</w:t>
            </w:r>
          </w:p>
        </w:tc>
        <w:tc>
          <w:tcPr>
            <w:tcW w:w="3260" w:type="dxa"/>
            <w:tcBorders>
              <w:top w:val="single" w:color="auto" w:sz="4" w:space="0"/>
              <w:left w:val="single" w:color="auto" w:sz="4" w:space="0"/>
              <w:right w:val="single" w:color="auto" w:sz="4" w:space="0"/>
            </w:tcBorders>
            <w:vAlign w:val="center"/>
          </w:tcPr>
          <w:p>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部门本年度预算安排的重点项目支出与部门项目总支出的比率，用以反映和考核部门对履行主要职责或完成重点任务的保障程度。重点支出安排率=（重点项目支出/项目总支出）×100%。</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重点项目支出：部门（单位）年度预算安排的，与本部门履职和发展密切相关、具有明显社会和经济影响、党委政府关心或社会比较关注的项目支出总额。</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项目总支出：部门（单位）年度预算安排的项目支出总额。</w:t>
            </w:r>
          </w:p>
        </w:tc>
        <w:tc>
          <w:tcPr>
            <w:tcW w:w="2410" w:type="dxa"/>
            <w:tcBorders>
              <w:top w:val="single" w:color="auto" w:sz="4" w:space="0"/>
              <w:left w:val="single" w:color="auto" w:sz="4" w:space="0"/>
              <w:right w:val="single" w:color="auto" w:sz="4" w:space="0"/>
            </w:tcBorders>
            <w:vAlign w:val="center"/>
          </w:tcPr>
          <w:p>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1.</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大于或等于95%的，得满分；</w:t>
            </w:r>
          </w:p>
          <w:p>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2.</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小于或等于85%的，得0分；</w:t>
            </w:r>
          </w:p>
          <w:p>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3.</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在85%-95%之间的，在0分和满分之间计算确定：</w:t>
            </w:r>
          </w:p>
          <w:p>
            <w:pPr>
              <w:widowControl/>
              <w:spacing w:line="240" w:lineRule="exact"/>
              <w:jc w:val="left"/>
              <w:textAlignment w:val="center"/>
              <w:rPr>
                <w:rFonts w:ascii="仿宋" w:hAnsi="仿宋" w:eastAsia="仿宋" w:cs="仿宋"/>
                <w:kern w:val="0"/>
                <w:szCs w:val="21"/>
              </w:rPr>
            </w:pPr>
            <w:r>
              <w:rPr>
                <w:rFonts w:ascii="仿宋_GB2312" w:hAnsi="新宋体" w:eastAsia="仿宋_GB2312" w:cs="仿宋_GB2312"/>
                <w:kern w:val="0"/>
                <w:szCs w:val="21"/>
              </w:rPr>
              <w:t>得分=[某部门</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-min（</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）]/[max（</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）－min（</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）]×该指标分值。</w:t>
            </w:r>
          </w:p>
        </w:tc>
        <w:tc>
          <w:tcPr>
            <w:tcW w:w="709"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过程(</w:t>
            </w:r>
            <w:r>
              <w:rPr>
                <w:rFonts w:hint="eastAsia" w:ascii="仿宋_GB2312" w:hAnsi="新宋体" w:eastAsia="仿宋_GB2312" w:cs="仿宋_GB2312"/>
                <w:kern w:val="0"/>
                <w:szCs w:val="21"/>
              </w:rPr>
              <w:t>45分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预算执行</w:t>
            </w:r>
            <w:r>
              <w:rPr>
                <w:rFonts w:hint="eastAsia" w:ascii="仿宋_GB2312" w:hAnsi="新宋体" w:eastAsia="仿宋_GB2312" w:cs="仿宋_GB2312"/>
                <w:kern w:val="0"/>
                <w:szCs w:val="21"/>
              </w:rPr>
              <w:t>情况</w:t>
            </w:r>
            <w:r>
              <w:rPr>
                <w:rFonts w:ascii="仿宋_GB2312" w:hAnsi="新宋体" w:eastAsia="仿宋_GB2312" w:cs="仿宋_GB2312"/>
                <w:kern w:val="0"/>
                <w:szCs w:val="21"/>
              </w:rPr>
              <w:t>(</w:t>
            </w:r>
            <w:r>
              <w:rPr>
                <w:rFonts w:hint="eastAsia" w:ascii="仿宋_GB2312" w:hAnsi="新宋体" w:eastAsia="仿宋_GB2312" w:cs="仿宋_GB2312"/>
                <w:kern w:val="0"/>
                <w:szCs w:val="21"/>
              </w:rPr>
              <w:t>25分</w:t>
            </w:r>
            <w:r>
              <w:rPr>
                <w:rFonts w:ascii="仿宋_GB2312" w:hAnsi="新宋体" w:eastAsia="仿宋_GB2312" w:cs="仿宋_GB2312"/>
                <w:kern w:val="0"/>
                <w:szCs w:val="21"/>
              </w:rPr>
              <w:t>)</w:t>
            </w: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预算完成率</w:t>
            </w:r>
          </w:p>
          <w:p>
            <w:pPr>
              <w:widowControl/>
              <w:spacing w:line="240" w:lineRule="exact"/>
              <w:jc w:val="left"/>
              <w:rPr>
                <w:szCs w:val="21"/>
              </w:rPr>
            </w:pPr>
            <w:r>
              <w:rPr>
                <w:rFonts w:ascii="仿宋_GB2312" w:hAnsi="新宋体" w:eastAsia="仿宋_GB2312" w:cs="仿宋_GB2312"/>
                <w:kern w:val="0"/>
                <w:szCs w:val="21"/>
              </w:rPr>
              <w:t>（5</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通过对部门本年度预算完成数与预算数的比较，反映和评价部门预算的完成程度。</w:t>
            </w:r>
          </w:p>
          <w:p>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预算完成率=（预算完成数/预算数）×100%。</w:t>
            </w:r>
          </w:p>
        </w:tc>
        <w:tc>
          <w:tcPr>
            <w:tcW w:w="2410" w:type="dxa"/>
            <w:tcBorders>
              <w:top w:val="single" w:color="000000" w:sz="4" w:space="0"/>
              <w:left w:val="single" w:color="auto" w:sz="4" w:space="0"/>
              <w:bottom w:val="single" w:color="000000" w:sz="4" w:space="0"/>
              <w:right w:val="single" w:color="auto" w:sz="4" w:space="0"/>
            </w:tcBorders>
            <w:vAlign w:val="center"/>
          </w:tcPr>
          <w:p>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1.预算完成率大于或等于95%的，得满分；</w:t>
            </w:r>
          </w:p>
          <w:p>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2.预算完成率小于或等于85%的，得0分；</w:t>
            </w:r>
          </w:p>
          <w:p>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3.预算完成率在85%-95%之间的，在0分和满分之间计算确定：</w:t>
            </w:r>
          </w:p>
          <w:p>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得分=[某部门预算完成率-min（预算完成率）]/[max（预算完成率）－min（预算完成率）]×该指标分值。</w:t>
            </w:r>
          </w:p>
        </w:tc>
        <w:tc>
          <w:tcPr>
            <w:tcW w:w="709"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3"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预算调整率</w:t>
            </w:r>
          </w:p>
          <w:p>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3分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部门本年度预算调整数与预算数的比率，用以反映和评价部门预算的调整程度。</w:t>
            </w:r>
          </w:p>
          <w:p>
            <w:pPr>
              <w:widowControl/>
              <w:spacing w:line="240" w:lineRule="exact"/>
              <w:jc w:val="left"/>
              <w:rPr>
                <w:szCs w:val="21"/>
              </w:rPr>
            </w:pPr>
            <w:r>
              <w:rPr>
                <w:rFonts w:ascii="仿宋_GB2312" w:hAnsi="新宋体" w:eastAsia="仿宋_GB2312" w:cs="仿宋_GB2312"/>
                <w:kern w:val="0"/>
                <w:szCs w:val="21"/>
              </w:rPr>
              <w:t>预算调整率=（预算调整数/预算数）×100%。</w:t>
            </w:r>
          </w:p>
        </w:tc>
        <w:tc>
          <w:tcPr>
            <w:tcW w:w="241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 xml:space="preserve">1.预算调整率等于0的，得满分； </w:t>
            </w:r>
          </w:p>
          <w:p>
            <w:pPr>
              <w:widowControl/>
              <w:spacing w:line="240" w:lineRule="exact"/>
              <w:jc w:val="left"/>
              <w:rPr>
                <w:szCs w:val="21"/>
              </w:rPr>
            </w:pPr>
            <w:r>
              <w:rPr>
                <w:rFonts w:ascii="仿宋_GB2312" w:hAnsi="新宋体" w:eastAsia="仿宋_GB2312" w:cs="仿宋_GB2312"/>
                <w:kern w:val="0"/>
                <w:szCs w:val="21"/>
              </w:rPr>
              <w:t>2.预算调整率大于或等于10%的，得0分；</w:t>
            </w:r>
          </w:p>
          <w:p>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3.预算调整率在0-10%之间的，在0分和满分之间确定：</w:t>
            </w:r>
          </w:p>
          <w:p>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得分=［max（预算调整率）-某部门预算调整率］/［max（预算调整率）-min（预算调整率）］×该指标分值。</w:t>
            </w:r>
          </w:p>
        </w:tc>
        <w:tc>
          <w:tcPr>
            <w:tcW w:w="709"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1.55</w:t>
            </w:r>
          </w:p>
          <w:p>
            <w:pPr>
              <w:widowControl/>
              <w:spacing w:line="240" w:lineRule="exact"/>
              <w:jc w:val="left"/>
              <w:rPr>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92"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支付进度率</w:t>
            </w:r>
          </w:p>
          <w:p>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度支付数与</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度任务数的比率，用以反映和评价部门预算执行的及时和均衡程度。</w:t>
            </w:r>
          </w:p>
          <w:p>
            <w:pPr>
              <w:widowControl/>
              <w:spacing w:line="240" w:lineRule="exact"/>
              <w:jc w:val="left"/>
              <w:rPr>
                <w:szCs w:val="21"/>
              </w:rPr>
            </w:pPr>
            <w:r>
              <w:rPr>
                <w:rFonts w:ascii="仿宋_GB2312" w:hAnsi="新宋体" w:eastAsia="仿宋_GB2312" w:cs="仿宋_GB2312"/>
                <w:kern w:val="0"/>
                <w:szCs w:val="21"/>
              </w:rPr>
              <w:t>支付进度率=（</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度任务数）×100%。</w:t>
            </w:r>
          </w:p>
        </w:tc>
        <w:tc>
          <w:tcPr>
            <w:tcW w:w="241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按</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度的执行情况进行打分</w:t>
            </w:r>
            <w:r>
              <w:rPr>
                <w:rFonts w:hint="eastAsia" w:ascii="仿宋_GB2312" w:hAnsi="新宋体" w:eastAsia="仿宋_GB2312" w:cs="仿宋_GB2312"/>
                <w:kern w:val="0"/>
                <w:szCs w:val="21"/>
              </w:rPr>
              <w:t>。</w:t>
            </w:r>
            <w:r>
              <w:rPr>
                <w:rFonts w:ascii="仿宋_GB2312" w:hAnsi="新宋体" w:eastAsia="仿宋_GB2312" w:cs="仿宋_GB2312"/>
                <w:kern w:val="0"/>
                <w:szCs w:val="21"/>
              </w:rPr>
              <w:t>得分=</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度任务数×该指标分值。</w:t>
            </w:r>
          </w:p>
          <w:p>
            <w:pPr>
              <w:widowControl/>
              <w:pBdr>
                <w:top w:val="none" w:color="auto" w:sz="0" w:space="0"/>
                <w:left w:val="none" w:color="auto" w:sz="0" w:space="0"/>
                <w:bottom w:val="none" w:color="auto" w:sz="0" w:space="0"/>
                <w:right w:val="none" w:color="auto" w:sz="0" w:space="0"/>
              </w:pBdr>
              <w:spacing w:line="240" w:lineRule="exact"/>
              <w:jc w:val="left"/>
              <w:rPr>
                <w:szCs w:val="21"/>
              </w:rPr>
            </w:pPr>
          </w:p>
        </w:tc>
        <w:tc>
          <w:tcPr>
            <w:tcW w:w="709"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4.48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7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结转</w:t>
            </w: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结余率</w:t>
            </w:r>
          </w:p>
          <w:p>
            <w:pPr>
              <w:widowControl/>
              <w:spacing w:line="240" w:lineRule="exact"/>
              <w:jc w:val="left"/>
              <w:rPr>
                <w:szCs w:val="21"/>
              </w:rPr>
            </w:pPr>
            <w:r>
              <w:rPr>
                <w:rFonts w:ascii="仿宋_GB2312" w:hAnsi="新宋体" w:eastAsia="仿宋_GB2312" w:cs="仿宋_GB2312"/>
                <w:kern w:val="0"/>
                <w:szCs w:val="21"/>
              </w:rPr>
              <w:t>（4</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通过对部门本年度结转结余总额与支出预算数的比较，反映和评价部门对本年度结转结余资金的实际控制程度。</w:t>
            </w:r>
          </w:p>
          <w:p>
            <w:pPr>
              <w:widowControl/>
              <w:spacing w:line="240" w:lineRule="exact"/>
              <w:jc w:val="left"/>
              <w:rPr>
                <w:szCs w:val="21"/>
              </w:rPr>
            </w:pPr>
            <w:r>
              <w:rPr>
                <w:rFonts w:ascii="仿宋_GB2312" w:hAnsi="新宋体" w:eastAsia="仿宋_GB2312" w:cs="仿宋_GB2312"/>
                <w:kern w:val="0"/>
                <w:szCs w:val="21"/>
              </w:rPr>
              <w:t>结转结余率=（结转结余总额/支出预算数）×100%。</w:t>
            </w:r>
          </w:p>
        </w:tc>
        <w:tc>
          <w:tcPr>
            <w:tcW w:w="2410" w:type="dxa"/>
            <w:tcBorders>
              <w:top w:val="single" w:color="000000" w:sz="4" w:space="0"/>
              <w:left w:val="single" w:color="auto" w:sz="4" w:space="0"/>
              <w:bottom w:val="single" w:color="000000" w:sz="4" w:space="0"/>
              <w:right w:val="single" w:color="auto" w:sz="4" w:space="0"/>
            </w:tcBorders>
            <w:vAlign w:val="center"/>
          </w:tcPr>
          <w:p>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1.结转结余率等于0的，得满分；</w:t>
            </w:r>
          </w:p>
          <w:p>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2.结转结余率大于或等于50%的，得0分；</w:t>
            </w:r>
          </w:p>
          <w:p>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3.结转结余率在0-50%之间的，在0和满分之间计算确定：</w:t>
            </w:r>
          </w:p>
          <w:p>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得分=[max（结转结余率）－某部门结转结余率]/[max（结转结余率）－min（结转结余率）]×该指标分值。</w:t>
            </w:r>
          </w:p>
        </w:tc>
        <w:tc>
          <w:tcPr>
            <w:tcW w:w="709"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10"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公用经费</w:t>
            </w: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控制率</w:t>
            </w:r>
          </w:p>
          <w:p>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4分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通过对部门本年度实际支出的公用经费总额与预算安排的公用经费总额的比率，反映和评价部门对机构运转成本的实际控制程度。</w:t>
            </w:r>
          </w:p>
          <w:p>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公用经费控制率=（实际支出公用经费总额/预算安排公用经费总额）×100%。</w:t>
            </w:r>
          </w:p>
        </w:tc>
        <w:tc>
          <w:tcPr>
            <w:tcW w:w="2410" w:type="dxa"/>
            <w:tcBorders>
              <w:top w:val="single" w:color="000000" w:sz="4" w:space="0"/>
              <w:left w:val="single" w:color="auto" w:sz="4" w:space="0"/>
              <w:bottom w:val="single" w:color="000000" w:sz="4" w:space="0"/>
              <w:right w:val="single" w:color="auto" w:sz="4" w:space="0"/>
            </w:tcBorders>
            <w:vAlign w:val="center"/>
          </w:tcPr>
          <w:p>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1.公用经费控制率小于或等于100%的，得满分；</w:t>
            </w:r>
          </w:p>
          <w:p>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2.公用经费控制率大于或等于105%的，得0分；</w:t>
            </w:r>
          </w:p>
          <w:p>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3.公用经费控制率在100%-105%之间的，在0和满分之间计算确定：</w:t>
            </w:r>
          </w:p>
          <w:p>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得分=［max（公用经费控制率）-某部门公用经费控制率］/［max（公用经费控制率）-min（公用经费控制率）］×该指标分值。</w:t>
            </w:r>
          </w:p>
        </w:tc>
        <w:tc>
          <w:tcPr>
            <w:tcW w:w="709"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99"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政府采购</w:t>
            </w: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执行率</w:t>
            </w:r>
          </w:p>
          <w:p>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4分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通过对部门本年度实际政府采购预算项目个数与政府采购预算项目个数的比较，反映和评价部门政府采购预算执行情况。</w:t>
            </w:r>
          </w:p>
          <w:p>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政府采购执行率=（实际政府采购预算项目个数/政府采购预算项目个数）×100%。</w:t>
            </w:r>
          </w:p>
          <w:p>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政府采购项目中非预算内安排的项目除外。</w:t>
            </w:r>
          </w:p>
        </w:tc>
        <w:tc>
          <w:tcPr>
            <w:tcW w:w="2410" w:type="dxa"/>
            <w:tcBorders>
              <w:top w:val="single" w:color="000000" w:sz="4" w:space="0"/>
              <w:left w:val="single" w:color="auto" w:sz="4" w:space="0"/>
              <w:bottom w:val="single" w:color="000000" w:sz="4" w:space="0"/>
              <w:right w:val="single" w:color="auto" w:sz="4" w:space="0"/>
            </w:tcBorders>
            <w:vAlign w:val="center"/>
          </w:tcPr>
          <w:p>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1.政府采购执行率等于100%的，得满分；</w:t>
            </w:r>
          </w:p>
          <w:p>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2.政府采购执行率小于或等于90%的，0分；</w:t>
            </w:r>
          </w:p>
          <w:p>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3.政府采购执行率在90%-100%之间的，在0和满分之间计算确定：</w:t>
            </w:r>
          </w:p>
          <w:p>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得分=［某部门政府采购执行率-min（政府采购执行率）］/［max（政府采购执行率）-min（政府采购执行率）］×该指标分值。</w:t>
            </w:r>
          </w:p>
        </w:tc>
        <w:tc>
          <w:tcPr>
            <w:tcW w:w="709"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预算管理</w:t>
            </w:r>
            <w:r>
              <w:rPr>
                <w:rFonts w:hint="eastAsia" w:ascii="仿宋_GB2312" w:hAnsi="新宋体" w:eastAsia="仿宋_GB2312" w:cs="仿宋_GB2312"/>
                <w:kern w:val="0"/>
                <w:szCs w:val="21"/>
              </w:rPr>
              <w:t>情况</w:t>
            </w:r>
          </w:p>
          <w:p>
            <w:pPr>
              <w:widowControl/>
              <w:spacing w:line="240" w:lineRule="exact"/>
              <w:jc w:val="left"/>
              <w:rPr>
                <w:szCs w:val="21"/>
              </w:rPr>
            </w:pPr>
            <w:r>
              <w:rPr>
                <w:rFonts w:ascii="仿宋_GB2312" w:hAnsi="新宋体" w:eastAsia="仿宋_GB2312" w:cs="仿宋_GB2312"/>
                <w:kern w:val="0"/>
                <w:szCs w:val="21"/>
              </w:rPr>
              <w:t>（15）</w:t>
            </w: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资金使用</w:t>
            </w: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合规性</w:t>
            </w:r>
          </w:p>
          <w:p>
            <w:pPr>
              <w:widowControl/>
              <w:spacing w:line="240" w:lineRule="exact"/>
              <w:jc w:val="left"/>
              <w:rPr>
                <w:szCs w:val="21"/>
              </w:rPr>
            </w:pPr>
            <w:r>
              <w:rPr>
                <w:rFonts w:ascii="仿宋_GB2312" w:hAnsi="新宋体" w:eastAsia="仿宋_GB2312" w:cs="仿宋_GB2312"/>
                <w:kern w:val="0"/>
                <w:szCs w:val="21"/>
              </w:rPr>
              <w:t>（8</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部门使用预算资金是否符合相关的预算财务管理制度的规定，反映和评价部门预算资金的规范运行情况。</w:t>
            </w:r>
          </w:p>
          <w:p>
            <w:pPr>
              <w:widowControl/>
              <w:spacing w:line="240" w:lineRule="exact"/>
              <w:jc w:val="left"/>
              <w:rPr>
                <w:szCs w:val="21"/>
              </w:rPr>
            </w:pPr>
            <w:r>
              <w:rPr>
                <w:rFonts w:ascii="仿宋_GB2312" w:hAnsi="新宋体" w:eastAsia="仿宋_GB2312" w:cs="仿宋_GB2312"/>
                <w:kern w:val="0"/>
                <w:szCs w:val="21"/>
              </w:rPr>
              <w:t>评价要点：</w:t>
            </w:r>
          </w:p>
          <w:p>
            <w:pPr>
              <w:widowControl/>
              <w:spacing w:line="240" w:lineRule="exact"/>
              <w:jc w:val="left"/>
              <w:rPr>
                <w:szCs w:val="21"/>
              </w:rPr>
            </w:pPr>
            <w:r>
              <w:rPr>
                <w:rFonts w:ascii="仿宋_GB2312" w:hAnsi="新宋体" w:eastAsia="仿宋_GB2312" w:cs="仿宋_GB2312"/>
                <w:kern w:val="0"/>
                <w:szCs w:val="21"/>
              </w:rPr>
              <w:t>1.符合国家财经法规和财务管理制度规定以及有关部门资金管理办法的规定；</w:t>
            </w:r>
          </w:p>
          <w:p>
            <w:pPr>
              <w:widowControl/>
              <w:spacing w:line="240" w:lineRule="exact"/>
              <w:jc w:val="left"/>
              <w:rPr>
                <w:szCs w:val="21"/>
              </w:rPr>
            </w:pPr>
            <w:r>
              <w:rPr>
                <w:rFonts w:ascii="仿宋_GB2312" w:hAnsi="新宋体" w:eastAsia="仿宋_GB2312" w:cs="仿宋_GB2312"/>
                <w:kern w:val="0"/>
                <w:szCs w:val="21"/>
              </w:rPr>
              <w:t>2.资金的拨付有完整的审批过程和手续；</w:t>
            </w:r>
          </w:p>
          <w:p>
            <w:pPr>
              <w:widowControl/>
              <w:spacing w:line="240" w:lineRule="exact"/>
              <w:jc w:val="left"/>
              <w:rPr>
                <w:szCs w:val="21"/>
              </w:rPr>
            </w:pPr>
            <w:r>
              <w:rPr>
                <w:rFonts w:ascii="仿宋_GB2312" w:hAnsi="新宋体" w:eastAsia="仿宋_GB2312" w:cs="仿宋_GB2312"/>
                <w:kern w:val="0"/>
                <w:szCs w:val="21"/>
              </w:rPr>
              <w:t>3.项目的重大开支经过评估论证；</w:t>
            </w:r>
          </w:p>
          <w:p>
            <w:pPr>
              <w:widowControl/>
              <w:spacing w:line="240" w:lineRule="exact"/>
              <w:jc w:val="left"/>
              <w:rPr>
                <w:szCs w:val="21"/>
              </w:rPr>
            </w:pPr>
            <w:r>
              <w:rPr>
                <w:rFonts w:ascii="仿宋_GB2312" w:hAnsi="新宋体" w:eastAsia="仿宋_GB2312" w:cs="仿宋_GB2312"/>
                <w:kern w:val="0"/>
                <w:szCs w:val="21"/>
              </w:rPr>
              <w:t>4.符合部门预算批复的用途；</w:t>
            </w:r>
          </w:p>
          <w:p>
            <w:pPr>
              <w:widowControl/>
              <w:spacing w:line="240" w:lineRule="exact"/>
              <w:jc w:val="left"/>
              <w:rPr>
                <w:szCs w:val="21"/>
              </w:rPr>
            </w:pPr>
            <w:r>
              <w:rPr>
                <w:rFonts w:ascii="仿宋_GB2312" w:hAnsi="新宋体" w:eastAsia="仿宋_GB2312" w:cs="仿宋_GB2312"/>
                <w:kern w:val="0"/>
                <w:szCs w:val="21"/>
              </w:rPr>
              <w:t>5.不存在截留情况；</w:t>
            </w:r>
          </w:p>
          <w:p>
            <w:pPr>
              <w:widowControl/>
              <w:spacing w:line="240" w:lineRule="exact"/>
              <w:jc w:val="left"/>
              <w:rPr>
                <w:szCs w:val="21"/>
              </w:rPr>
            </w:pPr>
            <w:r>
              <w:rPr>
                <w:rFonts w:ascii="仿宋_GB2312" w:hAnsi="新宋体" w:eastAsia="仿宋_GB2312" w:cs="仿宋_GB2312"/>
                <w:kern w:val="0"/>
                <w:szCs w:val="21"/>
              </w:rPr>
              <w:t>6.不存在挤占情况；</w:t>
            </w:r>
          </w:p>
          <w:p>
            <w:pPr>
              <w:widowControl/>
              <w:spacing w:line="240" w:lineRule="exact"/>
              <w:jc w:val="left"/>
              <w:rPr>
                <w:szCs w:val="21"/>
              </w:rPr>
            </w:pPr>
            <w:r>
              <w:rPr>
                <w:rFonts w:ascii="仿宋_GB2312" w:hAnsi="新宋体" w:eastAsia="仿宋_GB2312" w:cs="仿宋_GB2312"/>
                <w:kern w:val="0"/>
                <w:szCs w:val="21"/>
              </w:rPr>
              <w:t>7.不存在挪用情况；</w:t>
            </w:r>
          </w:p>
          <w:p>
            <w:pPr>
              <w:widowControl/>
              <w:spacing w:line="240" w:lineRule="exact"/>
              <w:jc w:val="left"/>
              <w:rPr>
                <w:szCs w:val="21"/>
              </w:rPr>
            </w:pPr>
            <w:r>
              <w:rPr>
                <w:rFonts w:ascii="仿宋_GB2312" w:hAnsi="新宋体" w:eastAsia="仿宋_GB2312" w:cs="仿宋_GB2312"/>
                <w:kern w:val="0"/>
                <w:szCs w:val="21"/>
              </w:rPr>
              <w:t>8.不存在虚列支出情况。</w:t>
            </w:r>
          </w:p>
        </w:tc>
        <w:tc>
          <w:tcPr>
            <w:tcW w:w="241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全部符合（8）；</w:t>
            </w:r>
          </w:p>
          <w:p>
            <w:pPr>
              <w:widowControl/>
              <w:spacing w:line="240" w:lineRule="exact"/>
              <w:jc w:val="left"/>
              <w:rPr>
                <w:szCs w:val="21"/>
              </w:rPr>
            </w:pPr>
            <w:r>
              <w:rPr>
                <w:rFonts w:ascii="仿宋_GB2312" w:hAnsi="新宋体" w:eastAsia="仿宋_GB2312" w:cs="仿宋_GB2312"/>
                <w:kern w:val="0"/>
                <w:szCs w:val="21"/>
              </w:rPr>
              <w:t>符合其中七项（6）；</w:t>
            </w:r>
          </w:p>
          <w:p>
            <w:pPr>
              <w:widowControl/>
              <w:spacing w:line="240" w:lineRule="exact"/>
              <w:jc w:val="left"/>
              <w:rPr>
                <w:szCs w:val="21"/>
              </w:rPr>
            </w:pPr>
            <w:r>
              <w:rPr>
                <w:rFonts w:ascii="仿宋_GB2312" w:hAnsi="新宋体" w:eastAsia="仿宋_GB2312" w:cs="仿宋_GB2312"/>
                <w:kern w:val="0"/>
                <w:szCs w:val="21"/>
              </w:rPr>
              <w:t>符合其中六项（4）；</w:t>
            </w:r>
          </w:p>
          <w:p>
            <w:pPr>
              <w:widowControl/>
              <w:spacing w:line="240" w:lineRule="exact"/>
              <w:jc w:val="left"/>
              <w:rPr>
                <w:szCs w:val="21"/>
              </w:rPr>
            </w:pPr>
            <w:r>
              <w:rPr>
                <w:rFonts w:ascii="仿宋_GB2312" w:hAnsi="新宋体" w:eastAsia="仿宋_GB2312" w:cs="仿宋_GB2312"/>
                <w:kern w:val="0"/>
                <w:szCs w:val="21"/>
              </w:rPr>
              <w:t>符合其中五项（2）；</w:t>
            </w:r>
          </w:p>
          <w:p>
            <w:pPr>
              <w:widowControl/>
              <w:spacing w:line="240" w:lineRule="exact"/>
              <w:jc w:val="left"/>
              <w:rPr>
                <w:szCs w:val="21"/>
              </w:rPr>
            </w:pPr>
            <w:r>
              <w:rPr>
                <w:rFonts w:ascii="仿宋_GB2312" w:hAnsi="新宋体" w:eastAsia="仿宋_GB2312" w:cs="仿宋_GB2312"/>
                <w:kern w:val="0"/>
                <w:szCs w:val="21"/>
              </w:rPr>
              <w:t>符合其中四项及以下（0）。</w:t>
            </w:r>
          </w:p>
        </w:tc>
        <w:tc>
          <w:tcPr>
            <w:tcW w:w="709"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预决算信息</w:t>
            </w: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公开性</w:t>
            </w:r>
          </w:p>
          <w:p>
            <w:pPr>
              <w:widowControl/>
              <w:spacing w:line="240" w:lineRule="exact"/>
              <w:jc w:val="left"/>
              <w:rPr>
                <w:szCs w:val="21"/>
              </w:rPr>
            </w:pPr>
            <w:r>
              <w:rPr>
                <w:rFonts w:ascii="仿宋_GB2312" w:hAnsi="新宋体" w:eastAsia="仿宋_GB2312" w:cs="仿宋_GB2312"/>
                <w:kern w:val="0"/>
                <w:szCs w:val="21"/>
              </w:rPr>
              <w:t>（3</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部门是否按照政府信息公开有关规定公开相关预决算信息，用以反映和评价部门预决算管理的公开透明情况。</w:t>
            </w:r>
          </w:p>
          <w:p>
            <w:pPr>
              <w:widowControl/>
              <w:spacing w:line="240" w:lineRule="exact"/>
              <w:jc w:val="left"/>
              <w:rPr>
                <w:szCs w:val="21"/>
              </w:rPr>
            </w:pPr>
            <w:r>
              <w:rPr>
                <w:rFonts w:ascii="仿宋_GB2312" w:hAnsi="新宋体" w:eastAsia="仿宋_GB2312" w:cs="仿宋_GB2312"/>
                <w:kern w:val="0"/>
                <w:szCs w:val="21"/>
              </w:rPr>
              <w:t>预决算信息是指与部门预算、执行、决算、监督、绩效等管理相关的信息。</w:t>
            </w:r>
          </w:p>
          <w:p>
            <w:pPr>
              <w:widowControl/>
              <w:spacing w:line="240" w:lineRule="exact"/>
              <w:jc w:val="left"/>
              <w:rPr>
                <w:szCs w:val="21"/>
              </w:rPr>
            </w:pPr>
            <w:r>
              <w:rPr>
                <w:rFonts w:ascii="仿宋_GB2312" w:hAnsi="新宋体" w:eastAsia="仿宋_GB2312" w:cs="仿宋_GB2312"/>
                <w:kern w:val="0"/>
                <w:szCs w:val="21"/>
              </w:rPr>
              <w:t>评价要点：</w:t>
            </w:r>
          </w:p>
          <w:p>
            <w:pPr>
              <w:widowControl/>
              <w:spacing w:line="240" w:lineRule="exact"/>
              <w:jc w:val="left"/>
              <w:rPr>
                <w:szCs w:val="21"/>
              </w:rPr>
            </w:pPr>
            <w:r>
              <w:rPr>
                <w:rFonts w:ascii="仿宋_GB2312" w:hAnsi="新宋体" w:eastAsia="仿宋_GB2312" w:cs="仿宋_GB2312"/>
                <w:kern w:val="0"/>
                <w:szCs w:val="21"/>
              </w:rPr>
              <w:t>1.公开预决算信息；</w:t>
            </w:r>
          </w:p>
          <w:p>
            <w:pPr>
              <w:widowControl/>
              <w:spacing w:line="240" w:lineRule="exact"/>
              <w:jc w:val="left"/>
              <w:rPr>
                <w:szCs w:val="21"/>
              </w:rPr>
            </w:pPr>
            <w:r>
              <w:rPr>
                <w:rFonts w:ascii="仿宋_GB2312" w:hAnsi="新宋体" w:eastAsia="仿宋_GB2312" w:cs="仿宋_GB2312"/>
                <w:kern w:val="0"/>
                <w:szCs w:val="21"/>
              </w:rPr>
              <w:t>2.按规定内容公开预决算信息；</w:t>
            </w:r>
          </w:p>
          <w:p>
            <w:pPr>
              <w:widowControl/>
              <w:spacing w:line="240" w:lineRule="exact"/>
              <w:jc w:val="left"/>
              <w:rPr>
                <w:szCs w:val="21"/>
              </w:rPr>
            </w:pPr>
            <w:r>
              <w:rPr>
                <w:rFonts w:ascii="仿宋_GB2312" w:hAnsi="新宋体" w:eastAsia="仿宋_GB2312" w:cs="仿宋_GB2312"/>
                <w:kern w:val="0"/>
                <w:szCs w:val="21"/>
              </w:rPr>
              <w:t>3.按规定时限公开预决算信息。</w:t>
            </w:r>
          </w:p>
        </w:tc>
        <w:tc>
          <w:tcPr>
            <w:tcW w:w="241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全部符合（3）；</w:t>
            </w:r>
          </w:p>
          <w:p>
            <w:pPr>
              <w:widowControl/>
              <w:spacing w:line="240" w:lineRule="exact"/>
              <w:jc w:val="left"/>
              <w:rPr>
                <w:szCs w:val="21"/>
              </w:rPr>
            </w:pPr>
            <w:r>
              <w:rPr>
                <w:rFonts w:ascii="仿宋_GB2312" w:hAnsi="新宋体" w:eastAsia="仿宋_GB2312" w:cs="仿宋_GB2312"/>
                <w:kern w:val="0"/>
                <w:szCs w:val="21"/>
              </w:rPr>
              <w:t>符合其中两项（2）</w:t>
            </w:r>
          </w:p>
          <w:p>
            <w:pPr>
              <w:widowControl/>
              <w:spacing w:line="240" w:lineRule="exact"/>
              <w:jc w:val="left"/>
              <w:rPr>
                <w:szCs w:val="21"/>
              </w:rPr>
            </w:pPr>
            <w:r>
              <w:rPr>
                <w:rFonts w:ascii="仿宋_GB2312" w:hAnsi="新宋体" w:eastAsia="仿宋_GB2312" w:cs="仿宋_GB2312"/>
                <w:kern w:val="0"/>
                <w:szCs w:val="21"/>
              </w:rPr>
              <w:t>符合其中一项及以下（0）。</w:t>
            </w:r>
          </w:p>
        </w:tc>
        <w:tc>
          <w:tcPr>
            <w:tcW w:w="709"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基础信息</w:t>
            </w:r>
          </w:p>
          <w:p>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完善性</w:t>
            </w:r>
          </w:p>
          <w:p>
            <w:pPr>
              <w:widowControl/>
              <w:spacing w:line="240" w:lineRule="exact"/>
              <w:jc w:val="left"/>
              <w:rPr>
                <w:szCs w:val="21"/>
              </w:rPr>
            </w:pPr>
            <w:r>
              <w:rPr>
                <w:rFonts w:ascii="仿宋_GB2312" w:hAnsi="新宋体" w:eastAsia="仿宋_GB2312" w:cs="仿宋_GB2312"/>
                <w:kern w:val="0"/>
                <w:szCs w:val="21"/>
              </w:rPr>
              <w:t>（4</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部门基础信息是否完善，用以反映和评价基础信息对预算管理工作的支撑情况。</w:t>
            </w:r>
          </w:p>
          <w:p>
            <w:pPr>
              <w:widowControl/>
              <w:spacing w:line="240" w:lineRule="exact"/>
              <w:jc w:val="left"/>
              <w:rPr>
                <w:szCs w:val="21"/>
              </w:rPr>
            </w:pPr>
            <w:r>
              <w:rPr>
                <w:rFonts w:ascii="仿宋_GB2312" w:hAnsi="新宋体" w:eastAsia="仿宋_GB2312" w:cs="仿宋_GB2312"/>
                <w:kern w:val="0"/>
                <w:szCs w:val="21"/>
              </w:rPr>
              <w:t>评价要点：</w:t>
            </w:r>
          </w:p>
          <w:p>
            <w:pPr>
              <w:widowControl/>
              <w:spacing w:line="240" w:lineRule="exact"/>
              <w:jc w:val="left"/>
              <w:rPr>
                <w:szCs w:val="21"/>
              </w:rPr>
            </w:pPr>
            <w:r>
              <w:rPr>
                <w:rFonts w:ascii="仿宋_GB2312" w:hAnsi="新宋体" w:eastAsia="仿宋_GB2312" w:cs="仿宋_GB2312"/>
                <w:kern w:val="0"/>
                <w:szCs w:val="21"/>
              </w:rPr>
              <w:t>1.基本财务管理制度健全；</w:t>
            </w:r>
          </w:p>
          <w:p>
            <w:pPr>
              <w:widowControl/>
              <w:spacing w:line="240" w:lineRule="exact"/>
              <w:jc w:val="left"/>
              <w:rPr>
                <w:szCs w:val="21"/>
              </w:rPr>
            </w:pPr>
            <w:r>
              <w:rPr>
                <w:rFonts w:ascii="仿宋_GB2312" w:hAnsi="新宋体" w:eastAsia="仿宋_GB2312" w:cs="仿宋_GB2312"/>
                <w:kern w:val="0"/>
                <w:szCs w:val="21"/>
              </w:rPr>
              <w:t>2.基础数据信息和会计信息资料真实；</w:t>
            </w:r>
          </w:p>
          <w:p>
            <w:pPr>
              <w:widowControl/>
              <w:spacing w:line="240" w:lineRule="exact"/>
              <w:jc w:val="left"/>
              <w:rPr>
                <w:szCs w:val="21"/>
              </w:rPr>
            </w:pPr>
            <w:r>
              <w:rPr>
                <w:rFonts w:ascii="仿宋_GB2312" w:hAnsi="新宋体" w:eastAsia="仿宋_GB2312" w:cs="仿宋_GB2312"/>
                <w:kern w:val="0"/>
                <w:szCs w:val="21"/>
              </w:rPr>
              <w:t>3.基础数据信息和会计信息资料完整；</w:t>
            </w:r>
          </w:p>
          <w:p>
            <w:pPr>
              <w:widowControl/>
              <w:spacing w:line="240" w:lineRule="exact"/>
              <w:jc w:val="left"/>
              <w:rPr>
                <w:szCs w:val="21"/>
              </w:rPr>
            </w:pPr>
            <w:r>
              <w:rPr>
                <w:rFonts w:ascii="仿宋_GB2312" w:hAnsi="新宋体" w:eastAsia="仿宋_GB2312" w:cs="仿宋_GB2312"/>
                <w:kern w:val="0"/>
                <w:szCs w:val="21"/>
              </w:rPr>
              <w:t>4.基础数据信息和会计信息资料准确。</w:t>
            </w:r>
          </w:p>
        </w:tc>
        <w:tc>
          <w:tcPr>
            <w:tcW w:w="241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符合全部四项（4）；</w:t>
            </w:r>
          </w:p>
          <w:p>
            <w:pPr>
              <w:widowControl/>
              <w:spacing w:line="240" w:lineRule="exact"/>
              <w:jc w:val="left"/>
              <w:rPr>
                <w:szCs w:val="21"/>
              </w:rPr>
            </w:pPr>
            <w:r>
              <w:rPr>
                <w:rFonts w:ascii="仿宋_GB2312" w:hAnsi="新宋体" w:eastAsia="仿宋_GB2312" w:cs="仿宋_GB2312"/>
                <w:kern w:val="0"/>
                <w:szCs w:val="21"/>
              </w:rPr>
              <w:t>符合其中三项（2）；</w:t>
            </w:r>
          </w:p>
          <w:p>
            <w:pPr>
              <w:widowControl/>
              <w:spacing w:line="240" w:lineRule="exact"/>
              <w:jc w:val="left"/>
              <w:rPr>
                <w:szCs w:val="21"/>
              </w:rPr>
            </w:pPr>
            <w:r>
              <w:rPr>
                <w:rFonts w:ascii="仿宋_GB2312" w:hAnsi="新宋体" w:eastAsia="仿宋_GB2312" w:cs="仿宋_GB2312"/>
                <w:kern w:val="0"/>
                <w:szCs w:val="21"/>
              </w:rPr>
              <w:t>符合其中两项（1）；</w:t>
            </w:r>
          </w:p>
          <w:p>
            <w:pPr>
              <w:widowControl/>
              <w:spacing w:line="240" w:lineRule="exact"/>
              <w:jc w:val="left"/>
              <w:rPr>
                <w:szCs w:val="21"/>
              </w:rPr>
            </w:pPr>
            <w:r>
              <w:rPr>
                <w:rFonts w:ascii="仿宋_GB2312" w:hAnsi="新宋体" w:eastAsia="仿宋_GB2312" w:cs="仿宋_GB2312"/>
                <w:kern w:val="0"/>
                <w:szCs w:val="21"/>
              </w:rPr>
              <w:t>符合其中一项及以下（0）。</w:t>
            </w:r>
          </w:p>
        </w:tc>
        <w:tc>
          <w:tcPr>
            <w:tcW w:w="709"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资产管理</w:t>
            </w:r>
            <w:r>
              <w:rPr>
                <w:rFonts w:hint="eastAsia" w:ascii="仿宋_GB2312" w:hAnsi="新宋体" w:eastAsia="仿宋_GB2312" w:cs="仿宋_GB2312"/>
                <w:kern w:val="0"/>
                <w:szCs w:val="21"/>
              </w:rPr>
              <w:t>情况</w:t>
            </w: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auto"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资产管理</w:t>
            </w: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完整性</w:t>
            </w:r>
          </w:p>
          <w:p>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2分</w:t>
            </w:r>
            <w:r>
              <w:rPr>
                <w:rFonts w:ascii="仿宋_GB2312" w:hAnsi="新宋体" w:eastAsia="仿宋_GB2312" w:cs="仿宋_GB2312"/>
                <w:kern w:val="0"/>
                <w:szCs w:val="21"/>
              </w:rPr>
              <w:t>）</w:t>
            </w:r>
          </w:p>
        </w:tc>
        <w:tc>
          <w:tcPr>
            <w:tcW w:w="3260" w:type="dxa"/>
            <w:tcBorders>
              <w:top w:val="single" w:color="auto"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部门的资产是否保存完整、使用合规、收入及时足额上缴，用以反映和评价部门资产运行情况。</w:t>
            </w:r>
          </w:p>
          <w:p>
            <w:pPr>
              <w:widowControl/>
              <w:spacing w:line="240" w:lineRule="exact"/>
              <w:jc w:val="left"/>
              <w:rPr>
                <w:szCs w:val="21"/>
              </w:rPr>
            </w:pPr>
            <w:r>
              <w:rPr>
                <w:rFonts w:ascii="仿宋_GB2312" w:hAnsi="新宋体" w:eastAsia="仿宋_GB2312" w:cs="仿宋_GB2312"/>
                <w:kern w:val="0"/>
                <w:szCs w:val="21"/>
              </w:rPr>
              <w:t>评价要点：</w:t>
            </w:r>
          </w:p>
          <w:p>
            <w:pPr>
              <w:widowControl/>
              <w:spacing w:line="240" w:lineRule="exact"/>
              <w:jc w:val="left"/>
              <w:rPr>
                <w:szCs w:val="21"/>
              </w:rPr>
            </w:pPr>
            <w:r>
              <w:rPr>
                <w:rFonts w:ascii="仿宋_GB2312" w:hAnsi="新宋体" w:eastAsia="仿宋_GB2312" w:cs="仿宋_GB2312"/>
                <w:kern w:val="0"/>
                <w:szCs w:val="21"/>
              </w:rPr>
              <w:t>1.资产保存完整；</w:t>
            </w:r>
          </w:p>
          <w:p>
            <w:pPr>
              <w:widowControl/>
              <w:spacing w:line="240" w:lineRule="exact"/>
              <w:jc w:val="left"/>
              <w:rPr>
                <w:szCs w:val="21"/>
              </w:rPr>
            </w:pPr>
            <w:r>
              <w:rPr>
                <w:rFonts w:ascii="仿宋_GB2312" w:hAnsi="新宋体" w:eastAsia="仿宋_GB2312" w:cs="仿宋_GB2312"/>
                <w:kern w:val="0"/>
                <w:szCs w:val="21"/>
              </w:rPr>
              <w:t>2.资产账务管理是否合规，帐实相符；</w:t>
            </w:r>
          </w:p>
          <w:p>
            <w:pPr>
              <w:widowControl/>
              <w:spacing w:line="240" w:lineRule="exact"/>
              <w:jc w:val="left"/>
              <w:rPr>
                <w:szCs w:val="21"/>
              </w:rPr>
            </w:pPr>
            <w:r>
              <w:rPr>
                <w:rFonts w:ascii="仿宋_GB2312" w:hAnsi="新宋体" w:eastAsia="仿宋_GB2312" w:cs="仿宋_GB2312"/>
                <w:kern w:val="0"/>
                <w:szCs w:val="21"/>
              </w:rPr>
              <w:t>3.资产有偿使用及处置收入及时足额上缴。</w:t>
            </w:r>
          </w:p>
        </w:tc>
        <w:tc>
          <w:tcPr>
            <w:tcW w:w="2410" w:type="dxa"/>
            <w:tcBorders>
              <w:top w:val="single" w:color="auto"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符合全部三项（3）；</w:t>
            </w:r>
          </w:p>
          <w:p>
            <w:pPr>
              <w:widowControl/>
              <w:spacing w:line="240" w:lineRule="exact"/>
              <w:jc w:val="left"/>
              <w:rPr>
                <w:szCs w:val="21"/>
              </w:rPr>
            </w:pPr>
            <w:r>
              <w:rPr>
                <w:rFonts w:ascii="仿宋_GB2312" w:hAnsi="新宋体" w:eastAsia="仿宋_GB2312" w:cs="仿宋_GB2312"/>
                <w:kern w:val="0"/>
                <w:szCs w:val="21"/>
              </w:rPr>
              <w:t>符合其中两项（2）；</w:t>
            </w:r>
          </w:p>
          <w:p>
            <w:pPr>
              <w:widowControl/>
              <w:spacing w:line="240" w:lineRule="exact"/>
              <w:jc w:val="left"/>
              <w:rPr>
                <w:szCs w:val="21"/>
              </w:rPr>
            </w:pPr>
            <w:r>
              <w:rPr>
                <w:rFonts w:ascii="仿宋_GB2312" w:hAnsi="新宋体" w:eastAsia="仿宋_GB2312" w:cs="仿宋_GB2312"/>
                <w:kern w:val="0"/>
                <w:szCs w:val="21"/>
              </w:rPr>
              <w:t>符合其中一项（1）；</w:t>
            </w:r>
          </w:p>
          <w:p>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符合零项（0）。</w:t>
            </w:r>
          </w:p>
        </w:tc>
        <w:tc>
          <w:tcPr>
            <w:tcW w:w="709"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89"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tc>
        <w:tc>
          <w:tcPr>
            <w:tcW w:w="1559" w:type="dxa"/>
            <w:tcBorders>
              <w:top w:val="single" w:color="auto"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固定资产</w:t>
            </w: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利用率</w:t>
            </w:r>
          </w:p>
          <w:p>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3分</w:t>
            </w:r>
            <w:r>
              <w:rPr>
                <w:rFonts w:ascii="仿宋_GB2312" w:hAnsi="新宋体" w:eastAsia="仿宋_GB2312" w:cs="仿宋_GB2312"/>
                <w:kern w:val="0"/>
                <w:szCs w:val="21"/>
              </w:rPr>
              <w:t>）</w:t>
            </w:r>
          </w:p>
        </w:tc>
        <w:tc>
          <w:tcPr>
            <w:tcW w:w="3260" w:type="dxa"/>
            <w:tcBorders>
              <w:top w:val="single" w:color="auto"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部门实际在用固定资产总额与所有固定资产总额的比率，用以反映和评价部门固定资产使用效率。</w:t>
            </w:r>
          </w:p>
          <w:p>
            <w:pPr>
              <w:widowControl/>
              <w:spacing w:line="240" w:lineRule="exact"/>
              <w:jc w:val="left"/>
              <w:rPr>
                <w:szCs w:val="21"/>
              </w:rPr>
            </w:pPr>
            <w:r>
              <w:rPr>
                <w:rFonts w:ascii="仿宋_GB2312" w:hAnsi="新宋体" w:eastAsia="仿宋_GB2312" w:cs="仿宋_GB2312"/>
                <w:kern w:val="0"/>
                <w:szCs w:val="21"/>
              </w:rPr>
              <w:t>固定资产利用率=（实际在用固定资产总额/所有固定资产总额）×100%。</w:t>
            </w:r>
          </w:p>
        </w:tc>
        <w:tc>
          <w:tcPr>
            <w:tcW w:w="2410" w:type="dxa"/>
            <w:tcBorders>
              <w:top w:val="single" w:color="auto" w:sz="4" w:space="0"/>
              <w:left w:val="single" w:color="auto" w:sz="4" w:space="0"/>
              <w:bottom w:val="single" w:color="000000" w:sz="4" w:space="0"/>
              <w:right w:val="single" w:color="auto" w:sz="4" w:space="0"/>
            </w:tcBorders>
            <w:vAlign w:val="center"/>
          </w:tcPr>
          <w:p>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1.固定资产利用率大于或等于95%的，得满分；</w:t>
            </w:r>
          </w:p>
          <w:p>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2.固定资产利用率小于或等于85%的，得0分；</w:t>
            </w:r>
          </w:p>
          <w:p>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3.固定资产利用率在85%-95%之间的，在0和满分之间计算确定：</w:t>
            </w:r>
          </w:p>
          <w:p>
            <w:pPr>
              <w:widowControl/>
              <w:pBdr>
                <w:top w:val="none" w:color="auto" w:sz="0" w:space="0"/>
                <w:left w:val="none" w:color="auto" w:sz="0" w:space="0"/>
                <w:bottom w:val="none" w:color="auto" w:sz="0" w:space="0"/>
                <w:right w:val="none" w:color="auto" w:sz="0" w:space="0"/>
              </w:pBdr>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得分=［某部门固定资产利用率-min（固定资产利用率）］/［max（固定资产利用率）-min（固定资产利用率）］×该指标分值。</w:t>
            </w:r>
          </w:p>
          <w:p>
            <w:pPr>
              <w:widowControl/>
              <w:pBdr>
                <w:top w:val="none" w:color="auto" w:sz="0" w:space="0"/>
                <w:left w:val="none" w:color="auto" w:sz="0" w:space="0"/>
                <w:bottom w:val="none" w:color="auto" w:sz="0" w:space="0"/>
                <w:right w:val="none" w:color="auto" w:sz="0" w:space="0"/>
              </w:pBdr>
              <w:spacing w:line="240" w:lineRule="exact"/>
              <w:jc w:val="left"/>
              <w:rPr>
                <w:szCs w:val="21"/>
              </w:rPr>
            </w:pPr>
          </w:p>
        </w:tc>
        <w:tc>
          <w:tcPr>
            <w:tcW w:w="709"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产出(2</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职责履行</w:t>
            </w:r>
            <w:r>
              <w:rPr>
                <w:rFonts w:hint="eastAsia" w:ascii="仿宋_GB2312" w:hAnsi="新宋体" w:eastAsia="仿宋_GB2312" w:cs="仿宋_GB2312"/>
                <w:kern w:val="0"/>
                <w:szCs w:val="21"/>
              </w:rPr>
              <w:t>情况</w:t>
            </w:r>
            <w:r>
              <w:rPr>
                <w:rFonts w:ascii="仿宋_GB2312" w:hAnsi="新宋体" w:eastAsia="仿宋_GB2312" w:cs="仿宋_GB2312"/>
                <w:kern w:val="0"/>
                <w:sz w:val="18"/>
                <w:szCs w:val="18"/>
              </w:rPr>
              <w:t>（2</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履职</w:t>
            </w:r>
          </w:p>
          <w:p>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完成</w:t>
            </w:r>
          </w:p>
          <w:p>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情况</w:t>
            </w:r>
          </w:p>
          <w:p>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10分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textAlignment w:val="center"/>
              <w:rPr>
                <w:szCs w:val="21"/>
              </w:rPr>
            </w:pPr>
            <w:r>
              <w:rPr>
                <w:rFonts w:hint="eastAsia" w:ascii="仿宋" w:hAnsi="仿宋" w:eastAsia="仿宋" w:cs="仿宋"/>
                <w:color w:val="000000"/>
                <w:kern w:val="0"/>
                <w:szCs w:val="21"/>
              </w:rPr>
              <w:t>根据年度主要任务分解表的具体任务，逐项评价任务量化指标完成情况、实施效果和责任制建立情况。用以反映和考核部门（单位）履职工作任务目标的完成情况。评价要点：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1.每项任务是否已制定了明确、具体、可量化、可衡量的绩效指标；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2.每项任务绩效指标的完成情况，是全部完成、基本完成、未完成，还是未实施；</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3.每项任务实施效果情况，是优秀、良好、一般，还是无效果；</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4.每项任务是否建立了目标责任制，是否落实到具体部门和人员负责。</w:t>
            </w:r>
          </w:p>
        </w:tc>
        <w:tc>
          <w:tcPr>
            <w:tcW w:w="2410"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textAlignment w:val="center"/>
              <w:rPr>
                <w:szCs w:val="21"/>
              </w:rPr>
            </w:pPr>
            <w:r>
              <w:rPr>
                <w:rFonts w:hint="eastAsia" w:ascii="仿宋" w:hAnsi="仿宋" w:eastAsia="仿宋" w:cs="仿宋"/>
                <w:color w:val="000000"/>
                <w:kern w:val="0"/>
                <w:szCs w:val="21"/>
              </w:rPr>
              <w:t>根据不同部门履职的内容和特点，具体测算部门履职工作任务目标的完成情况。</w:t>
            </w:r>
          </w:p>
        </w:tc>
        <w:tc>
          <w:tcPr>
            <w:tcW w:w="709"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szCs w:val="21"/>
              </w:rPr>
            </w:pPr>
            <w:r>
              <w:rPr>
                <w:rFonts w:hint="eastAsia"/>
                <w:szCs w:val="21"/>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90"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tc>
        <w:tc>
          <w:tcPr>
            <w:tcW w:w="1559" w:type="dxa"/>
            <w:tcBorders>
              <w:top w:val="single" w:color="000000" w:sz="4" w:space="0"/>
              <w:left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项目</w:t>
            </w:r>
            <w:r>
              <w:rPr>
                <w:rFonts w:hint="eastAsia" w:ascii="仿宋_GB2312" w:hAnsi="新宋体" w:eastAsia="仿宋_GB2312" w:cs="仿宋_GB2312"/>
                <w:kern w:val="0"/>
                <w:szCs w:val="21"/>
              </w:rPr>
              <w:t>完成</w:t>
            </w:r>
          </w:p>
          <w:p>
            <w:pPr>
              <w:widowControl/>
              <w:spacing w:line="240" w:lineRule="exact"/>
              <w:jc w:val="left"/>
              <w:rPr>
                <w:szCs w:val="21"/>
              </w:rPr>
            </w:pPr>
            <w:r>
              <w:rPr>
                <w:rFonts w:ascii="仿宋_GB2312" w:hAnsi="新宋体" w:eastAsia="仿宋_GB2312" w:cs="仿宋_GB2312"/>
                <w:kern w:val="0"/>
                <w:szCs w:val="21"/>
              </w:rPr>
              <w:t>质量达标率（</w:t>
            </w:r>
            <w:r>
              <w:rPr>
                <w:rFonts w:hint="eastAsia" w:ascii="仿宋_GB2312" w:hAnsi="新宋体" w:eastAsia="仿宋_GB2312" w:cs="仿宋_GB2312"/>
                <w:kern w:val="0"/>
                <w:szCs w:val="21"/>
              </w:rPr>
              <w:t>15</w:t>
            </w:r>
            <w:r>
              <w:rPr>
                <w:rFonts w:ascii="仿宋_GB2312" w:hAnsi="新宋体" w:eastAsia="仿宋_GB2312" w:cs="仿宋_GB2312"/>
                <w:kern w:val="0"/>
                <w:szCs w:val="21"/>
              </w:rPr>
              <w:t>）</w:t>
            </w:r>
          </w:p>
        </w:tc>
        <w:tc>
          <w:tcPr>
            <w:tcW w:w="3260" w:type="dxa"/>
            <w:tcBorders>
              <w:top w:val="single" w:color="000000" w:sz="4" w:space="0"/>
              <w:left w:val="single" w:color="auto" w:sz="4" w:space="0"/>
              <w:right w:val="single" w:color="auto" w:sz="4" w:space="0"/>
            </w:tcBorders>
            <w:vAlign w:val="center"/>
          </w:tcPr>
          <w:p>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部门已完成项目中质量达标项目个数占已完成项目个数的比率,用以反映和评价部门履职质量目标的实现程度。</w:t>
            </w:r>
          </w:p>
          <w:p>
            <w:pPr>
              <w:widowControl/>
              <w:spacing w:line="240" w:lineRule="exact"/>
              <w:jc w:val="left"/>
              <w:rPr>
                <w:szCs w:val="21"/>
              </w:rPr>
            </w:pPr>
            <w:r>
              <w:rPr>
                <w:rFonts w:ascii="仿宋_GB2312" w:hAnsi="新宋体" w:eastAsia="仿宋_GB2312" w:cs="仿宋_GB2312"/>
                <w:kern w:val="0"/>
                <w:szCs w:val="21"/>
              </w:rPr>
              <w:t>项目质量达标率=（已完成项目中质量达标项目个数/已完成项目个数）×100%。</w:t>
            </w:r>
          </w:p>
          <w:p>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项目质量达标是指项目决算验收合格。</w:t>
            </w:r>
          </w:p>
        </w:tc>
        <w:tc>
          <w:tcPr>
            <w:tcW w:w="2410" w:type="dxa"/>
            <w:tcBorders>
              <w:top w:val="single" w:color="000000" w:sz="4" w:space="0"/>
              <w:left w:val="single" w:color="auto" w:sz="4" w:space="0"/>
              <w:right w:val="single" w:color="auto" w:sz="4" w:space="0"/>
            </w:tcBorders>
            <w:vAlign w:val="center"/>
          </w:tcPr>
          <w:p>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1.项目质量达标率等于100%的，得满分；</w:t>
            </w:r>
          </w:p>
          <w:p>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2.项目质量达标率小于或等于99%的，得0分；</w:t>
            </w:r>
          </w:p>
          <w:p>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 xml:space="preserve">3.项目质量达标率在99%-100%之间的，在0和满分之间计算确定： </w:t>
            </w:r>
          </w:p>
          <w:p>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得分=［某部门项目质量达标率-min（项目质量达标率）］/［max（项目质量达标率）-min（项目质量达标率）］×该指标分值。</w:t>
            </w:r>
          </w:p>
        </w:tc>
        <w:tc>
          <w:tcPr>
            <w:tcW w:w="709"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szCs w:val="21"/>
              </w:rPr>
            </w:pPr>
            <w:r>
              <w:rPr>
                <w:rFonts w:hint="eastAsia"/>
                <w:szCs w:val="21"/>
              </w:rPr>
              <w:t>14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效果（</w:t>
            </w:r>
            <w:r>
              <w:rPr>
                <w:rFonts w:hint="eastAsia" w:ascii="仿宋_GB2312" w:hAnsi="新宋体" w:eastAsia="仿宋_GB2312" w:cs="仿宋_GB2312"/>
                <w:kern w:val="0"/>
                <w:szCs w:val="21"/>
              </w:rPr>
              <w:t>2</w:t>
            </w:r>
            <w:r>
              <w:rPr>
                <w:rFonts w:ascii="仿宋_GB2312" w:hAnsi="新宋体" w:eastAsia="仿宋_GB2312" w:cs="仿宋_GB2312"/>
                <w:kern w:val="0"/>
                <w:szCs w:val="21"/>
              </w:rPr>
              <w:t>0</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851" w:type="dxa"/>
            <w:vMerge w:val="restart"/>
            <w:tcBorders>
              <w:top w:val="single" w:color="auto" w:sz="4" w:space="0"/>
              <w:left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rPr>
            </w:pPr>
          </w:p>
          <w:p>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履职效益情况</w:t>
            </w:r>
          </w:p>
          <w:p>
            <w:pPr>
              <w:widowControl/>
              <w:spacing w:line="240" w:lineRule="exact"/>
              <w:jc w:val="left"/>
              <w:rPr>
                <w:rFonts w:ascii="仿宋_GB2312" w:hAnsi="新宋体" w:eastAsia="仿宋_GB2312" w:cs="仿宋_GB2312"/>
                <w:kern w:val="0"/>
                <w:sz w:val="18"/>
                <w:szCs w:val="18"/>
              </w:rPr>
            </w:pP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20分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经济效益</w:t>
            </w:r>
          </w:p>
          <w:p>
            <w:pPr>
              <w:widowControl/>
              <w:spacing w:line="240" w:lineRule="exact"/>
              <w:jc w:val="left"/>
              <w:rPr>
                <w:szCs w:val="21"/>
              </w:rPr>
            </w:pPr>
            <w:r>
              <w:rPr>
                <w:rFonts w:ascii="仿宋_GB2312" w:hAnsi="新宋体" w:eastAsia="仿宋_GB2312" w:cs="仿宋_GB2312"/>
                <w:kern w:val="0"/>
                <w:szCs w:val="21"/>
              </w:rPr>
              <w:t>（5</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部门及所属二级单位通过履行职责和预算安排支出项目的实施，对我市带来的经济影响。</w:t>
            </w:r>
          </w:p>
          <w:p>
            <w:pPr>
              <w:widowControl/>
              <w:spacing w:line="240" w:lineRule="exact"/>
              <w:jc w:val="left"/>
              <w:textAlignment w:val="center"/>
              <w:rPr>
                <w:rFonts w:ascii="仿宋" w:hAnsi="仿宋" w:eastAsia="仿宋" w:cs="仿宋"/>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1.通过部门所属企事业单位改革，促进了企事业单位效益增长情况；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2.通过预算支出项目的实施，促进了行业生产能力增长，从而带动行业经济效益增长；</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3.通过预算支出项目的实施，有效提高劳动效率，节约成本费用；</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4.通过预算支出项目的实施，降低了损耗，从而提高了生产效益；</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5.通过预算支出项目的实施，完善了突发情况的监测预警，保障了生产安全，降低了生产损失。</w:t>
            </w:r>
          </w:p>
        </w:tc>
        <w:tc>
          <w:tcPr>
            <w:tcW w:w="241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rFonts w:ascii="仿宋" w:hAnsi="仿宋" w:eastAsia="仿宋" w:cs="仿宋"/>
                <w:szCs w:val="21"/>
              </w:rPr>
            </w:pPr>
            <w:r>
              <w:rPr>
                <w:rFonts w:hint="eastAsia" w:ascii="仿宋" w:hAnsi="仿宋" w:eastAsia="仿宋" w:cs="仿宋"/>
                <w:color w:val="000000"/>
                <w:kern w:val="0"/>
                <w:szCs w:val="21"/>
              </w:rPr>
              <w:t>根据不同部门履职的内容和特点，具体测算部门履职产生的经济效益。</w:t>
            </w:r>
          </w:p>
        </w:tc>
        <w:tc>
          <w:tcPr>
            <w:tcW w:w="709"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left w:val="single" w:color="000000" w:sz="4" w:space="0"/>
              <w:right w:val="single" w:color="000000" w:sz="4" w:space="0"/>
            </w:tcBorders>
            <w:vAlign w:val="center"/>
          </w:tcPr>
          <w:p/>
        </w:tc>
        <w:tc>
          <w:tcPr>
            <w:tcW w:w="851" w:type="dxa"/>
            <w:vMerge w:val="continue"/>
            <w:tcBorders>
              <w:left w:val="single" w:color="000000" w:sz="4" w:space="0"/>
              <w:right w:val="single" w:color="000000" w:sz="4" w:space="0"/>
            </w:tcBorders>
            <w:vAlign w:val="center"/>
          </w:tc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社会效益</w:t>
            </w:r>
          </w:p>
          <w:p>
            <w:pPr>
              <w:widowControl/>
              <w:spacing w:line="240" w:lineRule="exac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（5分）</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部门及所属二级单位履行职责对社会发展所带来的直接或间接影响。</w:t>
            </w:r>
          </w:p>
          <w:p>
            <w:pPr>
              <w:widowControl/>
              <w:spacing w:line="240" w:lineRule="exact"/>
              <w:textAlignment w:val="center"/>
              <w:rPr>
                <w:rFonts w:ascii="仿宋" w:hAnsi="仿宋" w:eastAsia="仿宋" w:cs="仿宋"/>
                <w:color w:val="000000"/>
                <w:kern w:val="0"/>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1.通过部门所属企事业单位的改革，促进了企事业单位可持续发展，带动就业增长情况；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2.通过预算支出项目的实施，是否明显促进了行业精神文明建设；</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3.通过部门履职是否明显提高城乡居民生活水平，满足了人们日益增长的物质与文化生活需求；</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4.通过预算项目的实施，是否提高了劳动生产率，降低了劳动强度，促进了劳动人民的身心健康；</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5.通过部门履职行业形象是否得到了大大提升了，增强了部门影响力。</w:t>
            </w:r>
          </w:p>
        </w:tc>
        <w:tc>
          <w:tcPr>
            <w:tcW w:w="241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textAlignment w:val="center"/>
              <w:rPr>
                <w:rFonts w:ascii="仿宋" w:hAnsi="仿宋" w:eastAsia="仿宋" w:cs="仿宋"/>
                <w:szCs w:val="21"/>
              </w:rPr>
            </w:pPr>
            <w:r>
              <w:rPr>
                <w:rFonts w:hint="eastAsia" w:ascii="仿宋" w:hAnsi="仿宋" w:eastAsia="仿宋" w:cs="仿宋"/>
                <w:color w:val="000000"/>
                <w:kern w:val="0"/>
                <w:szCs w:val="21"/>
              </w:rPr>
              <w:t>根据不同部门履职的内容和特点，具体测算部门履职产生的社会效益。</w:t>
            </w:r>
          </w:p>
        </w:tc>
        <w:tc>
          <w:tcPr>
            <w:tcW w:w="709"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left w:val="single" w:color="000000" w:sz="4" w:space="0"/>
              <w:right w:val="single" w:color="000000" w:sz="4" w:space="0"/>
            </w:tcBorders>
            <w:vAlign w:val="center"/>
          </w:tcPr>
          <w:p/>
        </w:tc>
        <w:tc>
          <w:tcPr>
            <w:tcW w:w="851" w:type="dxa"/>
            <w:vMerge w:val="continue"/>
            <w:tcBorders>
              <w:left w:val="single" w:color="000000" w:sz="4" w:space="0"/>
              <w:right w:val="single" w:color="000000" w:sz="4" w:space="0"/>
            </w:tcBorders>
            <w:vAlign w:val="center"/>
          </w:tc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生态效益</w:t>
            </w:r>
          </w:p>
          <w:p>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（5分）</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部门及所属二级单位履行职责对生态环境所带来的直接或间接影响。</w:t>
            </w:r>
          </w:p>
          <w:p>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1.通过预算支出项目的实施，绿色、节能环保新技术的应用和推广，明显带动各环节的节能减排，也具有一定的环境效益；</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2.通过履职有效地控制虚假、伪劣、霉变等劣质产品进入市场，影响了人民生活质量，净化地市场环境；</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3.通过预算支出项目的实施，是否达到减少污染物排放；</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4.通过预算支出项目的实施，周围环境得到了整治，面貌得到了改善。</w:t>
            </w:r>
          </w:p>
        </w:tc>
        <w:tc>
          <w:tcPr>
            <w:tcW w:w="241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szCs w:val="21"/>
              </w:rPr>
            </w:pPr>
            <w:r>
              <w:rPr>
                <w:rFonts w:hint="eastAsia" w:ascii="仿宋" w:hAnsi="仿宋" w:eastAsia="仿宋" w:cs="仿宋"/>
                <w:color w:val="000000"/>
                <w:kern w:val="0"/>
                <w:szCs w:val="21"/>
              </w:rPr>
              <w:t>根据不同部门履职的内容和特点，具体测算部门履职产生的生态效益。</w:t>
            </w:r>
          </w:p>
        </w:tc>
        <w:tc>
          <w:tcPr>
            <w:tcW w:w="709"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tc>
        <w:tc>
          <w:tcPr>
            <w:tcW w:w="851" w:type="dxa"/>
            <w:vMerge w:val="continue"/>
            <w:tcBorders>
              <w:left w:val="single" w:color="000000" w:sz="4" w:space="0"/>
              <w:right w:val="single" w:color="000000" w:sz="4" w:space="0"/>
            </w:tcBorders>
            <w:vAlign w:val="center"/>
          </w:tc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szCs w:val="21"/>
              </w:rPr>
            </w:pPr>
            <w:r>
              <w:rPr>
                <w:rFonts w:hint="eastAsia" w:ascii="仿宋_GB2312" w:hAnsi="新宋体" w:eastAsia="仿宋_GB2312" w:cs="仿宋_GB2312"/>
                <w:kern w:val="0"/>
                <w:szCs w:val="21"/>
              </w:rPr>
              <w:t>服务对象</w:t>
            </w:r>
            <w:r>
              <w:rPr>
                <w:rFonts w:ascii="仿宋_GB2312" w:hAnsi="新宋体" w:eastAsia="仿宋_GB2312" w:cs="仿宋_GB2312"/>
                <w:kern w:val="0"/>
                <w:szCs w:val="21"/>
              </w:rPr>
              <w:t>满意度（5）</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hint="eastAsia" w:ascii="仿宋_GB2312" w:hAnsi="新宋体" w:eastAsia="仿宋_GB2312" w:cs="仿宋_GB2312"/>
                <w:kern w:val="0"/>
                <w:szCs w:val="21"/>
              </w:rPr>
              <w:t>通过对部门（单位）的服务对象对部门履职效果的满意程度调查，反映和考核社会公众或服务对象对部门履职的满意度。</w:t>
            </w:r>
          </w:p>
        </w:tc>
        <w:tc>
          <w:tcPr>
            <w:tcW w:w="241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rPr>
                <w:rFonts w:ascii="仿宋" w:hAnsi="仿宋" w:eastAsia="仿宋" w:cs="宋体"/>
                <w:kern w:val="0"/>
                <w:szCs w:val="21"/>
              </w:rPr>
            </w:pPr>
            <w:r>
              <w:rPr>
                <w:rFonts w:ascii="仿宋" w:hAnsi="仿宋" w:eastAsia="仿宋" w:cs="Arial"/>
                <w:kern w:val="0"/>
                <w:szCs w:val="21"/>
              </w:rPr>
              <w:t>按照满意度调查的优秀、良好、合格、不合格给予该项指标打分：</w:t>
            </w:r>
          </w:p>
          <w:p>
            <w:pPr>
              <w:widowControl/>
              <w:spacing w:line="240" w:lineRule="exact"/>
              <w:rPr>
                <w:szCs w:val="21"/>
              </w:rPr>
            </w:pPr>
            <w:r>
              <w:rPr>
                <w:rFonts w:ascii="仿宋" w:hAnsi="仿宋" w:eastAsia="仿宋" w:cs="Arial"/>
                <w:kern w:val="0"/>
                <w:szCs w:val="21"/>
              </w:rPr>
              <w:t>优秀（</w:t>
            </w:r>
            <w:r>
              <w:rPr>
                <w:rFonts w:hint="eastAsia" w:ascii="仿宋" w:hAnsi="仿宋" w:eastAsia="仿宋" w:cs="Arial"/>
                <w:kern w:val="0"/>
                <w:szCs w:val="21"/>
              </w:rPr>
              <w:t>5</w:t>
            </w:r>
            <w:r>
              <w:rPr>
                <w:rFonts w:ascii="仿宋" w:hAnsi="仿宋" w:eastAsia="仿宋" w:cs="Arial"/>
                <w:kern w:val="0"/>
                <w:szCs w:val="21"/>
              </w:rPr>
              <w:t>）；良好（</w:t>
            </w:r>
            <w:r>
              <w:rPr>
                <w:rFonts w:hint="eastAsia" w:ascii="仿宋" w:hAnsi="仿宋" w:eastAsia="仿宋" w:cs="Arial"/>
                <w:kern w:val="0"/>
                <w:szCs w:val="21"/>
              </w:rPr>
              <w:t>3</w:t>
            </w:r>
            <w:r>
              <w:rPr>
                <w:rFonts w:ascii="仿宋" w:hAnsi="仿宋" w:eastAsia="仿宋" w:cs="Arial"/>
                <w:kern w:val="0"/>
                <w:szCs w:val="21"/>
              </w:rPr>
              <w:t>）；合格（</w:t>
            </w:r>
            <w:r>
              <w:rPr>
                <w:rFonts w:hint="eastAsia" w:ascii="仿宋" w:hAnsi="仿宋" w:eastAsia="仿宋" w:cs="Arial"/>
                <w:kern w:val="0"/>
                <w:szCs w:val="21"/>
              </w:rPr>
              <w:t>1</w:t>
            </w:r>
            <w:r>
              <w:rPr>
                <w:rFonts w:ascii="仿宋" w:hAnsi="仿宋" w:eastAsia="仿宋" w:cs="Arial"/>
                <w:kern w:val="0"/>
                <w:szCs w:val="21"/>
              </w:rPr>
              <w:t>）；不合格（</w:t>
            </w:r>
            <w:r>
              <w:rPr>
                <w:rFonts w:hint="eastAsia" w:ascii="仿宋" w:hAnsi="仿宋" w:eastAsia="仿宋" w:cs="Arial"/>
                <w:kern w:val="0"/>
                <w:szCs w:val="21"/>
              </w:rPr>
              <w:t>0</w:t>
            </w:r>
            <w:r>
              <w:rPr>
                <w:rFonts w:ascii="仿宋" w:hAnsi="仿宋" w:eastAsia="仿宋" w:cs="Arial"/>
                <w:kern w:val="0"/>
                <w:szCs w:val="21"/>
              </w:rPr>
              <w:t>）。</w:t>
            </w:r>
          </w:p>
        </w:tc>
        <w:tc>
          <w:tcPr>
            <w:tcW w:w="709"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5</w:t>
            </w:r>
          </w:p>
        </w:tc>
      </w:tr>
    </w:tbl>
    <w:p>
      <w:pPr>
        <w:widowControl/>
        <w:spacing w:line="480" w:lineRule="exact"/>
        <w:jc w:val="left"/>
        <w:rPr>
          <w:rFonts w:ascii="仿宋" w:hAnsi="仿宋" w:eastAsia="仿宋" w:cs="仿宋"/>
          <w:kern w:val="0"/>
          <w:sz w:val="32"/>
          <w:szCs w:val="32"/>
          <w:shd w:val="clear" w:color="auto" w:fill="FFFFFF"/>
        </w:rPr>
      </w:pPr>
    </w:p>
    <w:p>
      <w:pPr>
        <w:rPr>
          <w:rFonts w:ascii="黑体" w:hAnsi="黑体" w:eastAsia="黑体" w:cs="黑体"/>
          <w:b/>
          <w:bCs/>
          <w:sz w:val="30"/>
          <w:szCs w:val="30"/>
        </w:rPr>
      </w:pPr>
      <w:r>
        <w:rPr>
          <w:rFonts w:hint="eastAsia" w:ascii="黑体" w:hAnsi="黑体" w:eastAsia="黑体" w:cs="黑体"/>
          <w:b/>
          <w:bCs/>
          <w:sz w:val="30"/>
          <w:szCs w:val="30"/>
        </w:rPr>
        <w:t>(后附部门整体自评报告)</w:t>
      </w:r>
    </w:p>
    <w:p>
      <w:pPr>
        <w:ind w:firstLine="780"/>
        <w:jc w:val="center"/>
        <w:rPr>
          <w:rFonts w:ascii="宋体" w:cs="黑体"/>
          <w:b/>
          <w:bCs/>
          <w:sz w:val="44"/>
          <w:szCs w:val="44"/>
        </w:rPr>
      </w:pPr>
      <w:r>
        <w:rPr>
          <w:rFonts w:hint="eastAsia" w:ascii="宋体" w:cs="黑体"/>
          <w:b/>
          <w:bCs/>
          <w:sz w:val="44"/>
          <w:szCs w:val="44"/>
        </w:rPr>
        <w:t>隆尧县公安局</w:t>
      </w:r>
    </w:p>
    <w:p>
      <w:pPr>
        <w:ind w:firstLine="780"/>
        <w:jc w:val="center"/>
        <w:rPr>
          <w:rFonts w:ascii="宋体" w:cs="黑体"/>
          <w:b/>
          <w:bCs/>
          <w:sz w:val="44"/>
          <w:szCs w:val="44"/>
        </w:rPr>
      </w:pPr>
      <w:r>
        <w:rPr>
          <w:rFonts w:hint="eastAsia" w:ascii="宋体" w:cs="黑体"/>
          <w:b/>
          <w:bCs/>
          <w:sz w:val="44"/>
          <w:szCs w:val="44"/>
        </w:rPr>
        <w:t>2021年部门整体支出绩效评价报告</w:t>
      </w:r>
    </w:p>
    <w:p>
      <w:pPr>
        <w:spacing w:line="560" w:lineRule="exact"/>
        <w:ind w:firstLine="640" w:firstLineChars="200"/>
        <w:rPr>
          <w:rFonts w:ascii="黑体" w:hAnsi="黑体" w:eastAsia="黑体" w:cs="仿宋"/>
          <w:sz w:val="32"/>
          <w:szCs w:val="32"/>
        </w:rPr>
      </w:pPr>
      <w:r>
        <w:rPr>
          <w:rFonts w:hint="eastAsia" w:ascii="黑体" w:hAnsi="黑体" w:eastAsia="黑体" w:cs="仿宋"/>
          <w:sz w:val="32"/>
          <w:szCs w:val="32"/>
        </w:rPr>
        <w:t>一、基本概况。</w:t>
      </w:r>
    </w:p>
    <w:p>
      <w:pPr>
        <w:adjustRightIn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(一)部门主要职责职能和部门组织架构</w:t>
      </w:r>
    </w:p>
    <w:p>
      <w:pPr>
        <w:adjustRightInd w:val="0"/>
        <w:spacing w:line="560" w:lineRule="exact"/>
        <w:ind w:firstLine="640" w:firstLineChars="200"/>
        <w:rPr>
          <w:rFonts w:ascii="仿宋" w:hAnsi="仿宋" w:eastAsia="仿宋" w:cs="仿宋"/>
          <w:sz w:val="32"/>
          <w:szCs w:val="32"/>
        </w:rPr>
      </w:pPr>
      <w:r>
        <w:rPr>
          <w:rFonts w:hint="eastAsia" w:ascii="仿宋" w:hAnsi="仿宋" w:eastAsia="仿宋"/>
          <w:sz w:val="32"/>
          <w:szCs w:val="32"/>
        </w:rPr>
        <w:t>部门主要职责：</w:t>
      </w:r>
    </w:p>
    <w:p>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（一）贯彻执行国家、省、市公安工作的方针政策、法律法规及规章，结合我县实际制定相关政策、措施和办法，经县政府批准后组织实施。</w:t>
      </w:r>
    </w:p>
    <w:p>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（二）按照县委、县政府和上级公安部门的指示及工作部署，研究安排和组织实施全县公安工作，并督促检查执行情况。</w:t>
      </w:r>
    </w:p>
    <w:p>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（三）规划全县公安工作，研究全县公安工作重大情况（四）搜集、掌握影响政治稳定、危害国家安全和社会治安的有关情况，分析形势，制定对策，适时组织实施。</w:t>
      </w:r>
    </w:p>
    <w:p>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（五）指导对危害国家安全案件、刑事案件、经济犯罪案件、和重大问题，推进全县公安工作的改革和发展。</w:t>
      </w:r>
    </w:p>
    <w:p>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毒品犯罪案件、恐怖犯罪案件的侦查工作，直接立案侦办重大案件。</w:t>
      </w:r>
    </w:p>
    <w:p>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（六）指导全县公安机关依法查处治安案件，组织协调或直接处置重大突发事件和治安事故；承担社会治安、户籍、居民身份证、枪支弹药、危险爆炸物品、特种行业等管理工作；推进治安行政管理改革工作。</w:t>
      </w:r>
    </w:p>
    <w:p>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（七）指导监督全县公安机关对国家机关、社会团体、企事业单位、重点建设工程、重要油、气管（线）及其他重点部位的治安保卫工作和群众性治安保卫组织的治安防范工作；加强企事业单位保卫组织的建设。</w:t>
      </w:r>
    </w:p>
    <w:p>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（八）组织实施消防工作，依法进行消防监督。</w:t>
      </w:r>
    </w:p>
    <w:p>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（九）组织实施全县公安机关警卫工作，负责对来我县的党和国家领导人以及重要外宾和重要会议的安全警卫工作。</w:t>
      </w:r>
    </w:p>
    <w:p>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（十）组织指导全县公安机关开展网络安全保卫工作，监督检查指导信息安全等级保护工作；直接立案侦办涉及网络安全的重特大案件。</w:t>
      </w:r>
    </w:p>
    <w:p>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（十一）指导全县监管场所及监视设备的建设和管理；指导对收押人员的监管、教育工作。</w:t>
      </w:r>
    </w:p>
    <w:p>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（十二）指导监督全县公安机关执法活动，拟订有关公安工作规范性文件；指导办理听证、行政复议、国家赔偿、刑事诉讼案件工作。</w:t>
      </w:r>
    </w:p>
    <w:p>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（十三）指导、监督并组织实施全县公安机关维护城乡道路交通安全、交通秩序及对机动车辆驾驶人的管理工作。</w:t>
      </w:r>
    </w:p>
    <w:p>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（十四）监督、检查和指导全县出入境管理工作，管理全县公民非公务活动出境和来隆境外人员，依法组织侦办和查处涉外案（事）件。</w:t>
      </w:r>
    </w:p>
    <w:p>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（十五）规划全县公安科学技术和公安信息化建设工作，组织实施公安信息技术、刑事科学技术及技术侦察手段建设。</w:t>
      </w:r>
    </w:p>
    <w:p>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（十六）规划、指导并组织实施全县公安队伍正规化、职业化建设以及公安宣传、教育、训练和思想政治工作；按照权限管理公安干部；搞好全县消防等公安现役部队建设。</w:t>
      </w:r>
    </w:p>
    <w:p>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（十七）组织实施并指导全县公安机关的警务督察工作；查处和督办公安民警重大违法、违纪案件；维护公安民警正当执法权益。</w:t>
      </w:r>
    </w:p>
    <w:p>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（十八）执行公安机关装备、被装配备标准并负责管理工作；执导全县公安机关财务、经费等保障工作。</w:t>
      </w:r>
    </w:p>
    <w:p>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（十九）对武警隆尧县中队执行公安任务及相关业务建设实施领导和指挥。</w:t>
      </w:r>
    </w:p>
    <w:p>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（二十）承办县委、县政府和上级公安机关交办的其他事项。</w:t>
      </w:r>
    </w:p>
    <w:p>
      <w:pPr>
        <w:autoSpaceDE w:val="0"/>
        <w:autoSpaceDN w:val="0"/>
        <w:adjustRightInd w:val="0"/>
        <w:spacing w:line="560" w:lineRule="exact"/>
        <w:ind w:firstLine="640" w:firstLineChars="200"/>
        <w:jc w:val="left"/>
        <w:rPr>
          <w:rFonts w:ascii="仿宋" w:hAnsi="仿宋" w:eastAsia="仿宋"/>
          <w:sz w:val="32"/>
          <w:szCs w:val="32"/>
        </w:rPr>
      </w:pPr>
      <w:r>
        <w:rPr>
          <w:rFonts w:hint="eastAsia" w:ascii="仿宋" w:hAnsi="仿宋" w:eastAsia="仿宋"/>
          <w:sz w:val="32"/>
          <w:szCs w:val="32"/>
        </w:rPr>
        <w:t>机构设置：</w:t>
      </w:r>
    </w:p>
    <w:p>
      <w:pPr>
        <w:snapToGrid w:val="0"/>
        <w:spacing w:line="560" w:lineRule="exact"/>
        <w:ind w:firstLine="480" w:firstLineChars="200"/>
        <w:rPr>
          <w:rFonts w:ascii="仿宋" w:hAnsi="仿宋" w:eastAsia="仿宋" w:cs="仿宋"/>
          <w:sz w:val="24"/>
        </w:rPr>
      </w:pPr>
      <w:r>
        <w:rPr>
          <w:rFonts w:hint="eastAsia" w:ascii="仿宋" w:hAnsi="仿宋" w:eastAsia="仿宋" w:cs="仿宋"/>
          <w:sz w:val="24"/>
        </w:rPr>
        <w:t>纳入隆尧县公安局（部门）决算的机构设置情况如下：</w:t>
      </w:r>
    </w:p>
    <w:tbl>
      <w:tblPr>
        <w:tblStyle w:val="10"/>
        <w:tblW w:w="8112"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2568"/>
        <w:gridCol w:w="1488"/>
        <w:gridCol w:w="2028"/>
        <w:gridCol w:w="202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71" w:hRule="atLeast"/>
          <w:jc w:val="center"/>
        </w:trPr>
        <w:tc>
          <w:tcPr>
            <w:tcW w:w="2568" w:type="dxa"/>
            <w:tcBorders>
              <w:top w:val="single" w:color="000000" w:sz="4" w:space="0"/>
              <w:left w:val="single" w:color="000000" w:sz="4" w:space="0"/>
              <w:bottom w:val="single" w:color="000000" w:sz="4" w:space="0"/>
              <w:right w:val="single" w:color="000000" w:sz="4" w:space="0"/>
            </w:tcBorders>
            <w:vAlign w:val="center"/>
          </w:tcPr>
          <w:p>
            <w:pPr>
              <w:autoSpaceDE w:val="0"/>
              <w:autoSpaceDN w:val="0"/>
              <w:adjustRightInd w:val="0"/>
              <w:spacing w:line="560" w:lineRule="exact"/>
              <w:jc w:val="center"/>
              <w:rPr>
                <w:rFonts w:ascii="仿宋" w:hAnsi="仿宋" w:eastAsia="仿宋"/>
              </w:rPr>
            </w:pPr>
            <w:r>
              <w:rPr>
                <w:rFonts w:hint="eastAsia" w:ascii="仿宋" w:hAnsi="仿宋" w:eastAsia="仿宋"/>
              </w:rPr>
              <w:t>单位名称</w:t>
            </w:r>
          </w:p>
        </w:tc>
        <w:tc>
          <w:tcPr>
            <w:tcW w:w="1488" w:type="dxa"/>
            <w:tcBorders>
              <w:top w:val="single" w:color="000000" w:sz="4" w:space="0"/>
              <w:left w:val="single" w:color="000000" w:sz="4" w:space="0"/>
              <w:bottom w:val="single" w:color="000000" w:sz="4" w:space="0"/>
              <w:right w:val="single" w:color="000000" w:sz="4" w:space="0"/>
            </w:tcBorders>
            <w:vAlign w:val="center"/>
          </w:tcPr>
          <w:p>
            <w:pPr>
              <w:autoSpaceDE w:val="0"/>
              <w:autoSpaceDN w:val="0"/>
              <w:adjustRightInd w:val="0"/>
              <w:spacing w:line="560" w:lineRule="exact"/>
              <w:jc w:val="center"/>
              <w:rPr>
                <w:rFonts w:ascii="仿宋" w:hAnsi="仿宋" w:eastAsia="仿宋"/>
              </w:rPr>
            </w:pPr>
            <w:r>
              <w:rPr>
                <w:rFonts w:hint="eastAsia" w:ascii="仿宋" w:hAnsi="仿宋" w:eastAsia="仿宋"/>
              </w:rPr>
              <w:t>单位性质</w:t>
            </w:r>
          </w:p>
        </w:tc>
        <w:tc>
          <w:tcPr>
            <w:tcW w:w="2028" w:type="dxa"/>
            <w:tcBorders>
              <w:top w:val="single" w:color="000000" w:sz="4" w:space="0"/>
              <w:left w:val="single" w:color="000000" w:sz="4" w:space="0"/>
              <w:bottom w:val="single" w:color="000000" w:sz="4" w:space="0"/>
              <w:right w:val="single" w:color="000000" w:sz="4" w:space="0"/>
            </w:tcBorders>
            <w:vAlign w:val="center"/>
          </w:tcPr>
          <w:p>
            <w:pPr>
              <w:autoSpaceDE w:val="0"/>
              <w:autoSpaceDN w:val="0"/>
              <w:adjustRightInd w:val="0"/>
              <w:spacing w:line="560" w:lineRule="exact"/>
              <w:jc w:val="center"/>
              <w:rPr>
                <w:rFonts w:ascii="仿宋" w:hAnsi="仿宋" w:eastAsia="仿宋"/>
              </w:rPr>
            </w:pPr>
            <w:r>
              <w:rPr>
                <w:rFonts w:hint="eastAsia" w:ascii="仿宋" w:hAnsi="仿宋" w:eastAsia="仿宋"/>
              </w:rPr>
              <w:t>单位规格</w:t>
            </w:r>
          </w:p>
        </w:tc>
        <w:tc>
          <w:tcPr>
            <w:tcW w:w="2028" w:type="dxa"/>
            <w:tcBorders>
              <w:top w:val="single" w:color="000000" w:sz="4" w:space="0"/>
              <w:left w:val="single" w:color="000000" w:sz="4" w:space="0"/>
              <w:bottom w:val="single" w:color="000000" w:sz="4" w:space="0"/>
              <w:right w:val="single" w:color="000000" w:sz="4" w:space="0"/>
            </w:tcBorders>
            <w:vAlign w:val="center"/>
          </w:tcPr>
          <w:p>
            <w:pPr>
              <w:autoSpaceDE w:val="0"/>
              <w:autoSpaceDN w:val="0"/>
              <w:adjustRightInd w:val="0"/>
              <w:spacing w:line="560" w:lineRule="exact"/>
              <w:jc w:val="center"/>
              <w:rPr>
                <w:rFonts w:ascii="仿宋" w:hAnsi="仿宋" w:eastAsia="仿宋"/>
              </w:rPr>
            </w:pPr>
            <w:r>
              <w:rPr>
                <w:rFonts w:hint="eastAsia" w:ascii="仿宋" w:hAnsi="仿宋" w:eastAsia="仿宋"/>
              </w:rPr>
              <w:t>经费保障形式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53" w:hRule="atLeast"/>
          <w:jc w:val="center"/>
        </w:trPr>
        <w:tc>
          <w:tcPr>
            <w:tcW w:w="2568" w:type="dxa"/>
            <w:tcBorders>
              <w:top w:val="single" w:color="000000" w:sz="4" w:space="0"/>
              <w:left w:val="single" w:color="000000" w:sz="4" w:space="0"/>
              <w:bottom w:val="single" w:color="000000" w:sz="4" w:space="0"/>
              <w:right w:val="single" w:color="000000" w:sz="4" w:space="0"/>
            </w:tcBorders>
            <w:vAlign w:val="center"/>
          </w:tcPr>
          <w:p>
            <w:pPr>
              <w:autoSpaceDE w:val="0"/>
              <w:autoSpaceDN w:val="0"/>
              <w:adjustRightInd w:val="0"/>
              <w:spacing w:line="560" w:lineRule="exact"/>
              <w:jc w:val="center"/>
              <w:rPr>
                <w:rFonts w:ascii="仿宋" w:hAnsi="仿宋" w:eastAsia="仿宋"/>
              </w:rPr>
            </w:pPr>
            <w:r>
              <w:rPr>
                <w:rFonts w:hint="eastAsia" w:ascii="仿宋" w:hAnsi="仿宋" w:eastAsia="仿宋"/>
              </w:rPr>
              <w:t>隆尧县公安局</w:t>
            </w:r>
          </w:p>
        </w:tc>
        <w:tc>
          <w:tcPr>
            <w:tcW w:w="1488" w:type="dxa"/>
            <w:tcBorders>
              <w:top w:val="single" w:color="000000" w:sz="4" w:space="0"/>
              <w:left w:val="single" w:color="000000" w:sz="4" w:space="0"/>
              <w:bottom w:val="single" w:color="000000" w:sz="4" w:space="0"/>
              <w:right w:val="single" w:color="000000" w:sz="4" w:space="0"/>
            </w:tcBorders>
            <w:vAlign w:val="center"/>
          </w:tcPr>
          <w:p>
            <w:pPr>
              <w:autoSpaceDE w:val="0"/>
              <w:autoSpaceDN w:val="0"/>
              <w:adjustRightInd w:val="0"/>
              <w:spacing w:line="560" w:lineRule="exact"/>
              <w:jc w:val="center"/>
              <w:rPr>
                <w:rFonts w:ascii="仿宋" w:hAnsi="仿宋" w:eastAsia="仿宋"/>
              </w:rPr>
            </w:pPr>
            <w:r>
              <w:rPr>
                <w:rFonts w:hint="eastAsia" w:ascii="仿宋" w:hAnsi="仿宋" w:eastAsia="仿宋"/>
              </w:rPr>
              <w:t>行政</w:t>
            </w:r>
          </w:p>
        </w:tc>
        <w:tc>
          <w:tcPr>
            <w:tcW w:w="2028" w:type="dxa"/>
            <w:tcBorders>
              <w:top w:val="single" w:color="000000" w:sz="4" w:space="0"/>
              <w:left w:val="single" w:color="000000" w:sz="4" w:space="0"/>
              <w:bottom w:val="single" w:color="000000" w:sz="4" w:space="0"/>
              <w:right w:val="single" w:color="000000" w:sz="4" w:space="0"/>
            </w:tcBorders>
            <w:vAlign w:val="center"/>
          </w:tcPr>
          <w:p>
            <w:pPr>
              <w:autoSpaceDE w:val="0"/>
              <w:autoSpaceDN w:val="0"/>
              <w:adjustRightInd w:val="0"/>
              <w:spacing w:line="560" w:lineRule="exact"/>
              <w:jc w:val="center"/>
              <w:rPr>
                <w:rFonts w:ascii="仿宋" w:hAnsi="仿宋" w:eastAsia="仿宋"/>
              </w:rPr>
            </w:pPr>
            <w:r>
              <w:rPr>
                <w:rFonts w:hint="eastAsia" w:ascii="仿宋" w:hAnsi="仿宋" w:eastAsia="仿宋"/>
              </w:rPr>
              <w:t>正科级</w:t>
            </w:r>
          </w:p>
        </w:tc>
        <w:tc>
          <w:tcPr>
            <w:tcW w:w="2028" w:type="dxa"/>
            <w:tcBorders>
              <w:top w:val="single" w:color="000000" w:sz="4" w:space="0"/>
              <w:left w:val="single" w:color="000000" w:sz="4" w:space="0"/>
              <w:bottom w:val="single" w:color="000000" w:sz="4" w:space="0"/>
              <w:right w:val="single" w:color="000000" w:sz="4" w:space="0"/>
            </w:tcBorders>
            <w:vAlign w:val="center"/>
          </w:tcPr>
          <w:p>
            <w:pPr>
              <w:autoSpaceDE w:val="0"/>
              <w:autoSpaceDN w:val="0"/>
              <w:adjustRightInd w:val="0"/>
              <w:spacing w:line="560" w:lineRule="exact"/>
              <w:jc w:val="center"/>
              <w:rPr>
                <w:rFonts w:ascii="仿宋" w:hAnsi="仿宋" w:eastAsia="仿宋"/>
              </w:rPr>
            </w:pPr>
            <w:r>
              <w:rPr>
                <w:rFonts w:hint="eastAsia" w:ascii="仿宋" w:hAnsi="仿宋" w:eastAsia="仿宋"/>
              </w:rPr>
              <w:t>财政拨款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71" w:hRule="atLeast"/>
          <w:jc w:val="center"/>
        </w:trPr>
        <w:tc>
          <w:tcPr>
            <w:tcW w:w="2568" w:type="dxa"/>
            <w:tcBorders>
              <w:top w:val="single" w:color="000000" w:sz="4" w:space="0"/>
              <w:left w:val="single" w:color="000000" w:sz="4" w:space="0"/>
              <w:bottom w:val="single" w:color="000000" w:sz="4" w:space="0"/>
              <w:right w:val="single" w:color="000000" w:sz="4" w:space="0"/>
            </w:tcBorders>
            <w:vAlign w:val="center"/>
          </w:tcPr>
          <w:p>
            <w:pPr>
              <w:autoSpaceDE w:val="0"/>
              <w:autoSpaceDN w:val="0"/>
              <w:adjustRightInd w:val="0"/>
              <w:spacing w:line="560" w:lineRule="exact"/>
              <w:jc w:val="center"/>
              <w:rPr>
                <w:rFonts w:ascii="仿宋" w:hAnsi="仿宋" w:eastAsia="仿宋"/>
              </w:rPr>
            </w:pPr>
            <w:r>
              <w:rPr>
                <w:rFonts w:hint="eastAsia" w:ascii="仿宋" w:hAnsi="仿宋" w:eastAsia="仿宋"/>
              </w:rPr>
              <w:t>隆尧县看守所</w:t>
            </w:r>
          </w:p>
        </w:tc>
        <w:tc>
          <w:tcPr>
            <w:tcW w:w="1488" w:type="dxa"/>
            <w:tcBorders>
              <w:top w:val="single" w:color="000000" w:sz="4" w:space="0"/>
              <w:left w:val="single" w:color="000000" w:sz="4" w:space="0"/>
              <w:bottom w:val="single" w:color="000000" w:sz="4" w:space="0"/>
              <w:right w:val="single" w:color="000000" w:sz="4" w:space="0"/>
            </w:tcBorders>
            <w:vAlign w:val="center"/>
          </w:tcPr>
          <w:p>
            <w:pPr>
              <w:autoSpaceDE w:val="0"/>
              <w:autoSpaceDN w:val="0"/>
              <w:adjustRightInd w:val="0"/>
              <w:spacing w:line="560" w:lineRule="exact"/>
              <w:jc w:val="center"/>
              <w:rPr>
                <w:rFonts w:ascii="仿宋" w:hAnsi="仿宋" w:eastAsia="仿宋"/>
              </w:rPr>
            </w:pPr>
            <w:r>
              <w:rPr>
                <w:rFonts w:hint="eastAsia" w:ascii="仿宋" w:hAnsi="仿宋" w:eastAsia="仿宋"/>
              </w:rPr>
              <w:t>行政</w:t>
            </w:r>
          </w:p>
        </w:tc>
        <w:tc>
          <w:tcPr>
            <w:tcW w:w="2028" w:type="dxa"/>
            <w:tcBorders>
              <w:top w:val="single" w:color="000000" w:sz="4" w:space="0"/>
              <w:left w:val="single" w:color="000000" w:sz="4" w:space="0"/>
              <w:bottom w:val="single" w:color="000000" w:sz="4" w:space="0"/>
              <w:right w:val="single" w:color="000000" w:sz="4" w:space="0"/>
            </w:tcBorders>
            <w:vAlign w:val="center"/>
          </w:tcPr>
          <w:p>
            <w:pPr>
              <w:autoSpaceDE w:val="0"/>
              <w:autoSpaceDN w:val="0"/>
              <w:adjustRightInd w:val="0"/>
              <w:spacing w:line="560" w:lineRule="exact"/>
              <w:jc w:val="center"/>
              <w:rPr>
                <w:rFonts w:ascii="仿宋" w:hAnsi="仿宋" w:eastAsia="仿宋"/>
              </w:rPr>
            </w:pPr>
            <w:r>
              <w:rPr>
                <w:rFonts w:hint="eastAsia" w:ascii="仿宋" w:hAnsi="仿宋" w:eastAsia="仿宋"/>
              </w:rPr>
              <w:t>正股级</w:t>
            </w:r>
          </w:p>
        </w:tc>
        <w:tc>
          <w:tcPr>
            <w:tcW w:w="2028" w:type="dxa"/>
            <w:tcBorders>
              <w:top w:val="single" w:color="000000" w:sz="4" w:space="0"/>
              <w:left w:val="single" w:color="000000" w:sz="4" w:space="0"/>
              <w:bottom w:val="single" w:color="000000" w:sz="4" w:space="0"/>
              <w:right w:val="single" w:color="000000" w:sz="4" w:space="0"/>
            </w:tcBorders>
            <w:vAlign w:val="center"/>
          </w:tcPr>
          <w:p>
            <w:pPr>
              <w:autoSpaceDE w:val="0"/>
              <w:autoSpaceDN w:val="0"/>
              <w:adjustRightInd w:val="0"/>
              <w:spacing w:line="560" w:lineRule="exact"/>
              <w:jc w:val="center"/>
              <w:rPr>
                <w:rFonts w:ascii="仿宋" w:hAnsi="仿宋" w:eastAsia="仿宋"/>
              </w:rPr>
            </w:pPr>
            <w:r>
              <w:rPr>
                <w:rFonts w:hint="eastAsia" w:ascii="仿宋" w:hAnsi="仿宋" w:eastAsia="仿宋"/>
              </w:rPr>
              <w:t>财政拨款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71" w:hRule="atLeast"/>
          <w:jc w:val="center"/>
        </w:trPr>
        <w:tc>
          <w:tcPr>
            <w:tcW w:w="2568" w:type="dxa"/>
            <w:tcBorders>
              <w:top w:val="single" w:color="000000" w:sz="4" w:space="0"/>
              <w:left w:val="single" w:color="000000" w:sz="4" w:space="0"/>
              <w:bottom w:val="single" w:color="000000" w:sz="4" w:space="0"/>
              <w:right w:val="single" w:color="000000" w:sz="4" w:space="0"/>
            </w:tcBorders>
            <w:vAlign w:val="center"/>
          </w:tcPr>
          <w:p>
            <w:pPr>
              <w:autoSpaceDE w:val="0"/>
              <w:autoSpaceDN w:val="0"/>
              <w:adjustRightInd w:val="0"/>
              <w:spacing w:line="560" w:lineRule="exact"/>
              <w:jc w:val="center"/>
              <w:rPr>
                <w:rFonts w:ascii="仿宋" w:hAnsi="仿宋" w:eastAsia="仿宋"/>
              </w:rPr>
            </w:pPr>
            <w:r>
              <w:rPr>
                <w:rFonts w:hint="eastAsia" w:ascii="仿宋" w:hAnsi="仿宋" w:eastAsia="仿宋"/>
              </w:rPr>
              <w:t>隆尧县武警中队</w:t>
            </w:r>
          </w:p>
        </w:tc>
        <w:tc>
          <w:tcPr>
            <w:tcW w:w="1488" w:type="dxa"/>
            <w:tcBorders>
              <w:top w:val="single" w:color="000000" w:sz="4" w:space="0"/>
              <w:left w:val="single" w:color="000000" w:sz="4" w:space="0"/>
              <w:bottom w:val="single" w:color="000000" w:sz="4" w:space="0"/>
              <w:right w:val="single" w:color="000000" w:sz="4" w:space="0"/>
            </w:tcBorders>
            <w:vAlign w:val="center"/>
          </w:tcPr>
          <w:p>
            <w:pPr>
              <w:autoSpaceDE w:val="0"/>
              <w:autoSpaceDN w:val="0"/>
              <w:adjustRightInd w:val="0"/>
              <w:spacing w:line="560" w:lineRule="exact"/>
              <w:jc w:val="center"/>
              <w:rPr>
                <w:rFonts w:ascii="仿宋" w:hAnsi="仿宋" w:eastAsia="仿宋"/>
              </w:rPr>
            </w:pPr>
            <w:r>
              <w:rPr>
                <w:rFonts w:hint="eastAsia" w:ascii="仿宋" w:hAnsi="仿宋" w:eastAsia="仿宋"/>
              </w:rPr>
              <w:t>行政</w:t>
            </w:r>
          </w:p>
        </w:tc>
        <w:tc>
          <w:tcPr>
            <w:tcW w:w="2028" w:type="dxa"/>
            <w:tcBorders>
              <w:top w:val="single" w:color="000000" w:sz="4" w:space="0"/>
              <w:left w:val="single" w:color="000000" w:sz="4" w:space="0"/>
              <w:bottom w:val="single" w:color="000000" w:sz="4" w:space="0"/>
              <w:right w:val="single" w:color="000000" w:sz="4" w:space="0"/>
            </w:tcBorders>
            <w:vAlign w:val="center"/>
          </w:tcPr>
          <w:p>
            <w:pPr>
              <w:autoSpaceDE w:val="0"/>
              <w:autoSpaceDN w:val="0"/>
              <w:adjustRightInd w:val="0"/>
              <w:spacing w:line="560" w:lineRule="exact"/>
              <w:jc w:val="center"/>
              <w:rPr>
                <w:rFonts w:ascii="仿宋" w:hAnsi="仿宋" w:eastAsia="仿宋"/>
              </w:rPr>
            </w:pPr>
          </w:p>
        </w:tc>
        <w:tc>
          <w:tcPr>
            <w:tcW w:w="2028" w:type="dxa"/>
            <w:tcBorders>
              <w:top w:val="single" w:color="000000" w:sz="4" w:space="0"/>
              <w:left w:val="single" w:color="000000" w:sz="4" w:space="0"/>
              <w:bottom w:val="single" w:color="000000" w:sz="4" w:space="0"/>
              <w:right w:val="single" w:color="000000" w:sz="4" w:space="0"/>
            </w:tcBorders>
            <w:vAlign w:val="center"/>
          </w:tcPr>
          <w:p>
            <w:pPr>
              <w:autoSpaceDE w:val="0"/>
              <w:autoSpaceDN w:val="0"/>
              <w:adjustRightInd w:val="0"/>
              <w:spacing w:line="560" w:lineRule="exact"/>
              <w:jc w:val="center"/>
              <w:rPr>
                <w:rFonts w:ascii="仿宋" w:hAnsi="仿宋" w:eastAsia="仿宋"/>
              </w:rPr>
            </w:pPr>
            <w:r>
              <w:rPr>
                <w:rFonts w:hint="eastAsia" w:ascii="仿宋" w:hAnsi="仿宋" w:eastAsia="仿宋"/>
              </w:rPr>
              <w:t>财政拨款</w:t>
            </w:r>
          </w:p>
        </w:tc>
      </w:tr>
    </w:tbl>
    <w:p>
      <w:pPr>
        <w:snapToGrid w:val="0"/>
        <w:spacing w:line="560" w:lineRule="exact"/>
        <w:rPr>
          <w:rFonts w:ascii="仿宋_GB2312" w:hAnsi="仿宋" w:eastAsia="仿宋_GB2312"/>
          <w:sz w:val="32"/>
          <w:szCs w:val="32"/>
        </w:rPr>
      </w:pPr>
    </w:p>
    <w:p>
      <w:pPr>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（二）人员及资产情况。</w:t>
      </w:r>
    </w:p>
    <w:p>
      <w:pPr>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人员情况：</w:t>
      </w:r>
    </w:p>
    <w:p>
      <w:pPr>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2021年末公安局实有在职人员</w:t>
      </w:r>
      <w:r>
        <w:rPr>
          <w:rFonts w:ascii="仿宋" w:hAnsi="仿宋" w:eastAsia="仿宋"/>
          <w:sz w:val="32"/>
          <w:szCs w:val="32"/>
        </w:rPr>
        <w:t>256</w:t>
      </w:r>
      <w:r>
        <w:rPr>
          <w:rFonts w:hint="eastAsia" w:ascii="仿宋" w:hAnsi="仿宋" w:eastAsia="仿宋"/>
          <w:sz w:val="32"/>
          <w:szCs w:val="32"/>
        </w:rPr>
        <w:t>人，不包括劳务派遣人员及交警、武警，较上年增加5人，原因为2021年死亡1人、退休3人、调出7人、新增16人。</w:t>
      </w:r>
    </w:p>
    <w:p>
      <w:pPr>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资产情况:2021年末资产6299.38万元 。</w:t>
      </w:r>
    </w:p>
    <w:p>
      <w:pPr>
        <w:adjustRightInd w:val="0"/>
        <w:spacing w:line="560" w:lineRule="exact"/>
        <w:rPr>
          <w:rFonts w:ascii="仿宋" w:hAnsi="仿宋" w:eastAsia="仿宋" w:cs="仿宋"/>
          <w:sz w:val="32"/>
          <w:szCs w:val="32"/>
        </w:rPr>
      </w:pPr>
      <w:r>
        <w:rPr>
          <w:rFonts w:hint="eastAsia" w:ascii="仿宋" w:hAnsi="仿宋" w:eastAsia="仿宋" w:cs="仿宋"/>
          <w:sz w:val="32"/>
          <w:szCs w:val="32"/>
        </w:rPr>
        <w:t xml:space="preserve">   （三）部门履职总体目标。</w:t>
      </w:r>
    </w:p>
    <w:p>
      <w:pPr>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2021年，隆尧县公安局将在市局和县委、政府的坚强领导下，紧紧围绕捍卫政治安全、维护社会安定、保障人民安宁的新时代职责使命，牢牢把握对党忠诚、服务人民、执法公正、纪律严明总要求，坚持把当好首都政治“护城河”作为中心任务、核心业务，坚持稳中求进工作总基调，推动公安各项工作上新台阶。</w:t>
      </w:r>
    </w:p>
    <w:p>
      <w:pPr>
        <w:adjustRightInd w:val="0"/>
        <w:spacing w:line="560" w:lineRule="exact"/>
        <w:rPr>
          <w:rFonts w:ascii="仿宋" w:hAnsi="仿宋" w:eastAsia="仿宋" w:cs="仿宋"/>
          <w:sz w:val="32"/>
          <w:szCs w:val="32"/>
        </w:rPr>
      </w:pPr>
      <w:r>
        <w:rPr>
          <w:rFonts w:hint="eastAsia" w:ascii="仿宋" w:hAnsi="仿宋" w:eastAsia="仿宋" w:cs="仿宋"/>
          <w:sz w:val="32"/>
          <w:szCs w:val="32"/>
        </w:rPr>
        <w:t xml:space="preserve">   （四）年度整体绩效目标和工作任务。</w:t>
      </w:r>
    </w:p>
    <w:p>
      <w:pPr>
        <w:adjustRightInd w:val="0"/>
        <w:spacing w:line="560" w:lineRule="exact"/>
        <w:ind w:firstLine="640" w:firstLineChars="200"/>
        <w:rPr>
          <w:rFonts w:ascii="仿宋" w:hAnsi="仿宋" w:eastAsia="仿宋" w:cs="仿宋"/>
          <w:sz w:val="32"/>
          <w:szCs w:val="32"/>
        </w:rPr>
      </w:pPr>
      <w:r>
        <w:rPr>
          <w:rFonts w:hint="eastAsia" w:ascii="仿宋" w:hAnsi="仿宋" w:eastAsia="仿宋" w:cs="仿宋"/>
          <w:bCs/>
          <w:sz w:val="32"/>
          <w:szCs w:val="32"/>
        </w:rPr>
        <w:t>1、维护国家安全和政治稳定。</w:t>
      </w:r>
    </w:p>
    <w:p>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2、降低案件发案率，提高案件侦破率。</w:t>
      </w:r>
    </w:p>
    <w:p>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3、维护社会稳定，提高群众安全感和满意度。</w:t>
      </w:r>
    </w:p>
    <w:p>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4、全县公安监所管理和安全防范水平不断提升；全县监所按照相关标准做好硬件设施建设、被监管人员生活、卫生、医疗保障工作；做好监所信息化建设；不断提高监所卫生医疗水平；积极开展深挖犯罪工作，破获各类案件。</w:t>
      </w:r>
    </w:p>
    <w:p>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5、提高科学技术水平，为公安机关开展业务工作提供技术支持。</w:t>
      </w:r>
    </w:p>
    <w:p>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6、确保公安各项业务顺利开展，维护社会稳定能力增强。</w:t>
      </w:r>
    </w:p>
    <w:p>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7、预防减少不稳定因素的发生，有效化解不稳定隐患、群体性事件和突发事件，维护国家安全工作。</w:t>
      </w:r>
    </w:p>
    <w:p>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8、社会治安突出问题得以解决，社会矛盾纠纷得以排查和调处，社会治安形势得以好转。</w:t>
      </w:r>
    </w:p>
    <w:p>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9、实现全县经济社会发展安全安定、人民生活和谐有序。</w:t>
      </w:r>
    </w:p>
    <w:p>
      <w:pPr>
        <w:adjustRightInd w:val="0"/>
        <w:spacing w:line="560" w:lineRule="exact"/>
        <w:rPr>
          <w:rFonts w:ascii="仿宋" w:hAnsi="仿宋" w:eastAsia="仿宋" w:cs="仿宋"/>
          <w:sz w:val="32"/>
          <w:szCs w:val="32"/>
        </w:rPr>
      </w:pPr>
      <w:r>
        <w:rPr>
          <w:rFonts w:hint="eastAsia" w:ascii="仿宋" w:hAnsi="仿宋" w:eastAsia="仿宋" w:cs="仿宋"/>
          <w:sz w:val="32"/>
          <w:szCs w:val="32"/>
        </w:rPr>
        <w:t xml:space="preserve">   （五）预算资金安排及资金支出</w:t>
      </w:r>
      <w:r>
        <w:rPr>
          <w:rFonts w:hint="eastAsia" w:ascii="楷体" w:hAnsi="楷体" w:eastAsia="楷体" w:cs="仿宋"/>
          <w:sz w:val="32"/>
          <w:szCs w:val="32"/>
        </w:rPr>
        <w:t>情况</w:t>
      </w:r>
      <w:r>
        <w:rPr>
          <w:rFonts w:hint="eastAsia" w:ascii="仿宋" w:hAnsi="仿宋" w:eastAsia="仿宋" w:cs="仿宋"/>
          <w:sz w:val="32"/>
          <w:szCs w:val="32"/>
        </w:rPr>
        <w:t>。</w:t>
      </w:r>
    </w:p>
    <w:p>
      <w:pPr>
        <w:adjustRightIn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2021年我部门初预算资金安排</w:t>
      </w:r>
      <w:r>
        <w:rPr>
          <w:rFonts w:ascii="仿宋" w:hAnsi="仿宋" w:eastAsia="仿宋" w:cs="仿宋"/>
          <w:sz w:val="32"/>
          <w:szCs w:val="32"/>
        </w:rPr>
        <w:t>6558.6</w:t>
      </w:r>
      <w:r>
        <w:rPr>
          <w:rFonts w:hint="eastAsia" w:ascii="仿宋" w:hAnsi="仿宋" w:eastAsia="仿宋" w:cs="仿宋"/>
          <w:sz w:val="32"/>
          <w:szCs w:val="32"/>
        </w:rPr>
        <w:t>3万元，实际支出6683.56万元。</w:t>
      </w:r>
    </w:p>
    <w:p>
      <w:pPr>
        <w:pStyle w:val="15"/>
        <w:numPr>
          <w:ilvl w:val="0"/>
          <w:numId w:val="1"/>
        </w:numPr>
        <w:spacing w:line="560" w:lineRule="exact"/>
        <w:ind w:firstLineChars="0"/>
        <w:rPr>
          <w:rFonts w:ascii="黑体" w:hAnsi="黑体" w:eastAsia="黑体" w:cs="仿宋"/>
          <w:sz w:val="32"/>
          <w:szCs w:val="32"/>
        </w:rPr>
      </w:pPr>
      <w:r>
        <w:rPr>
          <w:rFonts w:hint="eastAsia" w:ascii="黑体" w:hAnsi="黑体" w:eastAsia="黑体" w:cs="仿宋"/>
          <w:sz w:val="32"/>
          <w:szCs w:val="32"/>
        </w:rPr>
        <w:t>预算绩效管理开展及整体绩效实现情况。</w:t>
      </w:r>
    </w:p>
    <w:p>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（一）部门开展预算绩效管理情况。</w:t>
      </w:r>
    </w:p>
    <w:p>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1、加强组织领导。成立由主要领导任组长的预算绩效管理工作领导小组，从预算编制、执行、监控、分析、报告、评价等方面全流程予以管理，提高各级领导绩效意识，理顺工作运行机制，形成齐抓共管的良好局面。</w:t>
      </w:r>
    </w:p>
    <w:p>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2、健全完善制度。根据上级全面实施绩效管理的意见，相关规定，结合公安实际制定系列绩效管理制度。在预算方面，制定预算绩效管理办法，规范事前绩效评估、预算绩效目标设定、绩效运行监控等工作规范，明确各警种部门职责，健全运转顺畅、相互协调的工作流程，为全年预算绩效目标的实现奠定制度基础。</w:t>
      </w:r>
    </w:p>
    <w:p>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3、加强绩效运行监控。充分发挥项目绩效管理规定的作用，按照节点对相关警种部门的项目推动和建设各环节进行打分。对支出进度、资金绩效、内控制度执行情况等进行实时监控，发现问题及时采取措施，确保绩效目标如期保质实现。</w:t>
      </w:r>
    </w:p>
    <w:p>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4、做好绩效自评。按财政要求，组织各警种部门对部门预算绩效开展自评，自评率100%。组织公安系统专家和社会专家，对重点资金使用情况进行重点评价，对发现的问题及时整改。将评价结果与下年度预算安排相结合，调整优化支出结构，提高财政资金使用效益。</w:t>
      </w:r>
    </w:p>
    <w:p>
      <w:pPr>
        <w:adjustRightInd w:val="0"/>
        <w:spacing w:line="560" w:lineRule="exact"/>
        <w:ind w:firstLine="480" w:firstLineChars="150"/>
        <w:rPr>
          <w:rFonts w:ascii="仿宋" w:hAnsi="仿宋" w:eastAsia="仿宋" w:cs="仿宋"/>
          <w:sz w:val="32"/>
          <w:szCs w:val="32"/>
        </w:rPr>
      </w:pPr>
      <w:r>
        <w:rPr>
          <w:rFonts w:hint="eastAsia" w:ascii="仿宋" w:hAnsi="仿宋" w:eastAsia="仿宋" w:cs="仿宋"/>
          <w:sz w:val="32"/>
          <w:szCs w:val="32"/>
        </w:rPr>
        <w:t>（二）工作履行活动完成情况和实施履职活动产生的效果或服务对象满意程度。</w:t>
      </w:r>
    </w:p>
    <w:p>
      <w:pPr>
        <w:adjustRightIn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2021以来，隆尧县公安局在市局和县委、县政府的坚强领导下，按照各级政法和公安工作会议和年初工作部署，紧紧围绕建党100周年创造安全稳定政治社会环境这条主线，牢牢把握对党忠诚、服务人民、执法公正、纪律严明总要求，聚焦“保五争三拼第一”工作目标，扎实开展“燕赵-砺剑铸盾”专项行动和“奋战一百天全警争一流”活动，全力提升维护稳定、打击犯罪、防控防范、基础支撑、护航发展、规范执法、队伍管理等能力，不断推进公安工作高质量赶超发展，为建设“经济强县、平安隆尧”贡献力量，圆满完成年度重点工作任务在2021年群众满意度测评中名列前</w:t>
      </w:r>
      <w:r>
        <w:rPr>
          <w:rFonts w:hint="eastAsia" w:ascii="仿宋" w:hAnsi="仿宋" w:eastAsia="仿宋" w:cs="仿宋"/>
          <w:sz w:val="32"/>
          <w:szCs w:val="32"/>
          <w:lang w:eastAsia="zh-CN"/>
        </w:rPr>
        <w:t>茅</w:t>
      </w:r>
      <w:r>
        <w:rPr>
          <w:rFonts w:hint="eastAsia" w:ascii="仿宋" w:hAnsi="仿宋" w:eastAsia="仿宋" w:cs="仿宋"/>
          <w:sz w:val="32"/>
          <w:szCs w:val="32"/>
        </w:rPr>
        <w:t>。</w:t>
      </w:r>
    </w:p>
    <w:p>
      <w:pPr>
        <w:adjustRightIn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一是强化社会管控，保持严打高压。扎实开展“燕赵-砺剑铸盾”专项行动，严打各类违法犯罪行为。今年以来共受理各类治安案件1458起，查处733起，查处违法人员法制639人。立刑事案件861起、破获245起，抓获各类犯罪嫌疑人421人。抓获各类网上逃犯73人，其中外地上网逃犯17人、历年网逃8人。严打突出违法犯罪。成功破获“3.10”张某故意杀人案、“3.25”李某故意杀人案两起现行命案，实现了命案现案破案率100%的目标。通过DNA数据采集比对，成功比中两名被拐儿童，有效推动了打拐工作开展。在打击涉枪工作中，成功破获“6.10”非法制造枪支案等一批刑事案件，抓获各类嫌疑人10人。在市局组织的“公安部9.29”四川、广西集中收缴枪支行动中，核查线索13条，形成战果8条，查获改装制造火药枪8支、气枪1支；成功破获薛某非法制造改装火药枪案，抓获犯罪嫌疑人2人，收缴改装枪支2把。扫黑除恶常态化斗争方面，2020年11月，吴某涉黑案二审生效后，“5.31”专案组的大部分工作已经结束，但该案还有重要逃犯在逃，采取强制措施的18名犯罪嫌疑人需要依法起诉，大约有价值4亿元的涉黑财产，需要依法向邢台市中级人民法院提起没收程序等工作，主要包括：吴某涉黑组织冻结的公司股权9项；贵州的两宗矿用土地；石家庄两处开发用地；查封海南、山东等地的22套房产；查封的智高地产的10辆汽车，冻结吴某实际控制公司涉案金额6800余万元，扣押的现金6900万元。“5.31”专案组将守正笃实，打好收官战。在打击多发性侵财犯罪方面，共破获电信诈骗案件85起，抓获电信诈骗案件嫌疑人143人，惩戒涉案两卡人员139人。共制止电诈案件50余起，共紧急止付冻结涉案账号170余个，止付冻结涉案资金2200余万元。在打击涉污违法犯罪方面，共办理污染环境类行政案件42起，行政拘留41人。办理刑事案件1起，移送起诉1人。查处非法采砂采矿案件3起，抓获犯罪嫌疑人11名，其中刑事拘留10人，逮捕1人，取保9人。研究起草了《隆尧县开展禁止非法生产、运输、销售、储存、燃放烟花爆竹集中攻坚行动实施方案》，共查处烟花爆竹案件54起，行政拘留51人，行政处罚3人。在打击金融犯罪方面，共核查反馈云端线索19条线索，其中集群战役8条，数据协同11条。抓获“赵某等人涉嫌非法吸收公众存款案”犯罪嫌疑人孙某，完成非法集资积案清零任务。收缴假币12500余元。立案侦查9起，破案7起，抓获网上逃犯3人，刑事拘留6人，取保候审6人，移送起诉15人。目前，正在侦办“颜某、王某等人涉嫌合同诈骗案”，该案涉案金额1.2亿元，涉及北京、上海、浙江、广东、重庆等12个省市地区，我局成立了专案组，由原分管经侦的局领导担任组长，抽调法制大队长提前介入，参与办案指导。在治安管理防范方面，查处黄赌案件13起，其中，刑事案件1起，行政案件12起，刑事拘留2人，行政拘留51人，行政罚款41人；破获涉森林系统案件7起，抓获犯罪嫌疑人8人；全县55家旅馆全部完成旅馆业人像识别系统的安装使用工作。落实查证涉枪线索4条，办理涉枪案件1起，刑事拘留1人，取保1人、移送起诉2人。大力推进智慧安防小区建设，完成智慧安防小区62处，完成率100%。在禁毒方面，查处40起非法种植案件，铲除罂粟**株，种植率较去年下降23%。今年9月份，经市局指定管辖，破获一起在邢台市区内发生的贩毒案件，抓获贩毒人员1名。查处我市首例吸食新型毒品“大麻电子烟”涉毒人员1人。查处2起易制毒化学品案件，对2家企业进行了处罚。对辖区涉毒人员，依法采取强制隔离戒毒1人，社区戒毒1人。强化禁毒宣传，建成了一处大型禁毒教育长廊，获得市禁毒委的好评。交通管理方面。深入开展道路交通秩序整治行动，今年以来共查处各类交通违法行为56710起，其中酒后驾驶328起，醉酒驾驶16起，行政拘留18人，刑事拘留21人。事故中队相继建立了“远程定责、快速理赔”机制和“四位一体、道路交通法庭”机制，通过音视频通话取证和在中队大厅设置窗口，协调签约律师事务所、司法局、人民法院派专人入驻，负责案件调解工作，进一步提升了一般事故、复杂异议事故快速处理能力。今年以来共办理交通案件1290起，死亡23人，受伤680人，直接损失38万余元。网络安全方面。通过市局向省厅、公安部发送情报专案2起，发起集群战役2起，其中一起被公安部评为五星情报。侦破3起通讯行业“内鬼”侵犯公民个人信息案，抓获通犯罪嫌疑人3名，扣押“接码”手机3部，获取外地涉案线索48条，覆盖12个省市，成功捣毁了一条“网络黑灰产业链”；侦破1起非法获取、家庭摄像头控制权限偷看、偷拍新型网络犯罪案件，抓获犯罪嫌疑人1名，查扣手机1部，查获家庭网络摄像头控制权限ID编码39个。市局发贺电表示祝贺，市县领导对合成作战中心在打击工作中取得的成绩给予了高度肯定。强化出入境管理，继续落实上级内部要求，非必要紧急事由不建议办理，截至目前共受理护照15人，港澳证22人次。扎实开展“三非”外国人治理工作，组织开展“三非”集中宣传8次，查获非法入境人员4名、非法居留人员2名。经民警摸排走访，查获一非法入境越南籍男子，目前在拘留所进行拘留审查，待查实身份后遣送出境。推进监所“铁桶工程”建设，严守场所封闭管理、人员核酸检测、收押过渡隔离“三条底线”，认真落实各项防控措施，确保监所安全。今年以来看守所收押各类违法犯罪人员226名，处理出所各类人员248名，现有在押人员125名。治安拘留所共办理执行拘留463人，现有在押人员1人（拘留审查越南人）。</w:t>
      </w:r>
    </w:p>
    <w:p>
      <w:pPr>
        <w:adjustRightIn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二是强化责任担当，全力防控疫情。为全面做好全县疫情防控工作，成立隆尧县公安局疫情防控工作领导小组，协同作战。在县界、城界设置封控检查点11个，开展车辆检查、人员劝返工作。对城区42个小区、13个城中村和28个管控点位，开展对车辆、人员疏导劝返，维护现场秩序，实现了城区人员、车辆静止状态；强化大数据接受、推送工作，研发制作了“万人归属地一键查询”小程序，加快了疫情数据核查速度和准确性，在全市得到推广应用。抽调30名警力参加县疫情指挥部流调工作，确保精准摸清人员行程轨迹。对全县13个方舱、宾馆隔离点组织警力开展24小时执勤；严厉打击涉疫违法犯罪，共查处涉及疫情行政案件31起，行政拘留7人、行政警告5人；1月13日凌晨，按照市局要求，抽调31名警力，组成了援南抗疫突击队，连续战斗29天，开展对南宫市涉疫重点村庄全员转移、外围区域风控、重点路段管控、主城区机动巡查等任务。牵头承办全县自动测温人脸识别系统，由专人负责管理维护，通过每日通报在线率，确保设备在线率和使用率，切实发挥哨点检测作用，建成速度全市第二，在线率保持先进。</w:t>
      </w:r>
    </w:p>
    <w:p>
      <w:pPr>
        <w:adjustRightIn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三是强化人员管控，维护社会稳定。涉密。</w:t>
      </w:r>
    </w:p>
    <w:p>
      <w:pPr>
        <w:adjustRightIn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四是强化护航发展，优化营商环境。统筹兼顾抓好疫情防控工作和经济发展建设，今年以来，组织局领导班子成员和各派出所对全县100家规模以上企业开展走访企业活动，听取企业保障需求，落实服务保障措施，切实发挥好保驾护航作用。各涉企警种开通办事预约电话，最大限度地为疫情防控期间复工企业办理各项审批业务提供便利。由政府副县长、公安局长王爱国同志亲自协调，联合检、法、司的驻今麦郎法律服务工作室启动，为企业提供法律咨询保驾护航。成功处置碧桂园集团开发“樾江山”项目在施工过程中无故遭到当地村民阻拦事件，刑事拘留3人、行政拘留1人。在全县“城建工作百日会战”中，成功处置李某等人私藏危爆物品和管制刀具案件，抓获违法嫌疑人11人，查获散装汽油100余升，管制刀具14把。严打拖欠农民工工资违法犯罪，查处北京某公司承建隆尧县丰硕院棚户区改造项目、河北某物业公司和牛桥乡煤改气工程3起拒不支付劳动报酬案，刑事拘留3人，帮助110名农民工追回拖欠工资134万余元。</w:t>
      </w:r>
    </w:p>
    <w:p>
      <w:pPr>
        <w:adjustRightIn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五是强化案审监督，提升执法质量。2021年共受理警情2666起；行政案件1257起，行政处罚510人（其中行政拘留424人）；刑事案件787起，刑事拘留240人，取保候审236人，监视居住31人，逮捕134人，移送审查起诉422人。积极落实复议诉讼公安机关负责人出庭制度，法制大队组织全体人员旁听。强化执法培训，邀请检察院副检察长、刑事二庭主任，法院副院长、未成年审判庭厅长、刑庭副厅长对我局法制员进行授课；邀请司法局对新实施的《中华人民共和国行政处罚法》进行培训。我局作为“河北省政法大数据办案平台证据标准指引系统”试点县，立案1866起，刑事拘留337人，取保候审216人，监视居住25人，提请逮捕239起，移送起诉356起。及时同检法就刑事案件侦查起诉过程中发现的问题共同商讨，掌握统一尺度，确保刑事案件不捕率、退差率下降。重大复杂的刑事案件法制法制组织检察院提前介入。强化执法办案中心建设，我局目前是邢台地区唯一一个独门独院管理的执法办案管理中心，4月15日，省厅法制总队领导予了充分的肯定。</w:t>
      </w:r>
    </w:p>
    <w:p>
      <w:pPr>
        <w:adjustRightIn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六是强化队伍管理，打造公安铁军。扎实开展政法队伍教育整顿活动，按照中央、省市县部署要求，圆满完成了各阶段规定动作要求，受到各级督导、指导检查组的肯定。深化从优待警工作，11月3日，组织全体民辅警及离退休老干部分批次在隆尧县医院开展体检活动。完善退休民辅警离职欢送制度，对离职民辅警为公安工作</w:t>
      </w:r>
      <w:r>
        <w:rPr>
          <w:rFonts w:ascii="仿宋" w:hAnsi="仿宋" w:eastAsia="文泉驿微米黑" w:cs="仿宋"/>
          <w:sz w:val="32"/>
          <w:szCs w:val="32"/>
        </w:rPr>
        <w:t>作</w:t>
      </w:r>
      <w:r>
        <w:rPr>
          <w:rFonts w:hint="eastAsia" w:ascii="仿宋" w:hAnsi="仿宋" w:eastAsia="仿宋" w:cs="仿宋"/>
          <w:sz w:val="32"/>
          <w:szCs w:val="32"/>
        </w:rPr>
        <w:t>出的贡献给予评价和肯定。为进一步发扬公安优良传统，打造多元化的公安队伍育警模式，帮助青年民警更快更好成长，11月30日,举行首届“传帮带”结对仪式。来自各警种部门的业务骨干，与青年民警结成27对“传帮带”新老组合,促进新警迅速成长。开展辅警招录计划，县委、县政府已作出公安招录200人、交警招录70人批示，招录工作正在进行中。文化育警，激发队伍新活力。评选出为“亮剑之星”“扫黑勇士”“最美女警”“最美警嫂”，于8月26日举行“最美人物”颁奖仪式。扎实开展“</w:t>
      </w:r>
      <w:bookmarkStart w:id="0" w:name="_GoBack"/>
      <w:bookmarkEnd w:id="0"/>
      <w:r>
        <w:rPr>
          <w:rFonts w:hint="eastAsia" w:ascii="仿宋" w:hAnsi="仿宋" w:eastAsia="仿宋" w:cs="仿宋"/>
          <w:sz w:val="32"/>
          <w:szCs w:val="32"/>
        </w:rPr>
        <w:t>我为群众办实事”</w:t>
      </w:r>
      <w:r>
        <w:rPr>
          <w:rFonts w:hint="eastAsia" w:ascii="仿宋" w:hAnsi="仿宋" w:eastAsia="仿宋" w:cs="仿宋"/>
          <w:sz w:val="32"/>
          <w:szCs w:val="32"/>
          <w:lang w:eastAsia="zh-CN"/>
        </w:rPr>
        <w:t>实践</w:t>
      </w:r>
      <w:r>
        <w:rPr>
          <w:rFonts w:hint="eastAsia" w:ascii="仿宋" w:hAnsi="仿宋" w:eastAsia="仿宋" w:cs="仿宋"/>
          <w:sz w:val="32"/>
          <w:szCs w:val="32"/>
        </w:rPr>
        <w:t>活动，举办我做的群众最满意的一件事报告会，来自不同岗位的10名民辅警讲述了自己履职担当、用心解决人民群众的烦心事的故事，展现了现时代公安民警倾心为民的情怀和担当。我局共出台便民利企措施19项，办实事解难题180件，收到锦旗14面。圆满完成全省特警“红蓝对抗”拉动演练关键环节的参演任务，配合市局完成各项任务，特巡警在全市考核中名列北部警务协作区第一名，全市第二名。共办理民警维权案件4起，刑事拘留7人，行政拘留2人。强化公安宣传，先后在国家级报刊媒体刊发稿件9篇，省、市级媒体刊发稿件22篇。</w:t>
      </w:r>
    </w:p>
    <w:p>
      <w:pPr>
        <w:pStyle w:val="15"/>
        <w:numPr>
          <w:ilvl w:val="0"/>
          <w:numId w:val="1"/>
        </w:numPr>
        <w:spacing w:line="560" w:lineRule="exact"/>
        <w:ind w:firstLineChars="0"/>
        <w:rPr>
          <w:rFonts w:ascii="黑体" w:hAnsi="黑体" w:eastAsia="黑体" w:cs="仿宋"/>
          <w:sz w:val="32"/>
          <w:szCs w:val="32"/>
        </w:rPr>
      </w:pPr>
      <w:r>
        <w:rPr>
          <w:rFonts w:hint="eastAsia" w:ascii="黑体" w:hAnsi="黑体" w:eastAsia="黑体" w:cs="仿宋"/>
          <w:sz w:val="32"/>
          <w:szCs w:val="32"/>
        </w:rPr>
        <w:t>绩效评价的组织实施情况</w:t>
      </w:r>
    </w:p>
    <w:p>
      <w:pPr>
        <w:pStyle w:val="15"/>
        <w:numPr>
          <w:ilvl w:val="0"/>
          <w:numId w:val="2"/>
        </w:numPr>
        <w:adjustRightInd w:val="0"/>
        <w:spacing w:line="560" w:lineRule="exact"/>
        <w:ind w:firstLineChars="0"/>
        <w:rPr>
          <w:rFonts w:ascii="仿宋" w:hAnsi="仿宋" w:eastAsia="仿宋" w:cs="仿宋"/>
          <w:sz w:val="32"/>
          <w:szCs w:val="32"/>
        </w:rPr>
      </w:pPr>
      <w:r>
        <w:rPr>
          <w:rFonts w:hint="eastAsia" w:ascii="仿宋" w:hAnsi="仿宋" w:eastAsia="仿宋" w:cs="仿宋"/>
          <w:sz w:val="32"/>
          <w:szCs w:val="32"/>
        </w:rPr>
        <w:t>评价对象绩效目标。</w:t>
      </w:r>
    </w:p>
    <w:p>
      <w:pPr>
        <w:adjustRightIn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2021年，隆尧县公安局将在市公安局和县委、政府的坚强领导下，紧紧围绕捍卫政治安全、维护社会安定、保障人民安宁的新时代职责使命，牢牢把握对党忠诚、服务人民、执法公正、纪律严明总要求，坚持把当好首都政治“护城河”作为中心任务、核心业务，坚持稳中求进工作总基调，推动公安各项工作上新台阶。</w:t>
      </w:r>
    </w:p>
    <w:p>
      <w:pPr>
        <w:pStyle w:val="15"/>
        <w:numPr>
          <w:ilvl w:val="0"/>
          <w:numId w:val="2"/>
        </w:numPr>
        <w:adjustRightInd w:val="0"/>
        <w:spacing w:line="560" w:lineRule="exact"/>
        <w:ind w:firstLineChars="0"/>
        <w:rPr>
          <w:rFonts w:ascii="仿宋" w:hAnsi="仿宋" w:eastAsia="仿宋" w:cs="仿宋"/>
          <w:sz w:val="32"/>
          <w:szCs w:val="32"/>
        </w:rPr>
      </w:pPr>
      <w:r>
        <w:rPr>
          <w:rFonts w:hint="eastAsia" w:ascii="仿宋" w:hAnsi="仿宋" w:eastAsia="仿宋" w:cs="仿宋"/>
          <w:sz w:val="32"/>
          <w:szCs w:val="32"/>
        </w:rPr>
        <w:t>绩效指标。</w:t>
      </w:r>
    </w:p>
    <w:p>
      <w:pPr>
        <w:adjustRightInd w:val="0"/>
        <w:spacing w:line="560" w:lineRule="exact"/>
        <w:ind w:firstLine="640" w:firstLineChars="200"/>
        <w:rPr>
          <w:rFonts w:ascii="仿宋" w:hAnsi="仿宋" w:eastAsia="仿宋" w:cs="仿宋"/>
          <w:sz w:val="32"/>
          <w:szCs w:val="32"/>
        </w:rPr>
      </w:pPr>
      <w:r>
        <w:rPr>
          <w:rFonts w:hint="eastAsia" w:ascii="仿宋" w:hAnsi="仿宋" w:eastAsia="仿宋"/>
          <w:sz w:val="32"/>
          <w:szCs w:val="32"/>
        </w:rPr>
        <w:t>根据项目性质结合部门工作实际设定</w:t>
      </w:r>
      <w:r>
        <w:rPr>
          <w:rFonts w:hint="eastAsia" w:ascii="仿宋" w:hAnsi="仿宋" w:eastAsia="仿宋" w:cs="仿宋_GB2312"/>
          <w:color w:val="000000"/>
          <w:kern w:val="0"/>
          <w:sz w:val="32"/>
          <w:szCs w:val="32"/>
        </w:rPr>
        <w:t>认真完善反映行业特点和项目特征的个性绩效指标，提高绩效目标与指标的相关性，从</w:t>
      </w:r>
      <w:r>
        <w:rPr>
          <w:rFonts w:hint="eastAsia" w:ascii="仿宋" w:hAnsi="仿宋" w:eastAsia="仿宋"/>
          <w:sz w:val="32"/>
          <w:szCs w:val="32"/>
        </w:rPr>
        <w:t>数量指标、质量指标、时效指标、社会效益指标多维度对项目进行绩效考核。</w:t>
      </w:r>
    </w:p>
    <w:p>
      <w:pPr>
        <w:pStyle w:val="15"/>
        <w:numPr>
          <w:ilvl w:val="0"/>
          <w:numId w:val="2"/>
        </w:numPr>
        <w:adjustRightInd w:val="0"/>
        <w:spacing w:line="560" w:lineRule="exact"/>
        <w:ind w:firstLineChars="0"/>
        <w:rPr>
          <w:rFonts w:ascii="仿宋" w:hAnsi="仿宋" w:eastAsia="仿宋" w:cs="仿宋"/>
          <w:sz w:val="32"/>
          <w:szCs w:val="32"/>
        </w:rPr>
      </w:pPr>
      <w:r>
        <w:rPr>
          <w:rFonts w:hint="eastAsia" w:ascii="仿宋" w:hAnsi="仿宋" w:eastAsia="仿宋" w:cs="仿宋"/>
          <w:sz w:val="32"/>
          <w:szCs w:val="32"/>
        </w:rPr>
        <w:t>评价标准和评价方法。</w:t>
      </w:r>
    </w:p>
    <w:p>
      <w:pPr>
        <w:widowControl/>
        <w:spacing w:line="560" w:lineRule="exact"/>
        <w:ind w:firstLine="640" w:firstLineChars="200"/>
        <w:jc w:val="left"/>
        <w:rPr>
          <w:rFonts w:ascii="仿宋" w:hAnsi="仿宋" w:eastAsia="仿宋" w:cs="仿宋_GB2312"/>
          <w:color w:val="000000"/>
          <w:sz w:val="32"/>
          <w:szCs w:val="32"/>
        </w:rPr>
      </w:pPr>
      <w:r>
        <w:rPr>
          <w:rFonts w:hint="eastAsia" w:ascii="仿宋" w:hAnsi="仿宋" w:eastAsia="仿宋" w:cs="楷体_GB2312"/>
          <w:color w:val="000000"/>
          <w:sz w:val="32"/>
          <w:szCs w:val="32"/>
        </w:rPr>
        <w:t>依据设定预算时设定的绩效指标制定</w:t>
      </w:r>
      <w:r>
        <w:rPr>
          <w:rFonts w:hint="eastAsia" w:ascii="仿宋" w:hAnsi="仿宋" w:eastAsia="仿宋" w:cs="仿宋_GB2312"/>
          <w:color w:val="000000"/>
          <w:sz w:val="32"/>
          <w:szCs w:val="32"/>
        </w:rPr>
        <w:t>部门整体支出绩效自评工作方案。在广泛收集评价资料基础上，综合运用</w:t>
      </w:r>
      <w:r>
        <w:rPr>
          <w:rFonts w:hint="eastAsia" w:ascii="仿宋" w:hAnsi="仿宋" w:eastAsia="仿宋" w:cs="仿宋_GB2312"/>
          <w:color w:val="000000"/>
          <w:kern w:val="0"/>
          <w:sz w:val="32"/>
          <w:szCs w:val="32"/>
          <w:lang w:val="zh-CN"/>
        </w:rPr>
        <w:t>成本效益法、比较法、因素分析法、综合指数法、公众评判法等多种方法进行评价。</w:t>
      </w:r>
    </w:p>
    <w:p>
      <w:pPr>
        <w:pStyle w:val="15"/>
        <w:numPr>
          <w:ilvl w:val="0"/>
          <w:numId w:val="1"/>
        </w:numPr>
        <w:spacing w:line="560" w:lineRule="exact"/>
        <w:ind w:firstLineChars="0"/>
        <w:rPr>
          <w:rFonts w:ascii="黑体" w:hAnsi="黑体" w:eastAsia="黑体" w:cs="仿宋"/>
          <w:sz w:val="32"/>
          <w:szCs w:val="32"/>
        </w:rPr>
      </w:pPr>
      <w:r>
        <w:rPr>
          <w:rFonts w:hint="eastAsia" w:ascii="黑体" w:hAnsi="黑体" w:eastAsia="黑体" w:cs="仿宋"/>
          <w:sz w:val="32"/>
          <w:szCs w:val="32"/>
        </w:rPr>
        <w:t>各项绩效目标的实现程度及差异性原因分析。</w:t>
      </w:r>
    </w:p>
    <w:p>
      <w:pPr>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年初各项目绩效目标基本实现，综合自评结果为良好。</w:t>
      </w:r>
    </w:p>
    <w:p>
      <w:pPr>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本年收支预、决算差异原因分析：信息化建设较预算支出增加主要原因为智慧平安社区软件建设项目，执法办案较预算支出增加主要原因为扫黑除恶办案专项经费项目，其他强制隔离戒毒支出增加原因为禁毒教育长廊建设项目，其他国有土地使用权出让收入安排的支出原因为政府性基金预算财政拨款收入不足以支付</w:t>
      </w:r>
      <w:r>
        <w:rPr>
          <w:rFonts w:ascii="仿宋" w:hAnsi="仿宋" w:eastAsia="仿宋" w:cs="仿宋"/>
          <w:sz w:val="32"/>
          <w:szCs w:val="32"/>
        </w:rPr>
        <w:t xml:space="preserve"> </w:t>
      </w:r>
      <w:r>
        <w:rPr>
          <w:rFonts w:hint="eastAsia" w:ascii="仿宋" w:hAnsi="仿宋" w:eastAsia="仿宋" w:cs="仿宋"/>
          <w:sz w:val="32"/>
          <w:szCs w:val="32"/>
        </w:rPr>
        <w:t>“天网覆盖”四级网建设项目；抚恤金支出为公安局去世人员抚恤支出。</w:t>
      </w:r>
    </w:p>
    <w:p>
      <w:pPr>
        <w:pStyle w:val="15"/>
        <w:numPr>
          <w:ilvl w:val="0"/>
          <w:numId w:val="1"/>
        </w:numPr>
        <w:spacing w:line="560" w:lineRule="exact"/>
        <w:ind w:firstLineChars="0"/>
        <w:rPr>
          <w:rFonts w:ascii="黑体" w:hAnsi="黑体" w:eastAsia="黑体" w:cs="仿宋"/>
          <w:sz w:val="32"/>
          <w:szCs w:val="32"/>
        </w:rPr>
      </w:pPr>
      <w:r>
        <w:rPr>
          <w:rFonts w:hint="eastAsia" w:ascii="黑体" w:hAnsi="黑体" w:eastAsia="黑体" w:cs="仿宋"/>
          <w:sz w:val="32"/>
          <w:szCs w:val="32"/>
        </w:rPr>
        <w:t>存在问题</w:t>
      </w:r>
    </w:p>
    <w:p>
      <w:pPr>
        <w:spacing w:line="560" w:lineRule="exact"/>
        <w:ind w:firstLine="640" w:firstLineChars="200"/>
        <w:rPr>
          <w:rFonts w:ascii="黑体" w:hAnsi="黑体" w:eastAsia="黑体" w:cs="仿宋"/>
          <w:sz w:val="32"/>
          <w:szCs w:val="32"/>
        </w:rPr>
      </w:pPr>
      <w:r>
        <w:rPr>
          <w:rFonts w:hint="eastAsia" w:ascii="仿宋" w:hAnsi="仿宋" w:eastAsia="仿宋" w:cs="仿宋"/>
          <w:sz w:val="32"/>
          <w:szCs w:val="32"/>
        </w:rPr>
        <w:t>绩效目标基本未发生偏离，但</w:t>
      </w:r>
      <w:r>
        <w:rPr>
          <w:rFonts w:hint="eastAsia" w:ascii="仿宋" w:hAnsi="仿宋" w:eastAsia="仿宋" w:cs="宋体"/>
          <w:color w:val="000000"/>
          <w:kern w:val="0"/>
          <w:sz w:val="32"/>
          <w:szCs w:val="32"/>
        </w:rPr>
        <w:t>绩效考评指标的设计上，部分指标设置不科学、部分指标缺乏数据支持和可行的分析测评，绩效指标体系有待完善</w:t>
      </w:r>
    </w:p>
    <w:p>
      <w:pPr>
        <w:pStyle w:val="15"/>
        <w:numPr>
          <w:ilvl w:val="0"/>
          <w:numId w:val="1"/>
        </w:numPr>
        <w:spacing w:line="560" w:lineRule="exact"/>
        <w:ind w:firstLineChars="0"/>
        <w:rPr>
          <w:rFonts w:ascii="黑体" w:hAnsi="黑体" w:eastAsia="黑体" w:cs="仿宋"/>
          <w:sz w:val="32"/>
          <w:szCs w:val="32"/>
        </w:rPr>
      </w:pPr>
      <w:r>
        <w:rPr>
          <w:rFonts w:hint="eastAsia" w:ascii="黑体" w:hAnsi="黑体" w:eastAsia="黑体" w:cs="仿宋"/>
          <w:sz w:val="32"/>
          <w:szCs w:val="32"/>
        </w:rPr>
        <w:t>采取的纠偏措施及改进绩效管理建议。</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项目执行中积极开展绩效信息收集利用加强绩效管理规范，对支出进度、资金绩效、内控制度执行情况等进行实时监控，发现问题及时采取措施，确保绩效目标如期保质实现。今后我部门将加强</w:t>
      </w:r>
      <w:r>
        <w:rPr>
          <w:rFonts w:hint="eastAsia" w:ascii="仿宋" w:hAnsi="仿宋" w:eastAsia="仿宋" w:cs="仿宋"/>
          <w:sz w:val="32"/>
          <w:szCs w:val="32"/>
        </w:rPr>
        <w:t>对绩效自评结果的运用，督促资金使用做好绩效自评发现的问题，认真进行整改，</w:t>
      </w:r>
      <w:r>
        <w:rPr>
          <w:rFonts w:hint="eastAsia" w:ascii="仿宋" w:hAnsi="仿宋" w:eastAsia="仿宋"/>
          <w:sz w:val="32"/>
          <w:szCs w:val="32"/>
        </w:rPr>
        <w:t>进一步深化、完善绩效管理体系，建立全程预算绩效管理机制，促进绩效管理工作向广度和深度延伸。</w:t>
      </w:r>
    </w:p>
    <w:p>
      <w:pPr>
        <w:pStyle w:val="15"/>
        <w:spacing w:line="560" w:lineRule="exact"/>
        <w:ind w:left="1429" w:firstLine="0" w:firstLineChars="0"/>
        <w:rPr>
          <w:rFonts w:ascii="黑体" w:hAnsi="黑体" w:eastAsia="黑体" w:cs="仿宋"/>
          <w:sz w:val="32"/>
          <w:szCs w:val="32"/>
        </w:rPr>
      </w:pPr>
    </w:p>
    <w:sectPr>
      <w:footerReference r:id="rId3" w:type="default"/>
      <w:footerReference r:id="rId4" w:type="even"/>
      <w:pgSz w:w="11906" w:h="16838"/>
      <w:pgMar w:top="1701" w:right="1418" w:bottom="1701" w:left="1418" w:header="851" w:footer="1701" w:gutter="0"/>
      <w:cols w:space="425" w:num="1"/>
      <w:docGrid w:type="lines" w:linePitch="313"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Lucida Sans">
    <w:altName w:val="Lucida Sans Unicode"/>
    <w:panose1 w:val="020B0602030504020204"/>
    <w:charset w:val="00"/>
    <w:family w:val="auto"/>
    <w:pitch w:val="default"/>
    <w:sig w:usb0="00000000" w:usb1="00000000" w:usb2="00000000" w:usb3="00000000" w:csb0="20000001" w:csb1="00000000"/>
  </w:font>
  <w:font w:name="Cambria">
    <w:panose1 w:val="02040503050406030204"/>
    <w:charset w:val="00"/>
    <w:family w:val="roman"/>
    <w:pitch w:val="default"/>
    <w:sig w:usb0="E00002FF" w:usb1="400004FF" w:usb2="00000000" w:usb3="00000000" w:csb0="2000019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新宋体">
    <w:panose1 w:val="02010609030101010101"/>
    <w:charset w:val="86"/>
    <w:family w:val="auto"/>
    <w:pitch w:val="default"/>
    <w:sig w:usb0="00000003" w:usb1="288F0000" w:usb2="00000006" w:usb3="00000000" w:csb0="00040001" w:csb1="00000000"/>
  </w:font>
  <w:font w:name="楷体">
    <w:panose1 w:val="02010609060101010101"/>
    <w:charset w:val="86"/>
    <w:family w:val="modern"/>
    <w:pitch w:val="default"/>
    <w:sig w:usb0="800002BF" w:usb1="38CF7CFA" w:usb2="00000016" w:usb3="00000000" w:csb0="00040001" w:csb1="00000000"/>
  </w:font>
  <w:font w:name="文泉驿微米黑">
    <w:altName w:val="黑体"/>
    <w:panose1 w:val="020B0606030804020204"/>
    <w:charset w:val="86"/>
    <w:family w:val="auto"/>
    <w:pitch w:val="default"/>
    <w:sig w:usb0="00000000" w:usb1="00000000" w:usb2="00800036" w:usb3="00000000" w:csb0="603E019F" w:csb1="DFD7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framePr w:w="0" w:wrap="around" w:vAnchor="text" w:hAnchor="margin" w:xAlign="outside" w:y="1"/>
      <w:rPr>
        <w:rStyle w:val="13"/>
        <w:rFonts w:ascii="宋体" w:hAnsi="宋体" w:eastAsia="宋体"/>
        <w:sz w:val="28"/>
        <w:szCs w:val="28"/>
      </w:rPr>
    </w:pPr>
    <w:r>
      <w:rPr>
        <w:rStyle w:val="13"/>
        <w:rFonts w:hint="eastAsia" w:ascii="宋体" w:hAnsi="宋体" w:eastAsia="宋体"/>
        <w:sz w:val="28"/>
        <w:szCs w:val="28"/>
      </w:rPr>
      <w:t>-</w:t>
    </w:r>
    <w:r>
      <w:rPr>
        <w:rStyle w:val="13"/>
        <w:rFonts w:ascii="宋体" w:hAnsi="宋体" w:eastAsia="宋体"/>
        <w:sz w:val="28"/>
        <w:szCs w:val="28"/>
      </w:rPr>
      <w:fldChar w:fldCharType="begin"/>
    </w:r>
    <w:r>
      <w:rPr>
        <w:rStyle w:val="13"/>
        <w:rFonts w:ascii="宋体" w:hAnsi="宋体" w:eastAsia="宋体"/>
        <w:sz w:val="28"/>
        <w:szCs w:val="28"/>
      </w:rPr>
      <w:instrText xml:space="preserve">PAGE  </w:instrText>
    </w:r>
    <w:r>
      <w:rPr>
        <w:rStyle w:val="13"/>
        <w:rFonts w:ascii="宋体" w:hAnsi="宋体" w:eastAsia="宋体"/>
        <w:sz w:val="28"/>
        <w:szCs w:val="28"/>
      </w:rPr>
      <w:fldChar w:fldCharType="separate"/>
    </w:r>
    <w:r>
      <w:rPr>
        <w:rStyle w:val="13"/>
        <w:rFonts w:ascii="宋体" w:hAnsi="宋体" w:eastAsia="宋体"/>
        <w:sz w:val="28"/>
        <w:szCs w:val="28"/>
      </w:rPr>
      <w:t>9</w:t>
    </w:r>
    <w:r>
      <w:rPr>
        <w:rStyle w:val="13"/>
        <w:rFonts w:ascii="宋体" w:hAnsi="宋体" w:eastAsia="宋体"/>
        <w:sz w:val="28"/>
        <w:szCs w:val="28"/>
      </w:rPr>
      <w:fldChar w:fldCharType="end"/>
    </w:r>
    <w:r>
      <w:rPr>
        <w:rStyle w:val="13"/>
        <w:rFonts w:hint="eastAsia" w:ascii="宋体" w:hAnsi="宋体" w:eastAsia="宋体"/>
        <w:sz w:val="28"/>
        <w:szCs w:val="28"/>
      </w:rPr>
      <w:t>-</w:t>
    </w:r>
  </w:p>
  <w:p>
    <w:pPr>
      <w:pStyle w:val="7"/>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framePr w:w="0" w:wrap="around" w:vAnchor="text" w:hAnchor="margin" w:xAlign="outside" w:y="1"/>
      <w:rPr>
        <w:rStyle w:val="13"/>
      </w:rPr>
    </w:pPr>
    <w:r>
      <w:rPr>
        <w:rStyle w:val="13"/>
      </w:rPr>
      <w:fldChar w:fldCharType="begin"/>
    </w:r>
    <w:r>
      <w:rPr>
        <w:rStyle w:val="13"/>
      </w:rPr>
      <w:instrText xml:space="preserve">PAGE  </w:instrText>
    </w:r>
    <w:r>
      <w:rPr>
        <w:rStyle w:val="13"/>
      </w:rPr>
      <w:fldChar w:fldCharType="separate"/>
    </w:r>
    <w:r>
      <w:rPr>
        <w:rStyle w:val="13"/>
      </w:rPr>
      <w:fldChar w:fldCharType="end"/>
    </w:r>
  </w:p>
  <w:p>
    <w:pPr>
      <w:pStyle w:val="7"/>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DE332E9"/>
    <w:multiLevelType w:val="multilevel"/>
    <w:tmpl w:val="4DE332E9"/>
    <w:lvl w:ilvl="0" w:tentative="0">
      <w:start w:val="1"/>
      <w:numFmt w:val="japaneseCounting"/>
      <w:lvlText w:val="%1、"/>
      <w:lvlJc w:val="left"/>
      <w:pPr>
        <w:ind w:left="1429" w:hanging="720"/>
      </w:pPr>
      <w:rPr>
        <w:rFonts w:hint="default"/>
      </w:rPr>
    </w:lvl>
    <w:lvl w:ilvl="1" w:tentative="0">
      <w:start w:val="1"/>
      <w:numFmt w:val="lowerLetter"/>
      <w:lvlText w:val="%2)"/>
      <w:lvlJc w:val="left"/>
      <w:pPr>
        <w:ind w:left="1419" w:hanging="420"/>
      </w:pPr>
    </w:lvl>
    <w:lvl w:ilvl="2" w:tentative="0">
      <w:start w:val="1"/>
      <w:numFmt w:val="lowerRoman"/>
      <w:lvlText w:val="%3."/>
      <w:lvlJc w:val="right"/>
      <w:pPr>
        <w:ind w:left="1839" w:hanging="420"/>
      </w:pPr>
    </w:lvl>
    <w:lvl w:ilvl="3" w:tentative="0">
      <w:start w:val="1"/>
      <w:numFmt w:val="decimal"/>
      <w:lvlText w:val="%4."/>
      <w:lvlJc w:val="left"/>
      <w:pPr>
        <w:ind w:left="2259" w:hanging="420"/>
      </w:pPr>
    </w:lvl>
    <w:lvl w:ilvl="4" w:tentative="0">
      <w:start w:val="1"/>
      <w:numFmt w:val="lowerLetter"/>
      <w:lvlText w:val="%5)"/>
      <w:lvlJc w:val="left"/>
      <w:pPr>
        <w:ind w:left="2679" w:hanging="420"/>
      </w:pPr>
    </w:lvl>
    <w:lvl w:ilvl="5" w:tentative="0">
      <w:start w:val="1"/>
      <w:numFmt w:val="lowerRoman"/>
      <w:lvlText w:val="%6."/>
      <w:lvlJc w:val="right"/>
      <w:pPr>
        <w:ind w:left="3099" w:hanging="420"/>
      </w:pPr>
    </w:lvl>
    <w:lvl w:ilvl="6" w:tentative="0">
      <w:start w:val="1"/>
      <w:numFmt w:val="decimal"/>
      <w:lvlText w:val="%7."/>
      <w:lvlJc w:val="left"/>
      <w:pPr>
        <w:ind w:left="3519" w:hanging="420"/>
      </w:pPr>
    </w:lvl>
    <w:lvl w:ilvl="7" w:tentative="0">
      <w:start w:val="1"/>
      <w:numFmt w:val="lowerLetter"/>
      <w:lvlText w:val="%8)"/>
      <w:lvlJc w:val="left"/>
      <w:pPr>
        <w:ind w:left="3939" w:hanging="420"/>
      </w:pPr>
    </w:lvl>
    <w:lvl w:ilvl="8" w:tentative="0">
      <w:start w:val="1"/>
      <w:numFmt w:val="lowerRoman"/>
      <w:lvlText w:val="%9."/>
      <w:lvlJc w:val="right"/>
      <w:pPr>
        <w:ind w:left="4359" w:hanging="420"/>
      </w:pPr>
    </w:lvl>
  </w:abstractNum>
  <w:abstractNum w:abstractNumId="1">
    <w:nsid w:val="56EF487F"/>
    <w:multiLevelType w:val="multilevel"/>
    <w:tmpl w:val="56EF487F"/>
    <w:lvl w:ilvl="0" w:tentative="0">
      <w:start w:val="1"/>
      <w:numFmt w:val="japaneseCounting"/>
      <w:lvlText w:val="（%1）"/>
      <w:lvlJc w:val="left"/>
      <w:pPr>
        <w:ind w:left="1560" w:hanging="1080"/>
      </w:pPr>
      <w:rPr>
        <w:rFonts w:hint="default"/>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dit="readOnly" w:enforcement="0"/>
  <w:defaultTabStop w:val="420"/>
  <w:drawingGridHorizontalSpacing w:val="105"/>
  <w:drawingGridVerticalSpacing w:val="313"/>
  <w:displayHorizontalDrawingGridEvery w:val="0"/>
  <w:displayVerticalDrawingGridEvery w:val="1"/>
  <w:characterSpacingControl w:val="compressPunctuation"/>
  <w:compat>
    <w:spaceForUL/>
    <w:balanceSingleByteDoubleByteWidth/>
    <w:ulTrailSpace/>
    <w:doNotExpandShiftReturn/>
    <w:adjustLineHeightInTable/>
    <w:useFELayout/>
    <w:compatSetting w:name="compatibilityMode" w:uri="http://schemas.microsoft.com/office/word" w:val="14"/>
  </w:compat>
  <w:docVars>
    <w:docVar w:name="commondata" w:val="eyJoZGlkIjoiYjg0MjVmNDQwOTkyZmEzZjVmYWFjYzZkNWIxODhlNWYifQ=="/>
  </w:docVars>
  <w:rsids>
    <w:rsidRoot w:val="00000000"/>
    <w:rsid w:val="144262CB"/>
    <w:rsid w:val="2D23426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Lucida Sans"/>
      </w:rPr>
    </w:r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Times New Roman" w:eastAsia="宋体" w:cs="Arial"/>
      <w:kern w:val="2"/>
      <w:sz w:val="21"/>
      <w:szCs w:val="22"/>
      <w:lang w:val="en-US" w:eastAsia="zh-CN" w:bidi="ar-SA"/>
    </w:rPr>
  </w:style>
  <w:style w:type="paragraph" w:styleId="2">
    <w:name w:val="heading 1"/>
    <w:basedOn w:val="1"/>
    <w:next w:val="1"/>
    <w:qFormat/>
    <w:uiPriority w:val="0"/>
    <w:pPr>
      <w:spacing w:before="100" w:beforeAutospacing="1" w:after="100" w:afterAutospacing="1"/>
      <w:jc w:val="left"/>
      <w:outlineLvl w:val="0"/>
    </w:pPr>
    <w:rPr>
      <w:rFonts w:ascii="宋体" w:hAnsi="宋体" w:eastAsia="宋体" w:cs="宋体"/>
      <w:b/>
      <w:kern w:val="44"/>
      <w:sz w:val="48"/>
      <w:szCs w:val="48"/>
    </w:rPr>
  </w:style>
  <w:style w:type="paragraph" w:styleId="3">
    <w:name w:val="heading 2"/>
    <w:basedOn w:val="1"/>
    <w:next w:val="1"/>
    <w:qFormat/>
    <w:uiPriority w:val="0"/>
    <w:pPr>
      <w:keepNext/>
      <w:keepLines/>
      <w:widowControl w:val="0"/>
      <w:spacing w:before="260" w:after="260" w:line="415" w:lineRule="auto"/>
      <w:outlineLvl w:val="1"/>
    </w:pPr>
    <w:rPr>
      <w:rFonts w:ascii="Cambria" w:hAnsi="Cambria" w:eastAsia="宋体" w:cs="Times New Roman"/>
      <w:b/>
      <w:bCs/>
      <w:sz w:val="32"/>
      <w:szCs w:val="32"/>
    </w:rPr>
  </w:style>
  <w:style w:type="paragraph" w:styleId="4">
    <w:name w:val="heading 3"/>
    <w:basedOn w:val="1"/>
    <w:next w:val="1"/>
    <w:qFormat/>
    <w:uiPriority w:val="0"/>
    <w:pPr>
      <w:keepNext/>
      <w:keepLines/>
      <w:widowControl w:val="0"/>
      <w:spacing w:before="260" w:after="260" w:line="415" w:lineRule="auto"/>
      <w:outlineLvl w:val="2"/>
    </w:pPr>
    <w:rPr>
      <w:b/>
      <w:bCs/>
      <w:sz w:val="32"/>
      <w:szCs w:val="32"/>
    </w:rPr>
  </w:style>
  <w:style w:type="character" w:default="1" w:styleId="11">
    <w:name w:val="Default Paragraph Font"/>
    <w:qFormat/>
    <w:uiPriority w:val="0"/>
  </w:style>
  <w:style w:type="table" w:default="1" w:styleId="10">
    <w:name w:val="Normal Table"/>
    <w:semiHidden/>
    <w:uiPriority w:val="0"/>
    <w:tblPr>
      <w:tblCellMar>
        <w:top w:w="0" w:type="dxa"/>
        <w:left w:w="108" w:type="dxa"/>
        <w:bottom w:w="0" w:type="dxa"/>
        <w:right w:w="108" w:type="dxa"/>
      </w:tblCellMar>
    </w:tblPr>
  </w:style>
  <w:style w:type="paragraph" w:styleId="5">
    <w:name w:val="Body Text"/>
    <w:basedOn w:val="1"/>
    <w:qFormat/>
    <w:uiPriority w:val="0"/>
    <w:pPr>
      <w:autoSpaceDE w:val="0"/>
      <w:autoSpaceDN w:val="0"/>
      <w:adjustRightInd w:val="0"/>
      <w:snapToGrid w:val="0"/>
      <w:spacing w:line="588" w:lineRule="atLeast"/>
    </w:pPr>
    <w:rPr>
      <w:rFonts w:ascii="宋体" w:hAnsi="宋体" w:eastAsia="仿宋_GB2312"/>
      <w:spacing w:val="-2"/>
      <w:sz w:val="32"/>
      <w:szCs w:val="24"/>
    </w:rPr>
  </w:style>
  <w:style w:type="paragraph" w:styleId="6">
    <w:name w:val="Plain Text"/>
    <w:basedOn w:val="1"/>
    <w:qFormat/>
    <w:uiPriority w:val="0"/>
    <w:rPr>
      <w:rFonts w:ascii="宋体" w:hAnsi="Courier New" w:eastAsia="宋体" w:cs="Courier New"/>
      <w:szCs w:val="21"/>
    </w:rPr>
  </w:style>
  <w:style w:type="paragraph" w:styleId="7">
    <w:name w:val="footer"/>
    <w:basedOn w:val="1"/>
    <w:qFormat/>
    <w:uiPriority w:val="0"/>
    <w:pPr>
      <w:tabs>
        <w:tab w:val="center" w:pos="4153"/>
        <w:tab w:val="right" w:pos="8306"/>
      </w:tabs>
      <w:snapToGrid w:val="0"/>
      <w:jc w:val="left"/>
    </w:pPr>
    <w:rPr>
      <w:sz w:val="18"/>
      <w:szCs w:val="18"/>
    </w:rPr>
  </w:style>
  <w:style w:type="paragraph" w:styleId="8">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9">
    <w:name w:val="Normal (Web)"/>
    <w:basedOn w:val="1"/>
    <w:qFormat/>
    <w:uiPriority w:val="0"/>
    <w:pPr>
      <w:widowControl/>
      <w:spacing w:before="100" w:beforeAutospacing="1" w:after="100" w:afterAutospacing="1"/>
      <w:jc w:val="left"/>
    </w:pPr>
    <w:rPr>
      <w:rFonts w:ascii="宋体" w:hAnsi="宋体" w:eastAsia="宋体" w:cs="宋体"/>
      <w:kern w:val="0"/>
      <w:sz w:val="24"/>
      <w:szCs w:val="24"/>
    </w:rPr>
  </w:style>
  <w:style w:type="character" w:styleId="12">
    <w:name w:val="Strong"/>
    <w:basedOn w:val="11"/>
    <w:qFormat/>
    <w:uiPriority w:val="0"/>
    <w:rPr>
      <w:b/>
      <w:bCs/>
    </w:rPr>
  </w:style>
  <w:style w:type="character" w:styleId="13">
    <w:name w:val="page number"/>
    <w:basedOn w:val="11"/>
    <w:qFormat/>
    <w:uiPriority w:val="0"/>
  </w:style>
  <w:style w:type="character" w:customStyle="1" w:styleId="14">
    <w:name w:val="font31"/>
    <w:basedOn w:val="11"/>
    <w:qFormat/>
    <w:uiPriority w:val="0"/>
    <w:rPr>
      <w:rFonts w:ascii="宋体" w:hAnsi="宋体" w:eastAsia="宋体" w:cs="宋体"/>
      <w:b/>
      <w:color w:val="000000"/>
      <w:sz w:val="36"/>
      <w:szCs w:val="36"/>
      <w:u w:val="none"/>
    </w:rPr>
  </w:style>
  <w:style w:type="paragraph" w:styleId="15">
    <w:name w:val="List Paragraph"/>
    <w:basedOn w:val="1"/>
    <w:qFormat/>
    <w:uiPriority w:val="0"/>
    <w:pPr>
      <w:ind w:firstLine="200" w:firstLineChars="200"/>
    </w:p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customData xmlns="http://www.yozosoft.com.cn/officeDocument/2016/customData">
  <customProps>
    <docPr revisions="3 0 5 0 0 0 1 0 0 0 3000 0 1 1 1 1"/>
    <sectPr/>
  </customProps>
</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CFF8284-6439-493C-81E2-CD24350B51AA}">
  <ds:schemaRefs/>
</ds:datastoreItem>
</file>

<file path=docProps/app.xml><?xml version="1.0" encoding="utf-8"?>
<Properties xmlns="http://schemas.openxmlformats.org/officeDocument/2006/extended-properties" xmlns:vt="http://schemas.openxmlformats.org/officeDocument/2006/docPropsVTypes">
  <Template>Normal.eit</Template>
  <Pages>20</Pages>
  <Words>0</Words>
  <Characters>9973</Characters>
  <Lines>0</Lines>
  <Paragraphs>82</Paragraphs>
  <TotalTime>7</TotalTime>
  <ScaleCrop>false</ScaleCrop>
  <LinksUpToDate>false</LinksUpToDate>
  <CharactersWithSpaces>13298</CharactersWithSpaces>
  <Application>WPS Office_11.1.0.10314_F1E327BC-269C-435d-A152-05C5408002CA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2016-02-22T07:07:00Z</dcterms:created>
  <dc:creator>Administrator</dc:creator>
  <cp:lastModifiedBy>Administrator</cp:lastModifiedBy>
  <cp:lastPrinted>2018-11-29T03:23:00Z</cp:lastPrinted>
  <dcterms:modified xsi:type="dcterms:W3CDTF">2026-01-15T03:38:40Z</dcterms:modified>
  <cp:revision>87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y fmtid="{D5CDD505-2E9C-101B-9397-08002B2CF9AE}" pid="3" name="ICV">
    <vt:lpwstr>9993E2AD9E4B40F08408A593AF81324A_13</vt:lpwstr>
  </property>
</Properties>
</file>