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60" w:lineRule="exact"/>
        <w:jc w:val="center"/>
        <w:rPr>
          <w:rFonts w:ascii="方正小标宋_GBK" w:eastAsia="方正小标宋_GBK" w:hint="eastAsia"/>
          <w:vanish w:val="0"/>
          <w:kern w:val="2"/>
          <w:sz w:val="44"/>
          <w:szCs w:val="44"/>
        </w:rPr>
      </w:pPr>
    </w:p>
    <w:p>
      <w:pPr>
        <w:spacing w:line="560" w:lineRule="exact"/>
        <w:jc w:val="center"/>
        <w:rPr>
          <w:rFonts w:ascii="CESI仿宋-GB2312" w:eastAsia="CESI仿宋-GB2312" w:hint="eastAsia"/>
          <w:vanish w:val="0"/>
          <w:kern w:val="2"/>
          <w:sz w:val="32"/>
          <w:szCs w:val="32"/>
        </w:rPr>
      </w:pPr>
      <w:r>
        <w:rPr>
          <w:rFonts w:ascii="方正小标宋_GBK" w:eastAsia="方正小标宋_GBK"/>
          <w:vanish w:val="0"/>
          <w:kern w:val="2"/>
          <w:sz w:val="44"/>
          <w:szCs w:val="44"/>
        </w:rPr>
        <w:t>隆尧县</w:t>
      </w:r>
      <w:r>
        <w:rPr>
          <w:rFonts w:ascii="方正小标宋_GBK" w:eastAsia="方正小标宋_GBK" w:hint="eastAsia"/>
          <w:vanish w:val="0"/>
          <w:kern w:val="2"/>
          <w:sz w:val="44"/>
          <w:szCs w:val="44"/>
        </w:rPr>
        <w:t>水务局涉企行政检查计划</w:t>
      </w:r>
    </w:p>
    <w:p>
      <w:pPr>
        <w:spacing w:line="560" w:lineRule="exact"/>
        <w:ind w:firstLineChars="200" w:firstLine="640"/>
        <w:rPr>
          <w:rFonts w:ascii="CESI仿宋-GB2312" w:eastAsia="CESI仿宋-GB2312" w:hint="eastAsia"/>
          <w:vanish w:val="0"/>
          <w:kern w:val="2"/>
          <w:sz w:val="32"/>
          <w:szCs w:val="32"/>
        </w:rPr>
      </w:pPr>
    </w:p>
    <w:p>
      <w:pPr>
        <w:spacing w:line="560" w:lineRule="exact"/>
        <w:ind w:firstLineChars="200" w:firstLine="640"/>
        <w:jc w:val="left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为了规范政府部门的执法行为，优化营商环境、减轻企业负担，减少对企业正常生产经营活动的干扰，提高执法效率和透明度，我局向社会公开202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6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年度涉企行政检查计划，接受社会监督。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一、检查内容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1.对取用水行为的行政检查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2.对河道管理范围内有关活动（不含河道采砂）的行政检查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3.对河道管理范围内建设项目的行政检查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4.对需要申请非防洪建设项目洪水影响评价报告审批的行政检查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5.对河道采砂的行政检查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6.对围垦河道的行政检查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7.对生产建设项目水土保持的行政检查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二、检查方式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1.现场检查：执法人员到企业现场进行检查。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2.书面检查：要求企业提供相关资料进行审查。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3.联合检查：多个部门联合进行综合检查。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4.随机抽查：通过双随机平台随机确定检查对象和检查人员。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三、检查时间和频次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202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6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年度每季度安排检查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3-4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次，年度同一检查事项不超过2次。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临时检查：根据举报、投诉或突发事件进行临时检查。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四、检查流程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1.制定计划：根据年度计划和季度安排，开展具体的检查计划。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2.通知企业：提前通知被检查企业，告知检查时间、内容和所需资料。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3.实施检查：按照检查计划进行现场或书面检查。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4.记录结果：详细记录检查情况，形成检查报告。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5.反馈意见：将检查结果反馈给企业，并提出整改建议。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6.跟踪整改：对企业的整改情况进行跟踪检查，确保问题得到解决。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7.检查结果处理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整改通知：对发现的问题下达整改通知书，明确整改期限。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行政处罚：对违法违规行为依法进行行政处罚。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信息公开：将检查结果和处理情况向社会公开，接受公众监督。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/>
          <w:vanish w:val="0"/>
          <w:kern w:val="2"/>
          <w:sz w:val="32"/>
          <w:szCs w:val="32"/>
        </w:rPr>
        <w:t>8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.监督检查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内部监督：上级部门对下级部门的检查工作进行监督。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社会监督：接受企业和公众的监督，设立举报电话和邮箱。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vanish w:val="0"/>
          <w:kern w:val="2"/>
          <w:sz w:val="32"/>
          <w:szCs w:val="32"/>
        </w:rPr>
        <w:t>五、其他事项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保密要求：对检查过程中涉及的企业商业秘密进行保密。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廉政建设：严格执行廉政规定，杜绝吃拿卡要等不正之风。</w:t>
      </w:r>
    </w:p>
    <w:p>
      <w:pPr>
        <w:spacing w:line="560" w:lineRule="exact"/>
        <w:ind w:firstLineChars="200" w:firstLine="64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应急预案：制定应急预案，处理检查过程中可能出现的突发事件。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Chars="200" w:firstLine="640"/>
        <w:jc w:val="left"/>
        <w:rPr>
          <w:rFonts w:ascii="仿宋" w:eastAsia="仿宋" w:cs="仿宋" w:hAnsi="仿宋" w:hint="eastAsia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Chars="2000" w:firstLine="6400"/>
        <w:jc w:val="left"/>
        <w:rPr>
          <w:rFonts w:ascii="仿宋" w:eastAsia="仿宋" w:cs="仿宋" w:hAnsi="仿宋" w:hint="eastAsia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</w:p>
    <w:p>
      <w:pPr>
        <w:spacing w:line="560" w:lineRule="exact"/>
        <w:ind w:leftChars="100" w:left="210"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</w:p>
    <w:p>
      <w:pPr>
        <w:spacing w:line="560" w:lineRule="exact"/>
        <w:ind w:leftChars="100" w:left="210"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隆尧县水务局</w:t>
      </w:r>
    </w:p>
    <w:p>
      <w:pPr>
        <w:spacing w:line="560" w:lineRule="exact"/>
        <w:ind w:firstLineChars="1400" w:firstLine="4480"/>
        <w:rPr>
          <w:rFonts w:ascii="仿宋" w:eastAsia="仿宋" w:cs="仿宋" w:hAnsi="仿宋" w:hint="eastAsia"/>
          <w:vanish w:val="0"/>
          <w:kern w:val="2"/>
          <w:sz w:val="32"/>
          <w:szCs w:val="32"/>
        </w:rPr>
      </w:pP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202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6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年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1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月</w:t>
      </w:r>
      <w:r>
        <w:rPr>
          <w:rFonts w:ascii="仿宋" w:eastAsia="仿宋" w:cs="仿宋" w:hAnsi="仿宋"/>
          <w:vanish w:val="0"/>
          <w:kern w:val="2"/>
          <w:sz w:val="32"/>
          <w:szCs w:val="32"/>
        </w:rPr>
        <w:t>12</w:t>
      </w:r>
      <w:r>
        <w:rPr>
          <w:rFonts w:ascii="仿宋" w:eastAsia="仿宋" w:cs="仿宋" w:hAnsi="仿宋" w:hint="eastAsia"/>
          <w:vanish w:val="0"/>
          <w:kern w:val="2"/>
          <w:sz w:val="32"/>
          <w:szCs w:val="32"/>
        </w:rPr>
        <w:t>日</w:t>
      </w:r>
    </w:p>
    <w:p/>
    <w:sectPr>
      <w:pgSz w:w="11907" w:h="16839"/>
      <w:pgMar w:top="1440" w:right="1800" w:bottom="1440" w:left="1800" w:header="851" w:footer="992" w:gutter="0"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0000000000000000000"/>
    <w:charset w:val="00"/>
    <w:family w:val="auto"/>
    <w:pitch w:val="variable"/>
  </w:font>
  <w:font w:name="CESI仿宋-GB2312">
    <w:altName w:val="宋体"/>
    <w:panose1 w:val="00000000000000000000"/>
    <w:charset w:val="00"/>
    <w:family w:val="auto"/>
    <w:pitch w:val="variable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0000000000000000000"/>
    <w:charset w:val="00"/>
    <w:family w:val="auto"/>
    <w:pitch w:val="variable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Calibri" w:eastAsia="宋体" w:cs="Times New Roman" w:hAnsi="Calibri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em w:val="none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em w:val="none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 w:bidi="ar-SA"/>
    </w:rPr>
  </w:style>
  <w:style w:type="character" w:default="1" w:styleId="10">
    <w:name w:val="Default Paragraph Font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C1895726-4F78-4024-B5A6-59D9B0C7E436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11</TotalTime>
  <Application>Yozo_Office27021597764231189</Application>
  <Pages>3</Pages>
  <Words>0</Words>
  <Characters>639</Characters>
  <Lines>0</Lines>
  <Paragraphs>44</Paragraphs>
  <CharactersWithSpaces>852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1</cp:revision>
  <dcterms:created xsi:type="dcterms:W3CDTF">2021-05-08T07:28:00Z</dcterms:created>
  <dcterms:modified xsi:type="dcterms:W3CDTF">2026-01-12T08:08:52Z</dcterms:modified>
</cp:coreProperties>
</file>