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2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2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2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2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2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2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2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2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711隆尧县总工会</w:t>
            </w:r>
          </w:p>
        </w:tc>
        <w:tc>
          <w:tcPr>
            <w:tcW w:w="2126" w:type="dxa"/>
            <w:tcBorders>
              <w:top w:val="single" w:color="FFFFFF" w:sz="6" w:space="0"/>
              <w:left w:val="single" w:color="FFFFFF" w:sz="6" w:space="0"/>
              <w:right w:val="single" w:color="FFFFFF" w:sz="6" w:space="0"/>
            </w:tcBorders>
            <w:vAlign w:val="center"/>
          </w:tcPr>
          <w:p>
            <w:pPr>
              <w:pStyle w:val="7"/>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5" w:type="dxa"/>
            <w:vAlign w:val="center"/>
          </w:tcPr>
          <w:p>
            <w:pPr>
              <w:pStyle w:val="11"/>
            </w:pPr>
            <w:r>
              <w:t>一、一般公共预算拨款收入</w:t>
            </w:r>
          </w:p>
        </w:tc>
        <w:tc>
          <w:tcPr>
            <w:tcW w:w="2126" w:type="dxa"/>
            <w:vAlign w:val="center"/>
          </w:tcPr>
          <w:p>
            <w:pPr>
              <w:pStyle w:val="10"/>
            </w:pPr>
            <w:r>
              <w:t>419.58</w:t>
            </w:r>
          </w:p>
        </w:tc>
        <w:tc>
          <w:tcPr>
            <w:tcW w:w="4535" w:type="dxa"/>
            <w:vAlign w:val="center"/>
          </w:tcPr>
          <w:p>
            <w:pPr>
              <w:pStyle w:val="11"/>
            </w:pPr>
            <w:r>
              <w:t>一、一般公共服务支出</w:t>
            </w:r>
          </w:p>
        </w:tc>
        <w:tc>
          <w:tcPr>
            <w:tcW w:w="2126" w:type="dxa"/>
            <w:vAlign w:val="center"/>
          </w:tcPr>
          <w:p>
            <w:pPr>
              <w:pStyle w:val="10"/>
            </w:pPr>
            <w:r>
              <w:t>394.94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5"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5"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5"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5" w:type="dxa"/>
            <w:vAlign w:val="center"/>
          </w:tcPr>
          <w:p>
            <w:pPr>
              <w:pStyle w:val="11"/>
            </w:pPr>
            <w:r>
              <w:t>五、单位资金</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5" w:type="dxa"/>
            <w:vAlign w:val="center"/>
          </w:tcPr>
          <w:p>
            <w:pPr>
              <w:pStyle w:val="11"/>
            </w:pPr>
          </w:p>
        </w:tc>
        <w:tc>
          <w:tcPr>
            <w:tcW w:w="2126" w:type="dxa"/>
            <w:vAlign w:val="center"/>
          </w:tcPr>
          <w:p>
            <w:pPr>
              <w:pStyle w:val="10"/>
            </w:pPr>
          </w:p>
        </w:tc>
        <w:tc>
          <w:tcPr>
            <w:tcW w:w="4535" w:type="dxa"/>
            <w:vAlign w:val="center"/>
          </w:tcPr>
          <w:p>
            <w:pPr>
              <w:pStyle w:val="11"/>
            </w:pPr>
            <w:r>
              <w:t>三十一、往来性收支</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5" w:type="dxa"/>
            <w:vAlign w:val="center"/>
          </w:tcPr>
          <w:p>
            <w:pPr>
              <w:pStyle w:val="13"/>
            </w:pPr>
            <w:r>
              <w:t>本年收入合计</w:t>
            </w:r>
          </w:p>
        </w:tc>
        <w:tc>
          <w:tcPr>
            <w:tcW w:w="2126" w:type="dxa"/>
            <w:vAlign w:val="center"/>
          </w:tcPr>
          <w:p>
            <w:pPr>
              <w:pStyle w:val="14"/>
            </w:pPr>
            <w:r>
              <w:t>419.58</w:t>
            </w:r>
          </w:p>
        </w:tc>
        <w:tc>
          <w:tcPr>
            <w:tcW w:w="4535" w:type="dxa"/>
            <w:vAlign w:val="center"/>
          </w:tcPr>
          <w:p>
            <w:pPr>
              <w:pStyle w:val="13"/>
            </w:pPr>
            <w:r>
              <w:t>本年支出合计</w:t>
            </w:r>
          </w:p>
        </w:tc>
        <w:tc>
          <w:tcPr>
            <w:tcW w:w="2126" w:type="dxa"/>
            <w:vAlign w:val="center"/>
          </w:tcPr>
          <w:p>
            <w:pPr>
              <w:pStyle w:val="14"/>
            </w:pPr>
            <w:r>
              <w:t>419.58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5"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4535" w:type="dxa"/>
            <w:vAlign w:val="center"/>
          </w:tcPr>
          <w:p>
            <w:pPr>
              <w:pStyle w:val="13"/>
            </w:pPr>
            <w:r>
              <w:t>收入总计</w:t>
            </w:r>
          </w:p>
        </w:tc>
        <w:tc>
          <w:tcPr>
            <w:tcW w:w="2126" w:type="dxa"/>
            <w:vAlign w:val="center"/>
          </w:tcPr>
          <w:p>
            <w:pPr>
              <w:pStyle w:val="14"/>
            </w:pPr>
            <w:r>
              <w:t>419.58</w:t>
            </w:r>
          </w:p>
        </w:tc>
        <w:tc>
          <w:tcPr>
            <w:tcW w:w="4535" w:type="dxa"/>
            <w:vAlign w:val="center"/>
          </w:tcPr>
          <w:p>
            <w:pPr>
              <w:pStyle w:val="13"/>
            </w:pPr>
            <w:r>
              <w:t>支出总计</w:t>
            </w:r>
          </w:p>
        </w:tc>
        <w:tc>
          <w:tcPr>
            <w:tcW w:w="2126" w:type="dxa"/>
            <w:vAlign w:val="center"/>
          </w:tcPr>
          <w:p>
            <w:pPr>
              <w:pStyle w:val="14"/>
            </w:pPr>
            <w:r>
              <w:t>419.58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711隆尧县总工会</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1"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419.58</w:t>
            </w:r>
          </w:p>
        </w:tc>
        <w:tc>
          <w:tcPr>
            <w:tcW w:w="1134" w:type="dxa"/>
            <w:vAlign w:val="center"/>
          </w:tcPr>
          <w:p>
            <w:pPr>
              <w:pStyle w:val="14"/>
            </w:pPr>
            <w:r>
              <w:t>419.58</w:t>
            </w:r>
          </w:p>
        </w:tc>
        <w:tc>
          <w:tcPr>
            <w:tcW w:w="1134" w:type="dxa"/>
            <w:vAlign w:val="center"/>
          </w:tcPr>
          <w:p>
            <w:pPr>
              <w:pStyle w:val="14"/>
            </w:pPr>
            <w:r>
              <w:t>419.58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201</w:t>
            </w:r>
          </w:p>
        </w:tc>
        <w:tc>
          <w:tcPr>
            <w:tcW w:w="1559" w:type="dxa"/>
            <w:vAlign w:val="center"/>
          </w:tcPr>
          <w:p>
            <w:pPr>
              <w:pStyle w:val="11"/>
            </w:pPr>
            <w:r>
              <w:t>一般公共服务支出</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20129</w:t>
            </w:r>
          </w:p>
        </w:tc>
        <w:tc>
          <w:tcPr>
            <w:tcW w:w="1559" w:type="dxa"/>
            <w:vAlign w:val="center"/>
          </w:tcPr>
          <w:p>
            <w:pPr>
              <w:pStyle w:val="11"/>
            </w:pPr>
            <w:r>
              <w:t>群众团体事务</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2012901</w:t>
            </w:r>
          </w:p>
        </w:tc>
        <w:tc>
          <w:tcPr>
            <w:tcW w:w="1559" w:type="dxa"/>
            <w:vAlign w:val="center"/>
          </w:tcPr>
          <w:p>
            <w:pPr>
              <w:pStyle w:val="11"/>
            </w:pPr>
            <w:r>
              <w:t>行政运行</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r>
              <w:t>394.94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r>
              <w:t>11.02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2101101</w:t>
            </w:r>
          </w:p>
        </w:tc>
        <w:tc>
          <w:tcPr>
            <w:tcW w:w="1559" w:type="dxa"/>
            <w:vAlign w:val="center"/>
          </w:tcPr>
          <w:p>
            <w:pPr>
              <w:pStyle w:val="11"/>
            </w:pPr>
            <w:r>
              <w:t>行政单位医疗</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r>
              <w:t>4.96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r>
              <w:t>8.65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721" w:type="dxa"/>
            <w:gridSpan w:val="2"/>
            <w:tcBorders>
              <w:top w:val="single" w:color="FFFFFF" w:sz="6" w:space="0"/>
              <w:left w:val="single" w:color="FFFFFF" w:sz="6" w:space="0"/>
              <w:right w:val="single" w:color="FFFFFF" w:sz="6" w:space="0"/>
            </w:tcBorders>
            <w:vAlign w:val="center"/>
          </w:tcPr>
          <w:p>
            <w:pPr>
              <w:pStyle w:val="7"/>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419.58</w:t>
            </w:r>
          </w:p>
        </w:tc>
        <w:tc>
          <w:tcPr>
            <w:tcW w:w="1361" w:type="dxa"/>
            <w:vAlign w:val="center"/>
          </w:tcPr>
          <w:p>
            <w:pPr>
              <w:pStyle w:val="14"/>
            </w:pPr>
            <w:r>
              <w:t>131.46</w:t>
            </w:r>
          </w:p>
        </w:tc>
        <w:tc>
          <w:tcPr>
            <w:tcW w:w="1361" w:type="dxa"/>
            <w:vAlign w:val="center"/>
          </w:tcPr>
          <w:p>
            <w:pPr>
              <w:pStyle w:val="14"/>
            </w:pPr>
            <w:r>
              <w:t>288.12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201</w:t>
            </w:r>
          </w:p>
        </w:tc>
        <w:tc>
          <w:tcPr>
            <w:tcW w:w="4535" w:type="dxa"/>
            <w:vAlign w:val="center"/>
          </w:tcPr>
          <w:p>
            <w:pPr>
              <w:pStyle w:val="11"/>
            </w:pPr>
            <w:r>
              <w:t>一般公共服务支出</w:t>
            </w:r>
          </w:p>
        </w:tc>
        <w:tc>
          <w:tcPr>
            <w:tcW w:w="1361" w:type="dxa"/>
            <w:vAlign w:val="center"/>
          </w:tcPr>
          <w:p>
            <w:pPr>
              <w:pStyle w:val="10"/>
            </w:pPr>
            <w:r>
              <w:t>394.94</w:t>
            </w:r>
          </w:p>
        </w:tc>
        <w:tc>
          <w:tcPr>
            <w:tcW w:w="1361" w:type="dxa"/>
            <w:vAlign w:val="center"/>
          </w:tcPr>
          <w:p>
            <w:pPr>
              <w:pStyle w:val="10"/>
            </w:pPr>
            <w:r>
              <w:t>106.82</w:t>
            </w:r>
          </w:p>
        </w:tc>
        <w:tc>
          <w:tcPr>
            <w:tcW w:w="1361" w:type="dxa"/>
            <w:vAlign w:val="center"/>
          </w:tcPr>
          <w:p>
            <w:pPr>
              <w:pStyle w:val="10"/>
            </w:pPr>
            <w:r>
              <w:t>288.12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20129</w:t>
            </w:r>
          </w:p>
        </w:tc>
        <w:tc>
          <w:tcPr>
            <w:tcW w:w="4535" w:type="dxa"/>
            <w:vAlign w:val="center"/>
          </w:tcPr>
          <w:p>
            <w:pPr>
              <w:pStyle w:val="11"/>
            </w:pPr>
            <w:r>
              <w:t>群众团体事务</w:t>
            </w:r>
          </w:p>
        </w:tc>
        <w:tc>
          <w:tcPr>
            <w:tcW w:w="1361" w:type="dxa"/>
            <w:vAlign w:val="center"/>
          </w:tcPr>
          <w:p>
            <w:pPr>
              <w:pStyle w:val="10"/>
            </w:pPr>
            <w:r>
              <w:t>394.94</w:t>
            </w:r>
          </w:p>
        </w:tc>
        <w:tc>
          <w:tcPr>
            <w:tcW w:w="1361" w:type="dxa"/>
            <w:vAlign w:val="center"/>
          </w:tcPr>
          <w:p>
            <w:pPr>
              <w:pStyle w:val="10"/>
            </w:pPr>
            <w:r>
              <w:t>106.82</w:t>
            </w:r>
          </w:p>
        </w:tc>
        <w:tc>
          <w:tcPr>
            <w:tcW w:w="1361" w:type="dxa"/>
            <w:vAlign w:val="center"/>
          </w:tcPr>
          <w:p>
            <w:pPr>
              <w:pStyle w:val="10"/>
            </w:pPr>
            <w:r>
              <w:t>288.12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2012901</w:t>
            </w:r>
          </w:p>
        </w:tc>
        <w:tc>
          <w:tcPr>
            <w:tcW w:w="4535" w:type="dxa"/>
            <w:vAlign w:val="center"/>
          </w:tcPr>
          <w:p>
            <w:pPr>
              <w:pStyle w:val="11"/>
            </w:pPr>
            <w:r>
              <w:t>行政运行</w:t>
            </w:r>
          </w:p>
        </w:tc>
        <w:tc>
          <w:tcPr>
            <w:tcW w:w="1361" w:type="dxa"/>
            <w:vAlign w:val="center"/>
          </w:tcPr>
          <w:p>
            <w:pPr>
              <w:pStyle w:val="10"/>
            </w:pPr>
            <w:r>
              <w:t>394.94</w:t>
            </w:r>
          </w:p>
        </w:tc>
        <w:tc>
          <w:tcPr>
            <w:tcW w:w="1361" w:type="dxa"/>
            <w:vAlign w:val="center"/>
          </w:tcPr>
          <w:p>
            <w:pPr>
              <w:pStyle w:val="10"/>
            </w:pPr>
            <w:r>
              <w:t>106.82</w:t>
            </w:r>
          </w:p>
        </w:tc>
        <w:tc>
          <w:tcPr>
            <w:tcW w:w="1361" w:type="dxa"/>
            <w:vAlign w:val="center"/>
          </w:tcPr>
          <w:p>
            <w:pPr>
              <w:pStyle w:val="10"/>
            </w:pPr>
            <w:r>
              <w:t>288.12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w:t>
            </w:r>
          </w:p>
        </w:tc>
        <w:tc>
          <w:tcPr>
            <w:tcW w:w="4535" w:type="dxa"/>
            <w:vAlign w:val="center"/>
          </w:tcPr>
          <w:p>
            <w:pPr>
              <w:pStyle w:val="11"/>
            </w:pPr>
            <w:r>
              <w:t>社会保障和就业支出</w:t>
            </w:r>
          </w:p>
        </w:tc>
        <w:tc>
          <w:tcPr>
            <w:tcW w:w="1361" w:type="dxa"/>
            <w:vAlign w:val="center"/>
          </w:tcPr>
          <w:p>
            <w:pPr>
              <w:pStyle w:val="10"/>
            </w:pPr>
            <w:r>
              <w:t>11.02</w:t>
            </w:r>
          </w:p>
        </w:tc>
        <w:tc>
          <w:tcPr>
            <w:tcW w:w="1361" w:type="dxa"/>
            <w:vAlign w:val="center"/>
          </w:tcPr>
          <w:p>
            <w:pPr>
              <w:pStyle w:val="10"/>
            </w:pPr>
            <w:r>
              <w:t>11.02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20805</w:t>
            </w:r>
          </w:p>
        </w:tc>
        <w:tc>
          <w:tcPr>
            <w:tcW w:w="4535" w:type="dxa"/>
            <w:vAlign w:val="center"/>
          </w:tcPr>
          <w:p>
            <w:pPr>
              <w:pStyle w:val="11"/>
            </w:pPr>
            <w:r>
              <w:t>行政事业单位养老支出</w:t>
            </w:r>
          </w:p>
        </w:tc>
        <w:tc>
          <w:tcPr>
            <w:tcW w:w="1361" w:type="dxa"/>
            <w:vAlign w:val="center"/>
          </w:tcPr>
          <w:p>
            <w:pPr>
              <w:pStyle w:val="10"/>
            </w:pPr>
            <w:r>
              <w:t>11.02</w:t>
            </w:r>
          </w:p>
        </w:tc>
        <w:tc>
          <w:tcPr>
            <w:tcW w:w="1361" w:type="dxa"/>
            <w:vAlign w:val="center"/>
          </w:tcPr>
          <w:p>
            <w:pPr>
              <w:pStyle w:val="10"/>
            </w:pPr>
            <w:r>
              <w:t>11.02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2080505</w:t>
            </w:r>
          </w:p>
        </w:tc>
        <w:tc>
          <w:tcPr>
            <w:tcW w:w="4535" w:type="dxa"/>
            <w:vAlign w:val="center"/>
          </w:tcPr>
          <w:p>
            <w:pPr>
              <w:pStyle w:val="11"/>
            </w:pPr>
            <w:r>
              <w:t>机关事业单位基本养老保险缴费支出</w:t>
            </w:r>
          </w:p>
        </w:tc>
        <w:tc>
          <w:tcPr>
            <w:tcW w:w="1361" w:type="dxa"/>
            <w:vAlign w:val="center"/>
          </w:tcPr>
          <w:p>
            <w:pPr>
              <w:pStyle w:val="10"/>
            </w:pPr>
            <w:r>
              <w:t>11.02</w:t>
            </w:r>
          </w:p>
        </w:tc>
        <w:tc>
          <w:tcPr>
            <w:tcW w:w="1361" w:type="dxa"/>
            <w:vAlign w:val="center"/>
          </w:tcPr>
          <w:p>
            <w:pPr>
              <w:pStyle w:val="10"/>
            </w:pPr>
            <w:r>
              <w:t>11.02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w:t>
            </w:r>
          </w:p>
        </w:tc>
        <w:tc>
          <w:tcPr>
            <w:tcW w:w="4535" w:type="dxa"/>
            <w:vAlign w:val="center"/>
          </w:tcPr>
          <w:p>
            <w:pPr>
              <w:pStyle w:val="11"/>
            </w:pPr>
            <w:r>
              <w:t>卫生健康支出</w:t>
            </w:r>
          </w:p>
        </w:tc>
        <w:tc>
          <w:tcPr>
            <w:tcW w:w="1361" w:type="dxa"/>
            <w:vAlign w:val="center"/>
          </w:tcPr>
          <w:p>
            <w:pPr>
              <w:pStyle w:val="10"/>
            </w:pPr>
            <w:r>
              <w:t>4.96</w:t>
            </w:r>
          </w:p>
        </w:tc>
        <w:tc>
          <w:tcPr>
            <w:tcW w:w="1361" w:type="dxa"/>
            <w:vAlign w:val="center"/>
          </w:tcPr>
          <w:p>
            <w:pPr>
              <w:pStyle w:val="10"/>
            </w:pPr>
            <w:r>
              <w:t>4.96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21011</w:t>
            </w:r>
          </w:p>
        </w:tc>
        <w:tc>
          <w:tcPr>
            <w:tcW w:w="4535" w:type="dxa"/>
            <w:vAlign w:val="center"/>
          </w:tcPr>
          <w:p>
            <w:pPr>
              <w:pStyle w:val="11"/>
            </w:pPr>
            <w:r>
              <w:t>行政事业单位医疗</w:t>
            </w:r>
          </w:p>
        </w:tc>
        <w:tc>
          <w:tcPr>
            <w:tcW w:w="1361" w:type="dxa"/>
            <w:vAlign w:val="center"/>
          </w:tcPr>
          <w:p>
            <w:pPr>
              <w:pStyle w:val="10"/>
            </w:pPr>
            <w:r>
              <w:t>4.96</w:t>
            </w:r>
          </w:p>
        </w:tc>
        <w:tc>
          <w:tcPr>
            <w:tcW w:w="1361" w:type="dxa"/>
            <w:vAlign w:val="center"/>
          </w:tcPr>
          <w:p>
            <w:pPr>
              <w:pStyle w:val="10"/>
            </w:pPr>
            <w:r>
              <w:t>4.96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2101101</w:t>
            </w:r>
          </w:p>
        </w:tc>
        <w:tc>
          <w:tcPr>
            <w:tcW w:w="4535" w:type="dxa"/>
            <w:vAlign w:val="center"/>
          </w:tcPr>
          <w:p>
            <w:pPr>
              <w:pStyle w:val="11"/>
            </w:pPr>
            <w:r>
              <w:t>行政单位医疗</w:t>
            </w:r>
          </w:p>
        </w:tc>
        <w:tc>
          <w:tcPr>
            <w:tcW w:w="1361" w:type="dxa"/>
            <w:vAlign w:val="center"/>
          </w:tcPr>
          <w:p>
            <w:pPr>
              <w:pStyle w:val="10"/>
            </w:pPr>
            <w:r>
              <w:t>4.96</w:t>
            </w:r>
          </w:p>
        </w:tc>
        <w:tc>
          <w:tcPr>
            <w:tcW w:w="1361" w:type="dxa"/>
            <w:vAlign w:val="center"/>
          </w:tcPr>
          <w:p>
            <w:pPr>
              <w:pStyle w:val="10"/>
            </w:pPr>
            <w:r>
              <w:t>4.96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221</w:t>
            </w:r>
          </w:p>
        </w:tc>
        <w:tc>
          <w:tcPr>
            <w:tcW w:w="4535" w:type="dxa"/>
            <w:vAlign w:val="center"/>
          </w:tcPr>
          <w:p>
            <w:pPr>
              <w:pStyle w:val="11"/>
            </w:pPr>
            <w:r>
              <w:t>住房保障支出</w:t>
            </w:r>
          </w:p>
        </w:tc>
        <w:tc>
          <w:tcPr>
            <w:tcW w:w="1361" w:type="dxa"/>
            <w:vAlign w:val="center"/>
          </w:tcPr>
          <w:p>
            <w:pPr>
              <w:pStyle w:val="10"/>
            </w:pPr>
            <w:r>
              <w:t>8.65</w:t>
            </w:r>
          </w:p>
        </w:tc>
        <w:tc>
          <w:tcPr>
            <w:tcW w:w="1361" w:type="dxa"/>
            <w:vAlign w:val="center"/>
          </w:tcPr>
          <w:p>
            <w:pPr>
              <w:pStyle w:val="10"/>
            </w:pPr>
            <w:r>
              <w:t>8.65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22102</w:t>
            </w:r>
          </w:p>
        </w:tc>
        <w:tc>
          <w:tcPr>
            <w:tcW w:w="4535" w:type="dxa"/>
            <w:vAlign w:val="center"/>
          </w:tcPr>
          <w:p>
            <w:pPr>
              <w:pStyle w:val="11"/>
            </w:pPr>
            <w:r>
              <w:t>住房改革支出</w:t>
            </w:r>
          </w:p>
        </w:tc>
        <w:tc>
          <w:tcPr>
            <w:tcW w:w="1361" w:type="dxa"/>
            <w:vAlign w:val="center"/>
          </w:tcPr>
          <w:p>
            <w:pPr>
              <w:pStyle w:val="10"/>
            </w:pPr>
            <w:r>
              <w:t>8.65</w:t>
            </w:r>
          </w:p>
        </w:tc>
        <w:tc>
          <w:tcPr>
            <w:tcW w:w="1361" w:type="dxa"/>
            <w:vAlign w:val="center"/>
          </w:tcPr>
          <w:p>
            <w:pPr>
              <w:pStyle w:val="10"/>
            </w:pPr>
            <w:r>
              <w:t>8.65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2210201</w:t>
            </w:r>
          </w:p>
        </w:tc>
        <w:tc>
          <w:tcPr>
            <w:tcW w:w="4535" w:type="dxa"/>
            <w:vAlign w:val="center"/>
          </w:tcPr>
          <w:p>
            <w:pPr>
              <w:pStyle w:val="11"/>
            </w:pPr>
            <w:r>
              <w:t>住房公积金</w:t>
            </w:r>
          </w:p>
        </w:tc>
        <w:tc>
          <w:tcPr>
            <w:tcW w:w="1361" w:type="dxa"/>
            <w:vAlign w:val="center"/>
          </w:tcPr>
          <w:p>
            <w:pPr>
              <w:pStyle w:val="10"/>
            </w:pPr>
            <w:r>
              <w:t>8.65</w:t>
            </w:r>
          </w:p>
        </w:tc>
        <w:tc>
          <w:tcPr>
            <w:tcW w:w="1361" w:type="dxa"/>
            <w:vAlign w:val="center"/>
          </w:tcPr>
          <w:p>
            <w:pPr>
              <w:pStyle w:val="10"/>
            </w:pPr>
            <w:r>
              <w:t>8.65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3402" w:type="dxa"/>
            <w:tcBorders>
              <w:top w:val="single" w:color="FFFFFF" w:sz="6" w:space="0"/>
              <w:left w:val="single" w:color="FFFFFF" w:sz="6" w:space="0"/>
              <w:right w:val="single" w:color="FFFFFF" w:sz="6" w:space="0"/>
            </w:tcBorders>
            <w:vAlign w:val="center"/>
          </w:tcPr>
          <w:p>
            <w:pPr>
              <w:pStyle w:val="7"/>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419.58</w:t>
            </w:r>
          </w:p>
        </w:tc>
        <w:tc>
          <w:tcPr>
            <w:tcW w:w="3402" w:type="dxa"/>
            <w:vAlign w:val="center"/>
          </w:tcPr>
          <w:p>
            <w:pPr>
              <w:pStyle w:val="11"/>
            </w:pPr>
            <w:r>
              <w:t>一、一般公共服务支出</w:t>
            </w:r>
          </w:p>
        </w:tc>
        <w:tc>
          <w:tcPr>
            <w:tcW w:w="1474" w:type="dxa"/>
            <w:vAlign w:val="center"/>
          </w:tcPr>
          <w:p>
            <w:pPr>
              <w:pStyle w:val="10"/>
            </w:pPr>
            <w:r>
              <w:t>394.94</w:t>
            </w:r>
          </w:p>
        </w:tc>
        <w:tc>
          <w:tcPr>
            <w:tcW w:w="1474" w:type="dxa"/>
            <w:vAlign w:val="center"/>
          </w:tcPr>
          <w:p>
            <w:pPr>
              <w:pStyle w:val="10"/>
            </w:pPr>
            <w:r>
              <w:t>394.94</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11.02</w:t>
            </w:r>
          </w:p>
        </w:tc>
        <w:tc>
          <w:tcPr>
            <w:tcW w:w="1474" w:type="dxa"/>
            <w:vAlign w:val="center"/>
          </w:tcPr>
          <w:p>
            <w:pPr>
              <w:pStyle w:val="10"/>
            </w:pPr>
            <w:r>
              <w:t>11.02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4.96</w:t>
            </w:r>
          </w:p>
        </w:tc>
        <w:tc>
          <w:tcPr>
            <w:tcW w:w="1474" w:type="dxa"/>
            <w:vAlign w:val="center"/>
          </w:tcPr>
          <w:p>
            <w:pPr>
              <w:pStyle w:val="10"/>
            </w:pPr>
            <w:r>
              <w:t>4.96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8.65</w:t>
            </w:r>
          </w:p>
        </w:tc>
        <w:tc>
          <w:tcPr>
            <w:tcW w:w="1474" w:type="dxa"/>
            <w:vAlign w:val="center"/>
          </w:tcPr>
          <w:p>
            <w:pPr>
              <w:pStyle w:val="10"/>
            </w:pPr>
            <w:r>
              <w:t>8.65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三十一、往来性收支</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3"/>
            </w:pPr>
            <w:r>
              <w:t>本年收入合计</w:t>
            </w:r>
          </w:p>
        </w:tc>
        <w:tc>
          <w:tcPr>
            <w:tcW w:w="1474" w:type="dxa"/>
            <w:vAlign w:val="center"/>
          </w:tcPr>
          <w:p>
            <w:pPr>
              <w:pStyle w:val="14"/>
            </w:pPr>
            <w:r>
              <w:t>419.58</w:t>
            </w:r>
          </w:p>
        </w:tc>
        <w:tc>
          <w:tcPr>
            <w:tcW w:w="3402" w:type="dxa"/>
            <w:vAlign w:val="center"/>
          </w:tcPr>
          <w:p>
            <w:pPr>
              <w:pStyle w:val="13"/>
            </w:pPr>
            <w:r>
              <w:t>本年支出合计</w:t>
            </w:r>
          </w:p>
        </w:tc>
        <w:tc>
          <w:tcPr>
            <w:tcW w:w="1474" w:type="dxa"/>
            <w:vAlign w:val="center"/>
          </w:tcPr>
          <w:p>
            <w:pPr>
              <w:pStyle w:val="14"/>
            </w:pPr>
            <w:r>
              <w:t>419.58</w:t>
            </w:r>
          </w:p>
        </w:tc>
        <w:tc>
          <w:tcPr>
            <w:tcW w:w="1474" w:type="dxa"/>
            <w:vAlign w:val="center"/>
          </w:tcPr>
          <w:p>
            <w:pPr>
              <w:pStyle w:val="14"/>
            </w:pPr>
            <w:r>
              <w:t>419.58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37</w:t>
            </w:r>
          </w:p>
        </w:tc>
        <w:tc>
          <w:tcPr>
            <w:tcW w:w="3402" w:type="dxa"/>
            <w:vAlign w:val="center"/>
          </w:tcPr>
          <w:p>
            <w:pPr>
              <w:pStyle w:val="13"/>
            </w:pPr>
            <w:r>
              <w:t>收入总计</w:t>
            </w:r>
          </w:p>
        </w:tc>
        <w:tc>
          <w:tcPr>
            <w:tcW w:w="1474" w:type="dxa"/>
            <w:vAlign w:val="center"/>
          </w:tcPr>
          <w:p>
            <w:pPr>
              <w:pStyle w:val="14"/>
            </w:pPr>
            <w:r>
              <w:t>419.58</w:t>
            </w:r>
          </w:p>
        </w:tc>
        <w:tc>
          <w:tcPr>
            <w:tcW w:w="3402" w:type="dxa"/>
            <w:vAlign w:val="center"/>
          </w:tcPr>
          <w:p>
            <w:pPr>
              <w:pStyle w:val="13"/>
            </w:pPr>
            <w:r>
              <w:t>支出总计</w:t>
            </w:r>
          </w:p>
        </w:tc>
        <w:tc>
          <w:tcPr>
            <w:tcW w:w="1474" w:type="dxa"/>
            <w:vAlign w:val="center"/>
          </w:tcPr>
          <w:p>
            <w:pPr>
              <w:pStyle w:val="14"/>
            </w:pPr>
            <w:r>
              <w:t>419.58</w:t>
            </w:r>
          </w:p>
        </w:tc>
        <w:tc>
          <w:tcPr>
            <w:tcW w:w="1474" w:type="dxa"/>
            <w:vAlign w:val="center"/>
          </w:tcPr>
          <w:p>
            <w:pPr>
              <w:pStyle w:val="14"/>
            </w:pPr>
            <w:r>
              <w:t>419.58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419.58</w:t>
            </w:r>
          </w:p>
        </w:tc>
        <w:tc>
          <w:tcPr>
            <w:tcW w:w="2551" w:type="dxa"/>
            <w:vAlign w:val="center"/>
          </w:tcPr>
          <w:p>
            <w:pPr>
              <w:pStyle w:val="14"/>
            </w:pPr>
            <w:r>
              <w:t>131.46</w:t>
            </w:r>
          </w:p>
        </w:tc>
        <w:tc>
          <w:tcPr>
            <w:tcW w:w="2551" w:type="dxa"/>
            <w:vAlign w:val="center"/>
          </w:tcPr>
          <w:p>
            <w:pPr>
              <w:pStyle w:val="14"/>
            </w:pPr>
            <w:r>
              <w:t>288.12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201</w:t>
            </w:r>
          </w:p>
        </w:tc>
        <w:tc>
          <w:tcPr>
            <w:tcW w:w="4535" w:type="dxa"/>
            <w:vAlign w:val="center"/>
          </w:tcPr>
          <w:p>
            <w:pPr>
              <w:pStyle w:val="11"/>
            </w:pPr>
            <w:r>
              <w:t>一般公共服务支出</w:t>
            </w:r>
          </w:p>
        </w:tc>
        <w:tc>
          <w:tcPr>
            <w:tcW w:w="2551" w:type="dxa"/>
            <w:vAlign w:val="center"/>
          </w:tcPr>
          <w:p>
            <w:pPr>
              <w:pStyle w:val="10"/>
            </w:pPr>
            <w:r>
              <w:t>394.94</w:t>
            </w:r>
          </w:p>
        </w:tc>
        <w:tc>
          <w:tcPr>
            <w:tcW w:w="2551" w:type="dxa"/>
            <w:vAlign w:val="center"/>
          </w:tcPr>
          <w:p>
            <w:pPr>
              <w:pStyle w:val="10"/>
            </w:pPr>
            <w:r>
              <w:t>106.82</w:t>
            </w:r>
          </w:p>
        </w:tc>
        <w:tc>
          <w:tcPr>
            <w:tcW w:w="2551" w:type="dxa"/>
            <w:vAlign w:val="center"/>
          </w:tcPr>
          <w:p>
            <w:pPr>
              <w:pStyle w:val="10"/>
            </w:pPr>
            <w:r>
              <w:t>288.12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20129</w:t>
            </w:r>
          </w:p>
        </w:tc>
        <w:tc>
          <w:tcPr>
            <w:tcW w:w="4535" w:type="dxa"/>
            <w:vAlign w:val="center"/>
          </w:tcPr>
          <w:p>
            <w:pPr>
              <w:pStyle w:val="11"/>
            </w:pPr>
            <w:r>
              <w:t>群众团体事务</w:t>
            </w:r>
          </w:p>
        </w:tc>
        <w:tc>
          <w:tcPr>
            <w:tcW w:w="2551" w:type="dxa"/>
            <w:vAlign w:val="center"/>
          </w:tcPr>
          <w:p>
            <w:pPr>
              <w:pStyle w:val="10"/>
            </w:pPr>
            <w:r>
              <w:t>394.94</w:t>
            </w:r>
          </w:p>
        </w:tc>
        <w:tc>
          <w:tcPr>
            <w:tcW w:w="2551" w:type="dxa"/>
            <w:vAlign w:val="center"/>
          </w:tcPr>
          <w:p>
            <w:pPr>
              <w:pStyle w:val="10"/>
            </w:pPr>
            <w:r>
              <w:t>106.82</w:t>
            </w:r>
          </w:p>
        </w:tc>
        <w:tc>
          <w:tcPr>
            <w:tcW w:w="2551" w:type="dxa"/>
            <w:vAlign w:val="center"/>
          </w:tcPr>
          <w:p>
            <w:pPr>
              <w:pStyle w:val="10"/>
            </w:pPr>
            <w:r>
              <w:t>288.12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2012901</w:t>
            </w:r>
          </w:p>
        </w:tc>
        <w:tc>
          <w:tcPr>
            <w:tcW w:w="4535" w:type="dxa"/>
            <w:vAlign w:val="center"/>
          </w:tcPr>
          <w:p>
            <w:pPr>
              <w:pStyle w:val="11"/>
            </w:pPr>
            <w:r>
              <w:t>行政运行</w:t>
            </w:r>
          </w:p>
        </w:tc>
        <w:tc>
          <w:tcPr>
            <w:tcW w:w="2551" w:type="dxa"/>
            <w:vAlign w:val="center"/>
          </w:tcPr>
          <w:p>
            <w:pPr>
              <w:pStyle w:val="10"/>
            </w:pPr>
            <w:r>
              <w:t>394.94</w:t>
            </w:r>
          </w:p>
        </w:tc>
        <w:tc>
          <w:tcPr>
            <w:tcW w:w="2551" w:type="dxa"/>
            <w:vAlign w:val="center"/>
          </w:tcPr>
          <w:p>
            <w:pPr>
              <w:pStyle w:val="10"/>
            </w:pPr>
            <w:r>
              <w:t>106.82</w:t>
            </w:r>
          </w:p>
        </w:tc>
        <w:tc>
          <w:tcPr>
            <w:tcW w:w="2551" w:type="dxa"/>
            <w:vAlign w:val="center"/>
          </w:tcPr>
          <w:p>
            <w:pPr>
              <w:pStyle w:val="10"/>
            </w:pPr>
            <w:r>
              <w:t>288.12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11.02</w:t>
            </w:r>
          </w:p>
        </w:tc>
        <w:tc>
          <w:tcPr>
            <w:tcW w:w="2551" w:type="dxa"/>
            <w:vAlign w:val="center"/>
          </w:tcPr>
          <w:p>
            <w:pPr>
              <w:pStyle w:val="10"/>
            </w:pPr>
            <w:r>
              <w:t>11.02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11.02</w:t>
            </w:r>
          </w:p>
        </w:tc>
        <w:tc>
          <w:tcPr>
            <w:tcW w:w="2551" w:type="dxa"/>
            <w:vAlign w:val="center"/>
          </w:tcPr>
          <w:p>
            <w:pPr>
              <w:pStyle w:val="10"/>
            </w:pPr>
            <w:r>
              <w:t>11.02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11.02</w:t>
            </w:r>
          </w:p>
        </w:tc>
        <w:tc>
          <w:tcPr>
            <w:tcW w:w="2551" w:type="dxa"/>
            <w:vAlign w:val="center"/>
          </w:tcPr>
          <w:p>
            <w:pPr>
              <w:pStyle w:val="10"/>
            </w:pPr>
            <w:r>
              <w:t>11.02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4.96</w:t>
            </w:r>
          </w:p>
        </w:tc>
        <w:tc>
          <w:tcPr>
            <w:tcW w:w="2551" w:type="dxa"/>
            <w:vAlign w:val="center"/>
          </w:tcPr>
          <w:p>
            <w:pPr>
              <w:pStyle w:val="10"/>
            </w:pPr>
            <w:r>
              <w:t>4.96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4.96</w:t>
            </w:r>
          </w:p>
        </w:tc>
        <w:tc>
          <w:tcPr>
            <w:tcW w:w="2551" w:type="dxa"/>
            <w:vAlign w:val="center"/>
          </w:tcPr>
          <w:p>
            <w:pPr>
              <w:pStyle w:val="10"/>
            </w:pPr>
            <w:r>
              <w:t>4.96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2101101</w:t>
            </w:r>
          </w:p>
        </w:tc>
        <w:tc>
          <w:tcPr>
            <w:tcW w:w="4535" w:type="dxa"/>
            <w:vAlign w:val="center"/>
          </w:tcPr>
          <w:p>
            <w:pPr>
              <w:pStyle w:val="11"/>
            </w:pPr>
            <w:r>
              <w:t>行政单位医疗</w:t>
            </w:r>
          </w:p>
        </w:tc>
        <w:tc>
          <w:tcPr>
            <w:tcW w:w="2551" w:type="dxa"/>
            <w:vAlign w:val="center"/>
          </w:tcPr>
          <w:p>
            <w:pPr>
              <w:pStyle w:val="10"/>
            </w:pPr>
            <w:r>
              <w:t>4.96</w:t>
            </w:r>
          </w:p>
        </w:tc>
        <w:tc>
          <w:tcPr>
            <w:tcW w:w="2551" w:type="dxa"/>
            <w:vAlign w:val="center"/>
          </w:tcPr>
          <w:p>
            <w:pPr>
              <w:pStyle w:val="10"/>
            </w:pPr>
            <w:r>
              <w:t>4.96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8.65</w:t>
            </w:r>
          </w:p>
        </w:tc>
        <w:tc>
          <w:tcPr>
            <w:tcW w:w="2551" w:type="dxa"/>
            <w:vAlign w:val="center"/>
          </w:tcPr>
          <w:p>
            <w:pPr>
              <w:pStyle w:val="10"/>
            </w:pPr>
            <w:r>
              <w:t>8.65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8.65</w:t>
            </w:r>
          </w:p>
        </w:tc>
        <w:tc>
          <w:tcPr>
            <w:tcW w:w="2551" w:type="dxa"/>
            <w:vAlign w:val="center"/>
          </w:tcPr>
          <w:p>
            <w:pPr>
              <w:pStyle w:val="10"/>
            </w:pPr>
            <w:r>
              <w:t>8.65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8.65</w:t>
            </w:r>
          </w:p>
        </w:tc>
        <w:tc>
          <w:tcPr>
            <w:tcW w:w="2551" w:type="dxa"/>
            <w:vAlign w:val="center"/>
          </w:tcPr>
          <w:p>
            <w:pPr>
              <w:pStyle w:val="10"/>
            </w:pPr>
            <w:r>
              <w:t>8.65</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131.46</w:t>
            </w:r>
          </w:p>
        </w:tc>
        <w:tc>
          <w:tcPr>
            <w:tcW w:w="2551" w:type="dxa"/>
            <w:vAlign w:val="center"/>
          </w:tcPr>
          <w:p>
            <w:pPr>
              <w:pStyle w:val="14"/>
            </w:pPr>
            <w:r>
              <w:t>124.32</w:t>
            </w:r>
          </w:p>
        </w:tc>
        <w:tc>
          <w:tcPr>
            <w:tcW w:w="2551" w:type="dxa"/>
            <w:vAlign w:val="center"/>
          </w:tcPr>
          <w:p>
            <w:pPr>
              <w:pStyle w:val="14"/>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97.90</w:t>
            </w:r>
          </w:p>
        </w:tc>
        <w:tc>
          <w:tcPr>
            <w:tcW w:w="2551" w:type="dxa"/>
            <w:vAlign w:val="center"/>
          </w:tcPr>
          <w:p>
            <w:pPr>
              <w:pStyle w:val="10"/>
            </w:pPr>
            <w:r>
              <w:t>97.90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45.51</w:t>
            </w:r>
          </w:p>
        </w:tc>
        <w:tc>
          <w:tcPr>
            <w:tcW w:w="2551" w:type="dxa"/>
            <w:vAlign w:val="center"/>
          </w:tcPr>
          <w:p>
            <w:pPr>
              <w:pStyle w:val="10"/>
            </w:pPr>
            <w:r>
              <w:t>45.51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13.35</w:t>
            </w:r>
          </w:p>
        </w:tc>
        <w:tc>
          <w:tcPr>
            <w:tcW w:w="2551" w:type="dxa"/>
            <w:vAlign w:val="center"/>
          </w:tcPr>
          <w:p>
            <w:pPr>
              <w:pStyle w:val="10"/>
            </w:pPr>
            <w:r>
              <w:t>13.35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0"/>
            </w:pPr>
            <w:r>
              <w:t>14.10</w:t>
            </w:r>
          </w:p>
        </w:tc>
        <w:tc>
          <w:tcPr>
            <w:tcW w:w="2551" w:type="dxa"/>
            <w:vAlign w:val="center"/>
          </w:tcPr>
          <w:p>
            <w:pPr>
              <w:pStyle w:val="10"/>
            </w:pPr>
            <w:r>
              <w:t>14.10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11.02</w:t>
            </w:r>
          </w:p>
        </w:tc>
        <w:tc>
          <w:tcPr>
            <w:tcW w:w="2551" w:type="dxa"/>
            <w:vAlign w:val="center"/>
          </w:tcPr>
          <w:p>
            <w:pPr>
              <w:pStyle w:val="10"/>
            </w:pPr>
            <w:r>
              <w:t>11.02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4.96</w:t>
            </w:r>
          </w:p>
        </w:tc>
        <w:tc>
          <w:tcPr>
            <w:tcW w:w="2551" w:type="dxa"/>
            <w:vAlign w:val="center"/>
          </w:tcPr>
          <w:p>
            <w:pPr>
              <w:pStyle w:val="10"/>
            </w:pPr>
            <w:r>
              <w:t>4.96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0.31</w:t>
            </w:r>
          </w:p>
        </w:tc>
        <w:tc>
          <w:tcPr>
            <w:tcW w:w="2551" w:type="dxa"/>
            <w:vAlign w:val="center"/>
          </w:tcPr>
          <w:p>
            <w:pPr>
              <w:pStyle w:val="10"/>
            </w:pPr>
            <w:r>
              <w:t>0.31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8.65</w:t>
            </w:r>
          </w:p>
        </w:tc>
        <w:tc>
          <w:tcPr>
            <w:tcW w:w="2551" w:type="dxa"/>
            <w:vAlign w:val="center"/>
          </w:tcPr>
          <w:p>
            <w:pPr>
              <w:pStyle w:val="10"/>
            </w:pPr>
            <w:r>
              <w:t>8.65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7.14</w:t>
            </w:r>
          </w:p>
        </w:tc>
        <w:tc>
          <w:tcPr>
            <w:tcW w:w="2551" w:type="dxa"/>
            <w:vAlign w:val="center"/>
          </w:tcPr>
          <w:p>
            <w:pPr>
              <w:pStyle w:val="10"/>
            </w:pPr>
          </w:p>
        </w:tc>
        <w:tc>
          <w:tcPr>
            <w:tcW w:w="2551" w:type="dxa"/>
            <w:vAlign w:val="center"/>
          </w:tcPr>
          <w:p>
            <w:pPr>
              <w:pStyle w:val="10"/>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0"/>
            </w:pPr>
            <w:r>
              <w:t>7.14</w:t>
            </w:r>
          </w:p>
        </w:tc>
        <w:tc>
          <w:tcPr>
            <w:tcW w:w="2551" w:type="dxa"/>
            <w:vAlign w:val="center"/>
          </w:tcPr>
          <w:p>
            <w:pPr>
              <w:pStyle w:val="10"/>
            </w:pPr>
          </w:p>
        </w:tc>
        <w:tc>
          <w:tcPr>
            <w:tcW w:w="2551" w:type="dxa"/>
            <w:vAlign w:val="center"/>
          </w:tcPr>
          <w:p>
            <w:pPr>
              <w:pStyle w:val="10"/>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26.42</w:t>
            </w:r>
          </w:p>
        </w:tc>
        <w:tc>
          <w:tcPr>
            <w:tcW w:w="2551" w:type="dxa"/>
            <w:vAlign w:val="center"/>
          </w:tcPr>
          <w:p>
            <w:pPr>
              <w:pStyle w:val="10"/>
            </w:pPr>
            <w:r>
              <w:t>26.42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26.06</w:t>
            </w:r>
          </w:p>
        </w:tc>
        <w:tc>
          <w:tcPr>
            <w:tcW w:w="2551" w:type="dxa"/>
            <w:vAlign w:val="center"/>
          </w:tcPr>
          <w:p>
            <w:pPr>
              <w:pStyle w:val="10"/>
            </w:pPr>
            <w:r>
              <w:t>26.06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0"/>
            </w:pPr>
            <w:r>
              <w:t>0.36</w:t>
            </w:r>
          </w:p>
        </w:tc>
        <w:tc>
          <w:tcPr>
            <w:tcW w:w="2551" w:type="dxa"/>
            <w:vAlign w:val="center"/>
          </w:tcPr>
          <w:p>
            <w:pPr>
              <w:pStyle w:val="10"/>
            </w:pPr>
            <w:r>
              <w:t>0.36</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711隆尧县总工会</w:t>
            </w:r>
          </w:p>
        </w:tc>
        <w:tc>
          <w:tcPr>
            <w:tcW w:w="2381" w:type="dxa"/>
            <w:tcBorders>
              <w:top w:val="single" w:color="FFFFFF" w:sz="6" w:space="0"/>
              <w:left w:val="single" w:color="FFFFFF" w:sz="6" w:space="0"/>
              <w:right w:val="single" w:color="FFFFFF" w:sz="6" w:space="0"/>
            </w:tcBorders>
            <w:vAlign w:val="center"/>
          </w:tcPr>
          <w:p>
            <w:pPr>
              <w:pStyle w:val="7"/>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1"/>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隆尧县总工会2024年部门预算信息公开情况说明</w:t>
      </w:r>
    </w:p>
    <w:p>
      <w:pPr>
        <w:jc w:val="center"/>
      </w:pPr>
      <w:r>
        <w:rPr>
          <w:rFonts w:ascii="方正小标宋_GBK" w:hAnsi="方正小标宋_GBK" w:eastAsia="方正小标宋_GBK" w:cs="方正小标宋_GBK"/>
          <w:color w:val="000000"/>
          <w:sz w:val="44"/>
        </w:rPr>
        <w:t>隆尧县总工会2024年部门预算信息公开情况说明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按照《中华人民共和国预算法》、《地方预决算公开操作规程》和《关于进一步推进预算公开工作的实施意见》规定，现将隆尧县总工会2024年部门预算公开如下：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部门职责：</w:t>
      </w:r>
    </w:p>
    <w:p>
      <w:pPr>
        <w:pStyle w:val="27"/>
      </w:pPr>
      <w:r>
        <w:t>根据《隆尧县总工会职能配置、内设机构和人员编制规定》，隆尧县总工会的主要职责是：</w:t>
      </w:r>
    </w:p>
    <w:p>
      <w:pPr>
        <w:pStyle w:val="27"/>
      </w:pPr>
      <w:r>
        <w:t>隆尧县总工会是全县各级地方工会和产业工会地方组织的领导机关，由中共隆尧县委和邢台市总工会直接领导。依据《中华人民共和国工会法》和《中国工会章程》的规定，县总工会机关的主要任务是：</w:t>
      </w:r>
    </w:p>
    <w:p>
      <w:pPr>
        <w:pStyle w:val="27"/>
      </w:pPr>
      <w:r>
        <w:t>（一）根据党的基本理论、基本路线和基本纲领，遵照全国总工会、省总工会和市总工会确定的工会工作指导方针和任务，围绕中心，服务大局，指导全县工会工作。</w:t>
      </w:r>
    </w:p>
    <w:p>
      <w:pPr>
        <w:pStyle w:val="27"/>
      </w:pPr>
      <w:r>
        <w:t>（二）贯彻执行全国总工会、省总工会、市总工会和县总工会代表大会的决议，依照法律和章程，组织和指导全县各级工会履行工会“组织、引导、服务、维护”等社会职能，开展工会各项业务工作。</w:t>
      </w:r>
    </w:p>
    <w:p>
      <w:pPr>
        <w:pStyle w:val="27"/>
      </w:pPr>
      <w:r>
        <w:t>（三）对职工最关心、最直接、最现实的利益问题认真调查研究，及时向县委、县人民政府和上级工会反映职工的呼声、愿望和诉求，并提出意见和建议；参与涉及职工切身利益的有关政策、措施和制度的制定；组织开展扶贫帮困、“送温暖”、“双联”和金秋助学工作；对侵犯职工合法权益的重大事件进行调查并提</w:t>
      </w:r>
    </w:p>
    <w:p>
      <w:pPr>
        <w:pStyle w:val="27"/>
      </w:pPr>
      <w:r>
        <w:t>出处理意见，参与职工重大的伤亡事故的调查处理。</w:t>
      </w:r>
    </w:p>
    <w:p>
      <w:pPr>
        <w:pStyle w:val="27"/>
      </w:pPr>
      <w:r>
        <w:t>（四）研究制订工会干部管理制度和培训规划，配合上级工会做好工会领导干部的培训工作；负责主管范围内的各级工会委员会选举结果的审查批准工作。</w:t>
      </w:r>
    </w:p>
    <w:p>
      <w:pPr>
        <w:pStyle w:val="27"/>
      </w:pPr>
      <w:r>
        <w:t>（五）组织职工依法行使民主权利，发挥主人翁作用。指导基层工会组织开展以职工代表大会为基本形式的民主管理、民主监督工作和厂务公开、政务公开工作；</w:t>
      </w:r>
    </w:p>
    <w:p>
      <w:pPr>
        <w:pStyle w:val="27"/>
      </w:pPr>
      <w:r>
        <w:t>（六）参与劳动关系协调工作，努力推动《中华人民共和国劳动法》和《中华人民共和国劳动合同法》等与职工劳动权益关系密切的法律法规贯彻实施；建立健全维护包括农民工在内的职工劳动权益平等协商集体合同和工资集体协商制度；在依法维护企事业单位整体利益的同时，依法维护工会和职工合法权益。</w:t>
      </w:r>
    </w:p>
    <w:p>
      <w:pPr>
        <w:pStyle w:val="27"/>
      </w:pPr>
      <w:r>
        <w:t>（七）动员和组织全县职工积极参加社会主义现代化建设，指导基层工会开展社会主义劳动竞赛、合理化建议、节能减排、技术创新和技术协作等工作；会同有关部门共同做好劳动模范和先进工作者的培养、推荐、评选、表彰、管理和服务工作。</w:t>
      </w:r>
    </w:p>
    <w:p>
      <w:pPr>
        <w:pStyle w:val="27"/>
      </w:pPr>
      <w:r>
        <w:t>（八）负责指导全县各级工会加强对职工进行爱国主义、集体主义、社会主义教育和民主、法制、纪律教育以及科学、文化、技术教育，组织职工开展文体活动，不断提高职工的思想道德素质、技术技能素质和科学文化素质，培养和建设有理想、有道德、有文化、有纪律的职工队伍。</w:t>
      </w:r>
    </w:p>
    <w:p>
      <w:pPr>
        <w:pStyle w:val="27"/>
      </w:pPr>
      <w:r>
        <w:t>（九）负责工会经费的收缴、管理、使用、审查和审计工作；</w:t>
      </w:r>
    </w:p>
    <w:p>
      <w:pPr>
        <w:pStyle w:val="27"/>
      </w:pPr>
      <w:r>
        <w:t>指导各级工会加强财产管理，兴办工会实业，确保工会资产保值</w:t>
      </w:r>
    </w:p>
    <w:p>
      <w:pPr>
        <w:pStyle w:val="27"/>
      </w:pPr>
      <w:r>
        <w:t>增值。</w:t>
      </w:r>
    </w:p>
    <w:p>
      <w:pPr>
        <w:pStyle w:val="27"/>
      </w:pPr>
      <w:r>
        <w:t>（十）指导和管理全县各级工会女职工工作，组织女职工开展适合自身特点的活动，依法维护女职工特殊权益和合法权益，</w:t>
      </w:r>
    </w:p>
    <w:p>
      <w:pPr>
        <w:pStyle w:val="27"/>
      </w:pPr>
      <w:r>
        <w:t>（十一）负责全县工会组织的涉外工作。</w:t>
      </w:r>
    </w:p>
    <w:p>
      <w:pPr>
        <w:pStyle w:val="27"/>
      </w:pPr>
      <w:r>
        <w:t>（十二）承担县委、县人民政府和上级工会交办的其他工作。</w:t>
      </w:r>
    </w:p>
    <w:p>
      <w:pPr>
        <w:pStyle w:val="27"/>
        <w:rPr>
          <w:rFonts w:eastAsiaTheme="minorEastAsia"/>
          <w:lang w:eastAsia="zh-CN"/>
        </w:rPr>
      </w:pPr>
      <w:r>
        <w:t>隆尧县总工会本级作为财政预单位。机关内设办公室、财务部、组织宣教部、经济保障部4个部室。县总工会现有行政编制4个，实有人数</w:t>
      </w:r>
      <w:r>
        <w:rPr>
          <w:rFonts w:hint="eastAsia" w:eastAsiaTheme="minorEastAsia"/>
          <w:lang w:eastAsia="zh-CN"/>
        </w:rPr>
        <w:t>8</w:t>
      </w:r>
      <w:r>
        <w:t>人，事业编制1</w:t>
      </w:r>
      <w:r>
        <w:rPr>
          <w:rFonts w:hint="eastAsia" w:eastAsiaTheme="minorEastAsia"/>
          <w:lang w:eastAsia="zh-CN"/>
        </w:rPr>
        <w:t>0</w:t>
      </w:r>
      <w:r>
        <w:t>个，实有人数1</w:t>
      </w:r>
      <w:r>
        <w:rPr>
          <w:rFonts w:hint="eastAsia" w:eastAsiaTheme="minorEastAsia"/>
          <w:lang w:eastAsia="zh-CN"/>
        </w:rPr>
        <w:t>0</w:t>
      </w:r>
    </w:p>
    <w:p>
      <w:pPr>
        <w:ind w:firstLine="640"/>
        <w:rPr>
          <w:rFonts w:eastAsiaTheme="minorEastAsia"/>
          <w:lang w:eastAsia="zh-CN"/>
        </w:rPr>
      </w:pPr>
    </w:p>
    <w:p>
      <w:pPr>
        <w:pStyle w:val="1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隆尧县总工会本级</w:t>
            </w:r>
          </w:p>
        </w:tc>
        <w:tc>
          <w:tcPr>
            <w:tcW w:w="1843" w:type="dxa"/>
            <w:vAlign w:val="center"/>
          </w:tcPr>
          <w:p>
            <w:pPr>
              <w:pStyle w:val="12"/>
            </w:pPr>
            <w:r>
              <w:t>行政</w:t>
            </w:r>
          </w:p>
        </w:tc>
        <w:tc>
          <w:tcPr>
            <w:tcW w:w="2126" w:type="dxa"/>
            <w:vAlign w:val="center"/>
          </w:tcPr>
          <w:p>
            <w:pPr>
              <w:pStyle w:val="12"/>
            </w:pPr>
            <w:r>
              <w:t>副处（县）级</w:t>
            </w:r>
          </w:p>
        </w:tc>
        <w:tc>
          <w:tcPr>
            <w:tcW w:w="3827" w:type="dxa"/>
            <w:vAlign w:val="center"/>
          </w:tcPr>
          <w:p>
            <w:pPr>
              <w:pStyle w:val="12"/>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7"/>
      </w:pPr>
      <w:r>
        <w:t>按照预算管理有关规定，目前我县部门预算的编制实行综合预算管理，即全部收入和支出都反映在预算中。</w:t>
      </w:r>
    </w:p>
    <w:p>
      <w:pPr>
        <w:pStyle w:val="17"/>
      </w:pPr>
      <w:r>
        <w:t>1、收入说明</w:t>
      </w:r>
    </w:p>
    <w:p>
      <w:pPr>
        <w:pStyle w:val="17"/>
      </w:pPr>
      <w:r>
        <w:t>反映本部门当年全部收入。2024年预算收入419.58万元，其中：一般公共预算收入419.58万元，基金预算收入0万元，国有资本经营预算收入0万元，财政专户核拨收入0万元，单位资金收入0万元，上年结转结余0万元。</w:t>
      </w:r>
    </w:p>
    <w:p>
      <w:pPr>
        <w:pStyle w:val="17"/>
      </w:pPr>
      <w:r>
        <w:t>2、支出说明</w:t>
      </w:r>
    </w:p>
    <w:p>
      <w:pPr>
        <w:pStyle w:val="17"/>
      </w:pPr>
      <w:r>
        <w:t>收支预算总表支出栏、基本支出表、项目支出表按经济分类和支出功能分类科目编制，反映河北省财政厅年度部门预算中支出预算的总体情况。2024年支出预算419.58万元，其中基本支出131.46万元，包括人员经费124.32万元和日常公用经费7.14万元；项目支出288.12万元，主要为上解工会经费，人员工资、工会业务开展经费等。</w:t>
      </w:r>
    </w:p>
    <w:p>
      <w:pPr>
        <w:pStyle w:val="17"/>
      </w:pPr>
      <w:r>
        <w:t>3、比上年增减情况</w:t>
      </w:r>
    </w:p>
    <w:p>
      <w:pPr>
        <w:pStyle w:val="17"/>
      </w:pPr>
      <w:r>
        <w:t>2024年预算收支安排419.58万元，较2023年预算增加3.01万元，主要为增加人员经费支出。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8"/>
      </w:pPr>
      <w:r>
        <w:t>2024年，我部门运行经费共计安排7.1万元，主要用于公务交通补贴。</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9"/>
      </w:pPr>
      <w:r>
        <w:t>2024年，我部门财政拨款“三公”经费预算安排0万元，其中因公出国（境）费0万元；公务用车购置及运维费0万元（其中：公务用车购置费为0万元，公务用车运行维护费0万元)；公务接待费0万元。与2023年相比持平，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0"/>
      </w:pPr>
      <w:r>
        <w:t>一、总体效目标</w:t>
      </w:r>
    </w:p>
    <w:p>
      <w:pPr>
        <w:pStyle w:val="20"/>
      </w:pPr>
      <w:r>
        <w:t>隆尧县总工会贯彻执行国家财税方针政策，按照工会的参与、维护、建设、教育等四能职能，遵 照《工会法》及其他法规、政策开展好工会工作。</w:t>
      </w:r>
    </w:p>
    <w:p>
      <w:pPr>
        <w:pStyle w:val="20"/>
      </w:pPr>
      <w:r>
        <w:t xml:space="preserve">（一）、组织联系职工群众的职能：  工会组织是历史上形成的工人群众最容易接受的一种组织形式。工人阶级要实现自己的历史使命,必须通过工会使工人阶级作为一种阶级组织起来。在社会主义条件下,工会仍然作为工人阶级的一种重要的组织形式继续存在着。工会组织联系职工群众的职能的实质是,通过工会最广泛的把职工群众组织起来,建立起党和职工群众、国家和职工群众之间的联系:通过工会的日常工作,不断地把党的纲领、任务和政策同职工群众的意愿和要求紧密结合起来,成为职工群众的自觉行动,从而使工会运动同实现工人阶级历史使命结合起来。 </w:t>
      </w:r>
    </w:p>
    <w:p>
      <w:pPr>
        <w:pStyle w:val="20"/>
      </w:pPr>
      <w:r>
        <w:t xml:space="preserve">（二）、保护职工群众利益的职能：    </w:t>
      </w:r>
    </w:p>
    <w:p>
      <w:pPr>
        <w:pStyle w:val="20"/>
      </w:pPr>
      <w:r>
        <w:t>工会本来就是工人群众自愿联合起来维护自己利益的组织,工人阶级成为自己国家的领导阶级之后,工会的保护职能依然存在,在社会主义条件下,工会为了密切联系群众,必须履行保护职工利益的职责,要通过自己的活动,坚兀初二腿决维护职工的合法利益,切实为职工多办事、办好事:同时,工会作为国家领导阶级的群众组织,必须承担保护自己国家的义务,要教育职工提高对国家、集体、个人三者利益一致的认识,自觉地以个人利益服从国家和集体利益,眼前利益服从长远利益。</w:t>
      </w:r>
    </w:p>
    <w:p>
      <w:pPr>
        <w:pStyle w:val="20"/>
      </w:pPr>
      <w:r>
        <w:t xml:space="preserve">（三）、教育职工群众的职能：    </w:t>
      </w:r>
    </w:p>
    <w:p>
      <w:pPr>
        <w:pStyle w:val="20"/>
      </w:pPr>
      <w:r>
        <w:t>教育职工群众认识工人阶级在新时期的地位和肩负的历史责任,不断提高他们的思想政治素质和科学文化素质,发挥工人阶级在社会主义现代化建设中的主导作用,是工会当前最重要的职责。</w:t>
      </w:r>
    </w:p>
    <w:p>
      <w:pPr>
        <w:pStyle w:val="20"/>
      </w:pPr>
      <w:r>
        <w:t xml:space="preserve">（四）、代表和吸引职工群众参与国家建设和管理的职能： </w:t>
      </w:r>
    </w:p>
    <w:p>
      <w:pPr>
        <w:pStyle w:val="20"/>
      </w:pPr>
      <w:r>
        <w:t>工会参与国家建设和管理,主要通过自己的活动,组织吸引职工参与管理，增强职工主人翁责任感,发挥职工建设社会主义的积极性和创造性。</w:t>
      </w:r>
    </w:p>
    <w:p>
      <w:pPr>
        <w:spacing w:line="500" w:lineRule="exact"/>
        <w:ind w:firstLine="560"/>
        <w:rPr>
          <w:rFonts w:hint="eastAsia" w:eastAsia="方正仿宋_GBK"/>
          <w:color w:val="000000"/>
          <w:sz w:val="28"/>
          <w:lang w:eastAsia="zh-CN"/>
        </w:rPr>
      </w:pPr>
      <w:r>
        <w:rPr>
          <w:rFonts w:eastAsia="方正仿宋_GBK"/>
          <w:color w:val="000000"/>
          <w:sz w:val="28"/>
        </w:rPr>
        <w:t>（二）分项绩效目标</w:t>
      </w:r>
    </w:p>
    <w:p>
      <w:pPr>
        <w:pStyle w:val="20"/>
      </w:pPr>
      <w:r>
        <w:rPr>
          <w:rFonts w:hint="eastAsia"/>
        </w:rPr>
        <w:t>1、加强思想政治引领工作，持续开展学习二十大、工会</w:t>
      </w:r>
      <w:r>
        <w:rPr>
          <w:rFonts w:hint="eastAsia"/>
          <w:lang w:val="en-US" w:eastAsia="zh-CN"/>
        </w:rPr>
        <w:t>党的</w:t>
      </w:r>
      <w:r>
        <w:rPr>
          <w:rFonts w:hint="eastAsia"/>
        </w:rPr>
        <w:t>十八大</w:t>
      </w:r>
      <w:bookmarkStart w:id="20" w:name="_GoBack"/>
      <w:bookmarkEnd w:id="20"/>
      <w:r>
        <w:rPr>
          <w:rFonts w:hint="eastAsia"/>
        </w:rPr>
        <w:t>宣讲工作，推动职工思想政治工作再上新台阶，团结引领广大职工在实现高质量发展目标中发挥主力军作用。</w:t>
      </w:r>
    </w:p>
    <w:p>
      <w:pPr>
        <w:pStyle w:val="20"/>
      </w:pPr>
      <w:r>
        <w:rPr>
          <w:rFonts w:hint="eastAsia"/>
        </w:rPr>
        <w:t>2、开展好创业就业培训工作，全面完成市总安排的培训任务。</w:t>
      </w:r>
    </w:p>
    <w:p>
      <w:pPr>
        <w:pStyle w:val="20"/>
      </w:pPr>
      <w:r>
        <w:rPr>
          <w:rFonts w:hint="eastAsia"/>
        </w:rPr>
        <w:t>3、围绕省市工会重点工作，特别是推进职工文化阵地建设、工人文化宫建设、乡镇职工服务中心联络站建设，充分利用劳动广场、职工文体活动基地等阵地，组织开展形式多样的宣传、教育、文体等活动。</w:t>
      </w:r>
    </w:p>
    <w:p>
      <w:pPr>
        <w:pStyle w:val="20"/>
      </w:pPr>
      <w:r>
        <w:rPr>
          <w:rFonts w:hint="eastAsia"/>
        </w:rPr>
        <w:t>4、深入开展建会入会集中行动，扩大工会组织覆盖和会员发展，不断夯实基层组织基础；开展非公有制企业和社会组织工会组建工作，推进区域性、行业性工会联合会建设。通过“重点建、行业建、兜底建”模式，深入推进新就业形态劳动者建会入会，把新就业形态劳动者组织起来、吸引过来；加强民主管理工作，提升职工生活品质。</w:t>
      </w:r>
    </w:p>
    <w:p>
      <w:pPr>
        <w:pStyle w:val="20"/>
        <w:rPr>
          <w:rFonts w:hint="eastAsia"/>
        </w:rPr>
      </w:pPr>
      <w:r>
        <w:rPr>
          <w:rFonts w:hint="eastAsia"/>
        </w:rPr>
        <w:t>5、切实维护劳动领域政治安全。开展送法进企业活动，提高企业职工的法律意识，让广大企业职工学法、懂法、用法，促进企业职工劳动安全、权益维护健康持续发展。</w:t>
      </w:r>
    </w:p>
    <w:p>
      <w:pPr>
        <w:pStyle w:val="20"/>
        <w:rPr>
          <w:rFonts w:hint="eastAsia"/>
          <w:lang w:eastAsia="zh-CN"/>
        </w:rPr>
      </w:pPr>
      <w:r>
        <w:rPr>
          <w:rFonts w:hint="eastAsia"/>
        </w:rPr>
        <w:t>6、通过各种形式的培训、招聘活动等措施，做好工会就业服务工作。做强做细帮扶、送温暖、金秋助学、职工医疗互助、户外劳动者驿站、会聚良缘等工会工作品牌，进一步增强职工的获得感幸福感安全感。</w:t>
      </w:r>
    </w:p>
    <w:p>
      <w:pPr>
        <w:spacing w:line="500" w:lineRule="exact"/>
        <w:ind w:firstLine="560"/>
      </w:pPr>
      <w:r>
        <w:rPr>
          <w:rFonts w:eastAsia="方正仿宋_GBK"/>
          <w:color w:val="000000"/>
          <w:sz w:val="28"/>
        </w:rPr>
        <w:t>（三）工作保障措施</w:t>
      </w:r>
    </w:p>
    <w:p>
      <w:pPr>
        <w:pStyle w:val="22"/>
      </w:pPr>
      <w:r>
        <w:t>1、深入调研，夯实工作基础。深入基层开展专题调研，</w:t>
      </w:r>
    </w:p>
    <w:p>
      <w:pPr>
        <w:pStyle w:val="22"/>
      </w:pPr>
      <w:r>
        <w:t>明确调研走访重点，了解基层工会情况和困难问题，特别是企业所需所盼。坚持以效为准，对收集到的意见建议，认真梳理汇总，找准问题症结，积极主动研究解决思路，分领域形成调研成果，切实转化为工作举措。</w:t>
      </w:r>
    </w:p>
    <w:p>
      <w:pPr>
        <w:pStyle w:val="22"/>
      </w:pPr>
      <w:r>
        <w:t>2、广泛宣传，营造浓厚氛围。充分发挥工会宣传阵地作用，利用公众号和新媒体平台，宣传一线职工先进事迹、榜样典型等优秀内容的宣传工作。积极发挥工会大学校作用，建立健全职工思想政治引领体系，筑牢职工参与社会治理的思想基础。</w:t>
      </w:r>
    </w:p>
    <w:p>
      <w:pPr>
        <w:pStyle w:val="22"/>
      </w:pPr>
      <w:r>
        <w:t>3、强化“小三级”工会组建，强化基层基础。坚持“党建带工建、工建服务党建”，加快推进“会站家”一体化建设，打造一批职工之家（职工小家）示范点和培育点。深入开展“六有”工会创建工作，加大乡镇、园区总工会建设力度，推进基层工会组织规范化建设，增强基层工会活力。</w:t>
      </w:r>
    </w:p>
    <w:p>
      <w:pPr>
        <w:pStyle w:val="22"/>
      </w:pPr>
      <w:r>
        <w:t>4、、做实困难职工解困脱困工作。开展困难职工“解困脱困集中攻坚行动”，针对建档困难职工家庭特点，找准致困原因，做到帮扶对象家庭情况清、致贫原因清、就业技能清、帮扶需求清。</w:t>
      </w:r>
    </w:p>
    <w:p>
      <w:pPr>
        <w:pStyle w:val="22"/>
      </w:pPr>
      <w:r>
        <w:t>5、健全职工保障体系。深化推进政府与工会联席会议制度，推动全县乡镇总工会普遍健全政府与同级工会联席会议制度，并就推动产业工人队伍建设改革、加强职工教育培训、构建和谐劳动关系等涉及职工切身利益的事项形成议题并予以落实，切实发挥联席会议制度的功能作用。</w:t>
      </w:r>
    </w:p>
    <w:p>
      <w:pPr>
        <w:pStyle w:val="22"/>
      </w:pPr>
      <w:r>
        <w:t>6、以劳动竞赛促进人才技能提升。广泛开展隆尧县推进重点项目建设劳动竞赛活动。利用新媒体展播的形式，展示职工技术创新成果。发挥创新工作室在企业的创新作用，带动广大职工钻研技术，攻克技术难关。以积极进取的主动性对冲疫情带来的不确定性，扎实推进各项工作落实、落地。</w:t>
      </w:r>
    </w:p>
    <w:p>
      <w:pPr>
        <w:pStyle w:val="22"/>
      </w:pPr>
      <w:r>
        <w:t>7、完善制度建设。制定完善预算绩效管理制度、资金管理办法、工作保障制度等，为全年预算绩效目标的实现奠定制度基础。</w:t>
      </w:r>
    </w:p>
    <w:p>
      <w:pPr>
        <w:pStyle w:val="22"/>
      </w:pPr>
      <w:r>
        <w:t>8、加强支出管理。通过优化支出结构，编细编实预算等多种措施，确保支出进度达标。</w:t>
      </w:r>
    </w:p>
    <w:p>
      <w:pPr>
        <w:pStyle w:val="22"/>
      </w:pPr>
      <w:r>
        <w:t>9、加强绩效运行监控。开展绩效运行监控，发现问题及时采取措施，确保绩效目标如期保质实现。</w:t>
      </w:r>
    </w:p>
    <w:p>
      <w:pPr>
        <w:pStyle w:val="22"/>
      </w:pPr>
      <w:r>
        <w:t>10、做好绩效自评。开展上年度部门预算绩效自评和重点评价工作，对评价中发现的问题及时整改，调整优化支出结构，提高财政资金使用效益。</w:t>
      </w:r>
    </w:p>
    <w:p>
      <w:pPr>
        <w:pStyle w:val="22"/>
      </w:pPr>
      <w:r>
        <w:t>11、规范财务资产管理。完善财务管理制度，严格审批程序，加强固定资产登记、使用和报废处置管理，做到支出合理，物尽其用。</w:t>
      </w:r>
    </w:p>
    <w:p>
      <w:pPr>
        <w:pStyle w:val="22"/>
      </w:pPr>
      <w:r>
        <w:t>12、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sectPr>
          <w:pgSz w:w="16840" w:h="11900" w:orient="landscape"/>
          <w:pgMar w:top="1361" w:right="1020" w:bottom="1361" w:left="1020" w:header="720" w:footer="720" w:gutter="0"/>
          <w:cols w:space="720" w:num="1"/>
        </w:sectPr>
      </w:pPr>
      <w:r>
        <w:t>13、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ind w:firstLine="1400" w:firstLineChars="500"/>
      </w:pPr>
      <w:r>
        <w:rPr>
          <w:rFonts w:hint="eastAsia" w:ascii="方正仿宋_GBK" w:eastAsia="方正仿宋_GBK"/>
          <w:sz w:val="28"/>
          <w:szCs w:val="28"/>
        </w:rPr>
        <w:t>无专项资金。</w:t>
      </w:r>
    </w:p>
    <w:p>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1、工会经费（工会业务开展经费）绩效目标表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13052524P00001010014C</w:t>
            </w:r>
          </w:p>
        </w:tc>
        <w:tc>
          <w:tcPr>
            <w:tcW w:w="2835" w:type="dxa"/>
            <w:vAlign w:val="center"/>
          </w:tcPr>
          <w:p>
            <w:pPr>
              <w:pStyle w:val="9"/>
            </w:pPr>
            <w:r>
              <w:t>项目名称</w:t>
            </w:r>
          </w:p>
        </w:tc>
        <w:tc>
          <w:tcPr>
            <w:tcW w:w="6095" w:type="dxa"/>
            <w:gridSpan w:val="3"/>
            <w:vAlign w:val="center"/>
          </w:tcPr>
          <w:p>
            <w:pPr>
              <w:pStyle w:val="11"/>
            </w:pPr>
            <w:r>
              <w:t>工会经费（工会业务开展经费）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30.64</w:t>
            </w:r>
          </w:p>
        </w:tc>
        <w:tc>
          <w:tcPr>
            <w:tcW w:w="2835" w:type="dxa"/>
            <w:vAlign w:val="center"/>
          </w:tcPr>
          <w:p>
            <w:pPr>
              <w:pStyle w:val="9"/>
            </w:pPr>
            <w:r>
              <w:t>其中：财政    资金</w:t>
            </w:r>
          </w:p>
        </w:tc>
        <w:tc>
          <w:tcPr>
            <w:tcW w:w="2551" w:type="dxa"/>
            <w:vAlign w:val="center"/>
          </w:tcPr>
          <w:p>
            <w:pPr>
              <w:pStyle w:val="11"/>
            </w:pPr>
            <w:r>
              <w:t>30.64</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工会业务开展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2"/>
              <w:rPr>
                <w:rFonts w:hAnsi="Times New Roman" w:cs="Times New Roman"/>
              </w:rPr>
            </w:pPr>
            <w:r>
              <w:rPr>
                <w:rFonts w:hint="eastAsia" w:hAnsi="Times New Roman" w:cs="Times New Roman"/>
              </w:rPr>
              <w:t>30%</w:t>
            </w:r>
          </w:p>
        </w:tc>
        <w:tc>
          <w:tcPr>
            <w:tcW w:w="2835" w:type="dxa"/>
            <w:vAlign w:val="center"/>
          </w:tcPr>
          <w:p>
            <w:pPr>
              <w:pStyle w:val="12"/>
              <w:rPr>
                <w:rFonts w:hAnsi="Times New Roman" w:cs="Times New Roman"/>
              </w:rPr>
            </w:pPr>
            <w:r>
              <w:rPr>
                <w:rFonts w:hint="eastAsia" w:hAnsi="Times New Roman" w:cs="Times New Roman"/>
              </w:rPr>
              <w:t>60%</w:t>
            </w:r>
          </w:p>
        </w:tc>
        <w:tc>
          <w:tcPr>
            <w:tcW w:w="2551" w:type="dxa"/>
            <w:vAlign w:val="center"/>
          </w:tcPr>
          <w:p>
            <w:pPr>
              <w:pStyle w:val="12"/>
              <w:rPr>
                <w:rFonts w:hAnsi="Times New Roman" w:cs="Times New Roman"/>
              </w:rPr>
            </w:pPr>
            <w:r>
              <w:rPr>
                <w:rFonts w:hint="eastAsia" w:hAnsi="Times New Roman" w:cs="Times New Roman"/>
              </w:rPr>
              <w:t>90%</w:t>
            </w:r>
          </w:p>
        </w:tc>
        <w:tc>
          <w:tcPr>
            <w:tcW w:w="3544" w:type="dxa"/>
            <w:gridSpan w:val="2"/>
            <w:vAlign w:val="center"/>
          </w:tcPr>
          <w:p>
            <w:pPr>
              <w:pStyle w:val="12"/>
              <w:rPr>
                <w:rFonts w:hAnsi="Times New Roman" w:cs="Times New Roman"/>
              </w:rPr>
            </w:pPr>
            <w:r>
              <w:rPr>
                <w:rFonts w:hint="eastAsia" w:hAnsi="Times New Roman" w:cs="Times New Roma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1.运用工会经费组织职工开展活动，为职工提供服务，维护职工合法权益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工会业务开展数量</w:t>
            </w:r>
          </w:p>
        </w:tc>
        <w:tc>
          <w:tcPr>
            <w:tcW w:w="5386" w:type="dxa"/>
            <w:vAlign w:val="center"/>
          </w:tcPr>
          <w:p>
            <w:pPr>
              <w:pStyle w:val="11"/>
            </w:pPr>
            <w:r>
              <w:t>开展数量达到年初计划</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工会业务开展质量</w:t>
            </w:r>
          </w:p>
        </w:tc>
        <w:tc>
          <w:tcPr>
            <w:tcW w:w="5386" w:type="dxa"/>
            <w:vAlign w:val="center"/>
          </w:tcPr>
          <w:p>
            <w:pPr>
              <w:pStyle w:val="11"/>
            </w:pPr>
            <w:r>
              <w:t>按照年初计划保质保量完成</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工会业务开展时间</w:t>
            </w:r>
          </w:p>
        </w:tc>
        <w:tc>
          <w:tcPr>
            <w:tcW w:w="5386" w:type="dxa"/>
            <w:vAlign w:val="center"/>
          </w:tcPr>
          <w:p>
            <w:pPr>
              <w:pStyle w:val="11"/>
            </w:pPr>
            <w:r>
              <w:t>按照年初计划按时开展</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工会业务开展成本</w:t>
            </w:r>
          </w:p>
        </w:tc>
        <w:tc>
          <w:tcPr>
            <w:tcW w:w="5386" w:type="dxa"/>
            <w:vAlign w:val="center"/>
          </w:tcPr>
          <w:p>
            <w:pPr>
              <w:pStyle w:val="11"/>
            </w:pPr>
            <w:r>
              <w:t>每项工作开展的经费支出不超预算</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社会满意度</w:t>
            </w:r>
          </w:p>
        </w:tc>
        <w:tc>
          <w:tcPr>
            <w:tcW w:w="5386" w:type="dxa"/>
            <w:vAlign w:val="center"/>
          </w:tcPr>
          <w:p>
            <w:pPr>
              <w:pStyle w:val="11"/>
            </w:pPr>
            <w:r>
              <w:t>通过工会业务开展，增强基层工会活力，加强基层工会组织建设</w:t>
            </w:r>
          </w:p>
        </w:tc>
        <w:tc>
          <w:tcPr>
            <w:tcW w:w="2268" w:type="dxa"/>
            <w:vAlign w:val="center"/>
          </w:tcPr>
          <w:p>
            <w:pPr>
              <w:pStyle w:val="11"/>
            </w:pPr>
            <w:r>
              <w:t>≥0.95百分比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年度工作得到职工满意度</w:t>
            </w:r>
          </w:p>
        </w:tc>
        <w:tc>
          <w:tcPr>
            <w:tcW w:w="2268" w:type="dxa"/>
            <w:vAlign w:val="center"/>
          </w:tcPr>
          <w:p>
            <w:pPr>
              <w:pStyle w:val="11"/>
            </w:pPr>
            <w:r>
              <w:t>≥0.95百分比</w:t>
            </w:r>
          </w:p>
        </w:tc>
        <w:tc>
          <w:tcPr>
            <w:tcW w:w="1276" w:type="dxa"/>
            <w:vAlign w:val="center"/>
          </w:tcPr>
          <w:p>
            <w:pPr>
              <w:pStyle w:val="11"/>
            </w:pPr>
            <w:r>
              <w:t>2024年工作计划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2、工会经费（机关人员工资）绩效目标表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13052524P00001010013Q</w:t>
            </w:r>
          </w:p>
        </w:tc>
        <w:tc>
          <w:tcPr>
            <w:tcW w:w="2835" w:type="dxa"/>
            <w:vAlign w:val="center"/>
          </w:tcPr>
          <w:p>
            <w:pPr>
              <w:pStyle w:val="9"/>
            </w:pPr>
            <w:r>
              <w:t>项目名称</w:t>
            </w:r>
          </w:p>
        </w:tc>
        <w:tc>
          <w:tcPr>
            <w:tcW w:w="6095" w:type="dxa"/>
            <w:gridSpan w:val="3"/>
            <w:vAlign w:val="center"/>
          </w:tcPr>
          <w:p>
            <w:pPr>
              <w:pStyle w:val="11"/>
            </w:pPr>
            <w:r>
              <w:t>工会经费（机关人员工资）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117.20</w:t>
            </w:r>
          </w:p>
        </w:tc>
        <w:tc>
          <w:tcPr>
            <w:tcW w:w="2835" w:type="dxa"/>
            <w:vAlign w:val="center"/>
          </w:tcPr>
          <w:p>
            <w:pPr>
              <w:pStyle w:val="9"/>
            </w:pPr>
            <w:r>
              <w:t>其中：财政    资金</w:t>
            </w:r>
          </w:p>
        </w:tc>
        <w:tc>
          <w:tcPr>
            <w:tcW w:w="2551" w:type="dxa"/>
            <w:vAlign w:val="center"/>
          </w:tcPr>
          <w:p>
            <w:pPr>
              <w:pStyle w:val="11"/>
            </w:pPr>
            <w:r>
              <w:t>117.20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机关人员工资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2"/>
              <w:rPr>
                <w:rFonts w:hAnsi="Times New Roman" w:cs="Times New Roman"/>
              </w:rPr>
            </w:pPr>
            <w:r>
              <w:rPr>
                <w:rFonts w:hint="eastAsia" w:hAnsi="Times New Roman" w:cs="Times New Roman"/>
              </w:rPr>
              <w:t>30%</w:t>
            </w:r>
          </w:p>
        </w:tc>
        <w:tc>
          <w:tcPr>
            <w:tcW w:w="2835" w:type="dxa"/>
            <w:vAlign w:val="center"/>
          </w:tcPr>
          <w:p>
            <w:pPr>
              <w:pStyle w:val="12"/>
              <w:rPr>
                <w:rFonts w:hAnsi="Times New Roman" w:cs="Times New Roman"/>
              </w:rPr>
            </w:pPr>
            <w:r>
              <w:rPr>
                <w:rFonts w:hint="eastAsia" w:hAnsi="Times New Roman" w:cs="Times New Roman"/>
              </w:rPr>
              <w:t>60%</w:t>
            </w:r>
          </w:p>
        </w:tc>
        <w:tc>
          <w:tcPr>
            <w:tcW w:w="2551" w:type="dxa"/>
            <w:vAlign w:val="center"/>
          </w:tcPr>
          <w:p>
            <w:pPr>
              <w:pStyle w:val="12"/>
              <w:rPr>
                <w:rFonts w:hAnsi="Times New Roman" w:cs="Times New Roman"/>
              </w:rPr>
            </w:pPr>
            <w:r>
              <w:rPr>
                <w:rFonts w:hint="eastAsia" w:hAnsi="Times New Roman" w:cs="Times New Roman"/>
              </w:rPr>
              <w:t>90%</w:t>
            </w:r>
          </w:p>
        </w:tc>
        <w:tc>
          <w:tcPr>
            <w:tcW w:w="3544" w:type="dxa"/>
            <w:gridSpan w:val="2"/>
            <w:vAlign w:val="center"/>
          </w:tcPr>
          <w:p>
            <w:pPr>
              <w:pStyle w:val="12"/>
              <w:rPr>
                <w:rFonts w:hAnsi="Times New Roman" w:cs="Times New Roman"/>
              </w:rPr>
            </w:pPr>
            <w:r>
              <w:rPr>
                <w:rFonts w:hint="eastAsia" w:hAnsi="Times New Roman" w:cs="Times New Roma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1.运用工会经费，保障机关工作人员工资及时足额发放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机关人员工资支出人数</w:t>
            </w:r>
          </w:p>
        </w:tc>
        <w:tc>
          <w:tcPr>
            <w:tcW w:w="5386" w:type="dxa"/>
            <w:vAlign w:val="center"/>
          </w:tcPr>
          <w:p>
            <w:pPr>
              <w:pStyle w:val="11"/>
            </w:pPr>
            <w:r>
              <w:t>保障所有人员工资</w:t>
            </w:r>
          </w:p>
        </w:tc>
        <w:tc>
          <w:tcPr>
            <w:tcW w:w="2268" w:type="dxa"/>
            <w:vAlign w:val="center"/>
          </w:tcPr>
          <w:p>
            <w:pPr>
              <w:pStyle w:val="11"/>
            </w:pPr>
            <w:r>
              <w:t>12人</w:t>
            </w:r>
          </w:p>
        </w:tc>
        <w:tc>
          <w:tcPr>
            <w:tcW w:w="1276" w:type="dxa"/>
            <w:vAlign w:val="center"/>
          </w:tcPr>
          <w:p>
            <w:pPr>
              <w:pStyle w:val="11"/>
            </w:pPr>
            <w:r>
              <w:t>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足额按工资表方放</w:t>
            </w:r>
          </w:p>
        </w:tc>
        <w:tc>
          <w:tcPr>
            <w:tcW w:w="5386" w:type="dxa"/>
            <w:vAlign w:val="center"/>
          </w:tcPr>
          <w:p>
            <w:pPr>
              <w:pStyle w:val="11"/>
            </w:pPr>
            <w:r>
              <w:t>保质保量完成支出</w:t>
            </w:r>
          </w:p>
        </w:tc>
        <w:tc>
          <w:tcPr>
            <w:tcW w:w="2268" w:type="dxa"/>
            <w:vAlign w:val="center"/>
          </w:tcPr>
          <w:p>
            <w:pPr>
              <w:pStyle w:val="11"/>
            </w:pPr>
            <w:r>
              <w:t>≥1百分比</w:t>
            </w:r>
          </w:p>
        </w:tc>
        <w:tc>
          <w:tcPr>
            <w:tcW w:w="1276" w:type="dxa"/>
            <w:vAlign w:val="center"/>
          </w:tcPr>
          <w:p>
            <w:pPr>
              <w:pStyle w:val="11"/>
            </w:pPr>
            <w:r>
              <w:t>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工资支出及时发放</w:t>
            </w:r>
          </w:p>
        </w:tc>
        <w:tc>
          <w:tcPr>
            <w:tcW w:w="5386" w:type="dxa"/>
            <w:vAlign w:val="center"/>
          </w:tcPr>
          <w:p>
            <w:pPr>
              <w:pStyle w:val="11"/>
            </w:pPr>
            <w:r>
              <w:t>按月及时发放</w:t>
            </w:r>
          </w:p>
        </w:tc>
        <w:tc>
          <w:tcPr>
            <w:tcW w:w="2268" w:type="dxa"/>
            <w:vAlign w:val="center"/>
          </w:tcPr>
          <w:p>
            <w:pPr>
              <w:pStyle w:val="11"/>
            </w:pPr>
            <w:r>
              <w:t>≥1百分比</w:t>
            </w:r>
          </w:p>
        </w:tc>
        <w:tc>
          <w:tcPr>
            <w:tcW w:w="1276" w:type="dxa"/>
            <w:vAlign w:val="center"/>
          </w:tcPr>
          <w:p>
            <w:pPr>
              <w:pStyle w:val="11"/>
            </w:pPr>
            <w:r>
              <w:t>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工资支出总额不超预算</w:t>
            </w:r>
          </w:p>
        </w:tc>
        <w:tc>
          <w:tcPr>
            <w:tcW w:w="5386" w:type="dxa"/>
            <w:vAlign w:val="center"/>
          </w:tcPr>
          <w:p>
            <w:pPr>
              <w:pStyle w:val="11"/>
            </w:pPr>
            <w:r>
              <w:t>按计划完成支出</w:t>
            </w:r>
          </w:p>
        </w:tc>
        <w:tc>
          <w:tcPr>
            <w:tcW w:w="2268" w:type="dxa"/>
            <w:vAlign w:val="center"/>
          </w:tcPr>
          <w:p>
            <w:pPr>
              <w:pStyle w:val="11"/>
            </w:pPr>
            <w:r>
              <w:t>≥1百分比</w:t>
            </w:r>
          </w:p>
        </w:tc>
        <w:tc>
          <w:tcPr>
            <w:tcW w:w="1276" w:type="dxa"/>
            <w:vAlign w:val="center"/>
          </w:tcPr>
          <w:p>
            <w:pPr>
              <w:pStyle w:val="11"/>
            </w:pPr>
            <w:r>
              <w:t>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社会满意度</w:t>
            </w:r>
          </w:p>
        </w:tc>
        <w:tc>
          <w:tcPr>
            <w:tcW w:w="5386" w:type="dxa"/>
            <w:vAlign w:val="center"/>
          </w:tcPr>
          <w:p>
            <w:pPr>
              <w:pStyle w:val="11"/>
            </w:pPr>
            <w:r>
              <w:t>运用机关人员工资，有效保障机关顺利完成各项工作任务</w:t>
            </w:r>
          </w:p>
        </w:tc>
        <w:tc>
          <w:tcPr>
            <w:tcW w:w="2268" w:type="dxa"/>
            <w:vAlign w:val="center"/>
          </w:tcPr>
          <w:p>
            <w:pPr>
              <w:pStyle w:val="11"/>
            </w:pPr>
            <w:r>
              <w:t>≥1百分比</w:t>
            </w:r>
          </w:p>
        </w:tc>
        <w:tc>
          <w:tcPr>
            <w:tcW w:w="1276" w:type="dxa"/>
            <w:vAlign w:val="center"/>
          </w:tcPr>
          <w:p>
            <w:pPr>
              <w:pStyle w:val="11"/>
            </w:pPr>
            <w:r>
              <w:t>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年度工作得到职工满意率</w:t>
            </w:r>
          </w:p>
        </w:tc>
        <w:tc>
          <w:tcPr>
            <w:tcW w:w="2268" w:type="dxa"/>
            <w:vAlign w:val="center"/>
          </w:tcPr>
          <w:p>
            <w:pPr>
              <w:pStyle w:val="11"/>
            </w:pPr>
            <w:r>
              <w:t>≥1百分比</w:t>
            </w:r>
          </w:p>
        </w:tc>
        <w:tc>
          <w:tcPr>
            <w:tcW w:w="1276" w:type="dxa"/>
            <w:vAlign w:val="center"/>
          </w:tcPr>
          <w:p>
            <w:pPr>
              <w:pStyle w:val="11"/>
            </w:pPr>
            <w:r>
              <w:t>工资测算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3、工会经费（机关运行经费）绩效目标表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13052524P000010100125</w:t>
            </w:r>
          </w:p>
        </w:tc>
        <w:tc>
          <w:tcPr>
            <w:tcW w:w="2835" w:type="dxa"/>
            <w:vAlign w:val="center"/>
          </w:tcPr>
          <w:p>
            <w:pPr>
              <w:pStyle w:val="9"/>
            </w:pPr>
            <w:r>
              <w:t>项目名称</w:t>
            </w:r>
          </w:p>
        </w:tc>
        <w:tc>
          <w:tcPr>
            <w:tcW w:w="6095" w:type="dxa"/>
            <w:gridSpan w:val="3"/>
            <w:vAlign w:val="center"/>
          </w:tcPr>
          <w:p>
            <w:pPr>
              <w:pStyle w:val="11"/>
            </w:pPr>
            <w:r>
              <w:t>工会经费（机关运行经费）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19.36</w:t>
            </w:r>
          </w:p>
        </w:tc>
        <w:tc>
          <w:tcPr>
            <w:tcW w:w="2835" w:type="dxa"/>
            <w:vAlign w:val="center"/>
          </w:tcPr>
          <w:p>
            <w:pPr>
              <w:pStyle w:val="9"/>
            </w:pPr>
            <w:r>
              <w:t>其中：财政    资金</w:t>
            </w:r>
          </w:p>
        </w:tc>
        <w:tc>
          <w:tcPr>
            <w:tcW w:w="2551" w:type="dxa"/>
            <w:vAlign w:val="center"/>
          </w:tcPr>
          <w:p>
            <w:pPr>
              <w:pStyle w:val="11"/>
            </w:pPr>
            <w:r>
              <w:t>19.36</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机关运行经费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2"/>
              <w:rPr>
                <w:rFonts w:hAnsi="Times New Roman" w:cs="Times New Roman"/>
              </w:rPr>
            </w:pPr>
            <w:r>
              <w:rPr>
                <w:rFonts w:hint="eastAsia" w:hAnsi="Times New Roman" w:cs="Times New Roman"/>
              </w:rPr>
              <w:t>30%</w:t>
            </w:r>
          </w:p>
        </w:tc>
        <w:tc>
          <w:tcPr>
            <w:tcW w:w="2835" w:type="dxa"/>
            <w:vAlign w:val="center"/>
          </w:tcPr>
          <w:p>
            <w:pPr>
              <w:pStyle w:val="12"/>
              <w:rPr>
                <w:rFonts w:hAnsi="Times New Roman" w:cs="Times New Roman"/>
              </w:rPr>
            </w:pPr>
            <w:r>
              <w:rPr>
                <w:rFonts w:hint="eastAsia" w:hAnsi="Times New Roman" w:cs="Times New Roman"/>
              </w:rPr>
              <w:t>60%</w:t>
            </w:r>
          </w:p>
        </w:tc>
        <w:tc>
          <w:tcPr>
            <w:tcW w:w="2551" w:type="dxa"/>
            <w:vAlign w:val="center"/>
          </w:tcPr>
          <w:p>
            <w:pPr>
              <w:pStyle w:val="12"/>
              <w:rPr>
                <w:rFonts w:hAnsi="Times New Roman" w:cs="Times New Roman"/>
              </w:rPr>
            </w:pPr>
            <w:r>
              <w:rPr>
                <w:rFonts w:hint="eastAsia" w:hAnsi="Times New Roman" w:cs="Times New Roman"/>
              </w:rPr>
              <w:t>90%</w:t>
            </w:r>
          </w:p>
        </w:tc>
        <w:tc>
          <w:tcPr>
            <w:tcW w:w="3544" w:type="dxa"/>
            <w:gridSpan w:val="2"/>
            <w:vAlign w:val="center"/>
          </w:tcPr>
          <w:p>
            <w:pPr>
              <w:pStyle w:val="12"/>
              <w:rPr>
                <w:rFonts w:hAnsi="Times New Roman" w:cs="Times New Roman"/>
              </w:rPr>
            </w:pPr>
            <w:r>
              <w:rPr>
                <w:rFonts w:hint="eastAsia" w:hAnsi="Times New Roman" w:cs="Times New Roma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1.运用机关运行经费，保障机关各项工作正常运转</w:t>
            </w:r>
          </w:p>
          <w:p>
            <w:pPr>
              <w:pStyle w:val="11"/>
            </w:pP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机关运行各项数量</w:t>
            </w:r>
          </w:p>
        </w:tc>
        <w:tc>
          <w:tcPr>
            <w:tcW w:w="5386" w:type="dxa"/>
            <w:vAlign w:val="center"/>
          </w:tcPr>
          <w:p>
            <w:pPr>
              <w:pStyle w:val="11"/>
            </w:pPr>
            <w:r>
              <w:t>保障各项机关运行数量</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机关运行质量</w:t>
            </w:r>
          </w:p>
        </w:tc>
        <w:tc>
          <w:tcPr>
            <w:tcW w:w="5386" w:type="dxa"/>
            <w:vAlign w:val="center"/>
          </w:tcPr>
          <w:p>
            <w:pPr>
              <w:pStyle w:val="11"/>
            </w:pPr>
            <w:r>
              <w:t>保质保量</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机关运行及时率</w:t>
            </w:r>
          </w:p>
        </w:tc>
        <w:tc>
          <w:tcPr>
            <w:tcW w:w="5386" w:type="dxa"/>
            <w:vAlign w:val="center"/>
          </w:tcPr>
          <w:p>
            <w:pPr>
              <w:pStyle w:val="11"/>
            </w:pPr>
            <w:r>
              <w:t>按季度完成支出比例</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机关运行经费支出总额</w:t>
            </w:r>
          </w:p>
        </w:tc>
        <w:tc>
          <w:tcPr>
            <w:tcW w:w="5386" w:type="dxa"/>
            <w:vAlign w:val="center"/>
          </w:tcPr>
          <w:p>
            <w:pPr>
              <w:pStyle w:val="11"/>
            </w:pPr>
            <w:r>
              <w:t>不超预算</w:t>
            </w:r>
          </w:p>
        </w:tc>
        <w:tc>
          <w:tcPr>
            <w:tcW w:w="2268" w:type="dxa"/>
            <w:vAlign w:val="center"/>
          </w:tcPr>
          <w:p>
            <w:pPr>
              <w:pStyle w:val="11"/>
            </w:pPr>
            <w:r>
              <w:t>≥1百分比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社会满意度</w:t>
            </w:r>
          </w:p>
        </w:tc>
        <w:tc>
          <w:tcPr>
            <w:tcW w:w="5386" w:type="dxa"/>
            <w:vAlign w:val="center"/>
          </w:tcPr>
          <w:p>
            <w:pPr>
              <w:pStyle w:val="11"/>
            </w:pPr>
            <w:r>
              <w:t>运用机关运行经费，有效保障机关顺利完成各项工作任务</w:t>
            </w:r>
          </w:p>
        </w:tc>
        <w:tc>
          <w:tcPr>
            <w:tcW w:w="2268" w:type="dxa"/>
            <w:vAlign w:val="center"/>
          </w:tcPr>
          <w:p>
            <w:pPr>
              <w:pStyle w:val="11"/>
            </w:pPr>
            <w:r>
              <w:t>≥0.98百分比</w:t>
            </w:r>
          </w:p>
        </w:tc>
        <w:tc>
          <w:tcPr>
            <w:tcW w:w="1276" w:type="dxa"/>
            <w:vAlign w:val="center"/>
          </w:tcPr>
          <w:p>
            <w:pPr>
              <w:pStyle w:val="11"/>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年度工作得到职工满意率</w:t>
            </w:r>
          </w:p>
        </w:tc>
        <w:tc>
          <w:tcPr>
            <w:tcW w:w="2268" w:type="dxa"/>
            <w:vAlign w:val="center"/>
          </w:tcPr>
          <w:p>
            <w:pPr>
              <w:pStyle w:val="11"/>
            </w:pPr>
            <w:r>
              <w:t>≥0.98百分比</w:t>
            </w:r>
          </w:p>
        </w:tc>
        <w:tc>
          <w:tcPr>
            <w:tcW w:w="1276" w:type="dxa"/>
            <w:vAlign w:val="center"/>
          </w:tcPr>
          <w:p>
            <w:pPr>
              <w:pStyle w:val="11"/>
            </w:pPr>
            <w:r>
              <w:t>2024年工作计划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4、工会经费（上解市总工会经费）绩效目标表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13052524P000010100150</w:t>
            </w:r>
          </w:p>
        </w:tc>
        <w:tc>
          <w:tcPr>
            <w:tcW w:w="2835" w:type="dxa"/>
            <w:vAlign w:val="center"/>
          </w:tcPr>
          <w:p>
            <w:pPr>
              <w:pStyle w:val="9"/>
            </w:pPr>
            <w:r>
              <w:t>项目名称</w:t>
            </w:r>
          </w:p>
        </w:tc>
        <w:tc>
          <w:tcPr>
            <w:tcW w:w="6095" w:type="dxa"/>
            <w:gridSpan w:val="3"/>
            <w:vAlign w:val="center"/>
          </w:tcPr>
          <w:p>
            <w:pPr>
              <w:pStyle w:val="11"/>
            </w:pPr>
            <w:r>
              <w:t>工会经费（上解市总工会经费）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112.50</w:t>
            </w:r>
          </w:p>
        </w:tc>
        <w:tc>
          <w:tcPr>
            <w:tcW w:w="2835" w:type="dxa"/>
            <w:vAlign w:val="center"/>
          </w:tcPr>
          <w:p>
            <w:pPr>
              <w:pStyle w:val="9"/>
            </w:pPr>
            <w:r>
              <w:t>其中：财政    资金</w:t>
            </w:r>
          </w:p>
        </w:tc>
        <w:tc>
          <w:tcPr>
            <w:tcW w:w="2551" w:type="dxa"/>
            <w:vAlign w:val="center"/>
          </w:tcPr>
          <w:p>
            <w:pPr>
              <w:pStyle w:val="11"/>
            </w:pPr>
            <w:r>
              <w:t>112.50</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上解市总工会经费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2"/>
              <w:rPr>
                <w:rFonts w:hAnsi="Times New Roman" w:cs="Times New Roman"/>
              </w:rPr>
            </w:pPr>
            <w:r>
              <w:rPr>
                <w:rFonts w:hint="eastAsia" w:hAnsi="Times New Roman" w:cs="Times New Roman"/>
              </w:rPr>
              <w:t>30%</w:t>
            </w:r>
          </w:p>
        </w:tc>
        <w:tc>
          <w:tcPr>
            <w:tcW w:w="2835" w:type="dxa"/>
            <w:vAlign w:val="center"/>
          </w:tcPr>
          <w:p>
            <w:pPr>
              <w:pStyle w:val="12"/>
              <w:rPr>
                <w:rFonts w:hAnsi="Times New Roman" w:cs="Times New Roman"/>
              </w:rPr>
            </w:pPr>
            <w:r>
              <w:rPr>
                <w:rFonts w:hint="eastAsia" w:hAnsi="Times New Roman" w:cs="Times New Roman"/>
              </w:rPr>
              <w:t>60%</w:t>
            </w:r>
          </w:p>
        </w:tc>
        <w:tc>
          <w:tcPr>
            <w:tcW w:w="2551" w:type="dxa"/>
            <w:vAlign w:val="center"/>
          </w:tcPr>
          <w:p>
            <w:pPr>
              <w:pStyle w:val="12"/>
              <w:rPr>
                <w:rFonts w:hAnsi="Times New Roman" w:cs="Times New Roman"/>
              </w:rPr>
            </w:pPr>
            <w:r>
              <w:rPr>
                <w:rFonts w:hint="eastAsia" w:hAnsi="Times New Roman" w:cs="Times New Roman"/>
              </w:rPr>
              <w:t>90%</w:t>
            </w:r>
          </w:p>
        </w:tc>
        <w:tc>
          <w:tcPr>
            <w:tcW w:w="3544" w:type="dxa"/>
            <w:gridSpan w:val="2"/>
            <w:vAlign w:val="center"/>
          </w:tcPr>
          <w:p>
            <w:pPr>
              <w:pStyle w:val="12"/>
              <w:rPr>
                <w:rFonts w:hAnsi="Times New Roman" w:cs="Times New Roman"/>
              </w:rPr>
            </w:pPr>
            <w:r>
              <w:rPr>
                <w:rFonts w:hint="eastAsia" w:hAnsi="Times New Roman" w:cs="Times New Roma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1.1.按照《河北省总工会关于工会财务管理体制和经费分成的补充规定》，及时足额上解市总工会经费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上解市总工会经费总支出</w:t>
            </w:r>
          </w:p>
        </w:tc>
        <w:tc>
          <w:tcPr>
            <w:tcW w:w="5386" w:type="dxa"/>
            <w:vAlign w:val="center"/>
          </w:tcPr>
          <w:p>
            <w:pPr>
              <w:pStyle w:val="11"/>
            </w:pPr>
            <w:r>
              <w:t>年度总支出112.5万元</w:t>
            </w:r>
          </w:p>
        </w:tc>
        <w:tc>
          <w:tcPr>
            <w:tcW w:w="2268" w:type="dxa"/>
            <w:vAlign w:val="center"/>
          </w:tcPr>
          <w:p>
            <w:pPr>
              <w:pStyle w:val="11"/>
            </w:pPr>
            <w:r>
              <w:t>1百分比</w:t>
            </w:r>
          </w:p>
        </w:tc>
        <w:tc>
          <w:tcPr>
            <w:tcW w:w="1276" w:type="dxa"/>
            <w:vAlign w:val="center"/>
          </w:tcPr>
          <w:p>
            <w:pPr>
              <w:pStyle w:val="11"/>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上解市总工会经费支出率</w:t>
            </w:r>
          </w:p>
        </w:tc>
        <w:tc>
          <w:tcPr>
            <w:tcW w:w="5386" w:type="dxa"/>
            <w:vAlign w:val="center"/>
          </w:tcPr>
          <w:p>
            <w:pPr>
              <w:pStyle w:val="11"/>
            </w:pPr>
            <w:r>
              <w:t>保质保量完成支出</w:t>
            </w:r>
          </w:p>
        </w:tc>
        <w:tc>
          <w:tcPr>
            <w:tcW w:w="2268" w:type="dxa"/>
            <w:vAlign w:val="center"/>
          </w:tcPr>
          <w:p>
            <w:pPr>
              <w:pStyle w:val="11"/>
            </w:pPr>
            <w:r>
              <w:t>1百分比</w:t>
            </w:r>
          </w:p>
        </w:tc>
        <w:tc>
          <w:tcPr>
            <w:tcW w:w="1276" w:type="dxa"/>
            <w:vAlign w:val="center"/>
          </w:tcPr>
          <w:p>
            <w:pPr>
              <w:pStyle w:val="11"/>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上解市总工会经费支出计划</w:t>
            </w:r>
          </w:p>
        </w:tc>
        <w:tc>
          <w:tcPr>
            <w:tcW w:w="5386" w:type="dxa"/>
            <w:vAlign w:val="center"/>
          </w:tcPr>
          <w:p>
            <w:pPr>
              <w:pStyle w:val="11"/>
            </w:pPr>
            <w:r>
              <w:t>按季度完成支出比例</w:t>
            </w:r>
          </w:p>
        </w:tc>
        <w:tc>
          <w:tcPr>
            <w:tcW w:w="2268" w:type="dxa"/>
            <w:vAlign w:val="center"/>
          </w:tcPr>
          <w:p>
            <w:pPr>
              <w:pStyle w:val="11"/>
            </w:pPr>
            <w:r>
              <w:t>1百分比</w:t>
            </w:r>
          </w:p>
        </w:tc>
        <w:tc>
          <w:tcPr>
            <w:tcW w:w="1276" w:type="dxa"/>
            <w:vAlign w:val="center"/>
          </w:tcPr>
          <w:p>
            <w:pPr>
              <w:pStyle w:val="11"/>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上解市总工会经费支出总额</w:t>
            </w:r>
          </w:p>
        </w:tc>
        <w:tc>
          <w:tcPr>
            <w:tcW w:w="5386" w:type="dxa"/>
            <w:vAlign w:val="center"/>
          </w:tcPr>
          <w:p>
            <w:pPr>
              <w:pStyle w:val="11"/>
            </w:pPr>
            <w:r>
              <w:t>按计划完成支出</w:t>
            </w:r>
          </w:p>
        </w:tc>
        <w:tc>
          <w:tcPr>
            <w:tcW w:w="2268" w:type="dxa"/>
            <w:vAlign w:val="center"/>
          </w:tcPr>
          <w:p>
            <w:pPr>
              <w:pStyle w:val="11"/>
            </w:pPr>
            <w:r>
              <w:t>1百分比</w:t>
            </w:r>
          </w:p>
        </w:tc>
        <w:tc>
          <w:tcPr>
            <w:tcW w:w="1276" w:type="dxa"/>
            <w:vAlign w:val="center"/>
          </w:tcPr>
          <w:p>
            <w:pPr>
              <w:pStyle w:val="11"/>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社会满意度</w:t>
            </w:r>
          </w:p>
        </w:tc>
        <w:tc>
          <w:tcPr>
            <w:tcW w:w="5386" w:type="dxa"/>
            <w:vAlign w:val="center"/>
          </w:tcPr>
          <w:p>
            <w:pPr>
              <w:pStyle w:val="11"/>
            </w:pPr>
            <w:r>
              <w:t>及时足额上解市总工会经费、保障工运事业正常有效开展</w:t>
            </w:r>
          </w:p>
        </w:tc>
        <w:tc>
          <w:tcPr>
            <w:tcW w:w="2268" w:type="dxa"/>
            <w:vAlign w:val="center"/>
          </w:tcPr>
          <w:p>
            <w:pPr>
              <w:pStyle w:val="11"/>
            </w:pPr>
            <w:r>
              <w:t>≥0.95百分比</w:t>
            </w:r>
          </w:p>
        </w:tc>
        <w:tc>
          <w:tcPr>
            <w:tcW w:w="1276" w:type="dxa"/>
            <w:vAlign w:val="center"/>
          </w:tcPr>
          <w:p>
            <w:pPr>
              <w:pStyle w:val="11"/>
            </w:pPr>
            <w:r>
              <w:t>《河北省总工会关于工会财务管理体制和经费分成的补充规定》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职工满意度</w:t>
            </w:r>
          </w:p>
        </w:tc>
        <w:tc>
          <w:tcPr>
            <w:tcW w:w="5386" w:type="dxa"/>
            <w:vAlign w:val="center"/>
          </w:tcPr>
          <w:p>
            <w:pPr>
              <w:pStyle w:val="11"/>
            </w:pPr>
            <w:r>
              <w:t>年度工作得到职工满意</w:t>
            </w:r>
          </w:p>
        </w:tc>
        <w:tc>
          <w:tcPr>
            <w:tcW w:w="2268" w:type="dxa"/>
            <w:vAlign w:val="center"/>
          </w:tcPr>
          <w:p>
            <w:pPr>
              <w:pStyle w:val="11"/>
            </w:pPr>
            <w:r>
              <w:t>≥0.95百分比</w:t>
            </w:r>
          </w:p>
        </w:tc>
        <w:tc>
          <w:tcPr>
            <w:tcW w:w="1276" w:type="dxa"/>
            <w:vAlign w:val="center"/>
          </w:tcPr>
          <w:p>
            <w:pPr>
              <w:pStyle w:val="11"/>
            </w:pPr>
            <w:r>
              <w:t>《河北省总工会关于工会财务管理体制和经费分成的补充规定》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5、冀财行[2023]98号/提前下达2024年困难职工及劳模帮扶救助专项资金绩效目标表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1"/>
            </w:pPr>
            <w:r>
              <w:t>13052524P000010105233</w:t>
            </w:r>
          </w:p>
        </w:tc>
        <w:tc>
          <w:tcPr>
            <w:tcW w:w="2835" w:type="dxa"/>
            <w:vAlign w:val="center"/>
          </w:tcPr>
          <w:p>
            <w:pPr>
              <w:pStyle w:val="9"/>
            </w:pPr>
            <w:r>
              <w:t>项目名称</w:t>
            </w:r>
          </w:p>
        </w:tc>
        <w:tc>
          <w:tcPr>
            <w:tcW w:w="6095" w:type="dxa"/>
            <w:gridSpan w:val="3"/>
            <w:vAlign w:val="center"/>
          </w:tcPr>
          <w:p>
            <w:pPr>
              <w:pStyle w:val="11"/>
            </w:pPr>
            <w:r>
              <w:t>冀财行[2023]98号/提前下达2024年困难职工及劳模帮扶救助专项资金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1"/>
            </w:pPr>
            <w:r>
              <w:t>8.42</w:t>
            </w:r>
          </w:p>
        </w:tc>
        <w:tc>
          <w:tcPr>
            <w:tcW w:w="2835" w:type="dxa"/>
            <w:vAlign w:val="center"/>
          </w:tcPr>
          <w:p>
            <w:pPr>
              <w:pStyle w:val="9"/>
            </w:pPr>
            <w:r>
              <w:t>其中：财政    资金</w:t>
            </w:r>
          </w:p>
        </w:tc>
        <w:tc>
          <w:tcPr>
            <w:tcW w:w="2551" w:type="dxa"/>
            <w:vAlign w:val="center"/>
          </w:tcPr>
          <w:p>
            <w:pPr>
              <w:pStyle w:val="11"/>
            </w:pPr>
            <w:r>
              <w:t>8.42</w:t>
            </w:r>
          </w:p>
        </w:tc>
        <w:tc>
          <w:tcPr>
            <w:tcW w:w="2268" w:type="dxa"/>
            <w:vAlign w:val="center"/>
          </w:tcPr>
          <w:p>
            <w:pPr>
              <w:pStyle w:val="9"/>
            </w:pPr>
            <w:r>
              <w:t>其他资金</w:t>
            </w:r>
          </w:p>
        </w:tc>
        <w:tc>
          <w:tcPr>
            <w:tcW w:w="1276"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1"/>
            </w:pPr>
            <w:r>
              <w:t>困难职工帮扶救助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2"/>
              <w:rPr>
                <w:rFonts w:hAnsi="Times New Roman" w:cs="Times New Roman"/>
              </w:rPr>
            </w:pPr>
            <w:r>
              <w:rPr>
                <w:rFonts w:hint="eastAsia" w:hAnsi="Times New Roman" w:cs="Times New Roman"/>
              </w:rPr>
              <w:t>30%</w:t>
            </w:r>
          </w:p>
        </w:tc>
        <w:tc>
          <w:tcPr>
            <w:tcW w:w="2835" w:type="dxa"/>
            <w:vAlign w:val="center"/>
          </w:tcPr>
          <w:p>
            <w:pPr>
              <w:pStyle w:val="12"/>
              <w:rPr>
                <w:rFonts w:hAnsi="Times New Roman" w:cs="Times New Roman"/>
              </w:rPr>
            </w:pPr>
            <w:r>
              <w:rPr>
                <w:rFonts w:hint="eastAsia" w:hAnsi="Times New Roman" w:cs="Times New Roman"/>
              </w:rPr>
              <w:t>60%</w:t>
            </w:r>
          </w:p>
        </w:tc>
        <w:tc>
          <w:tcPr>
            <w:tcW w:w="2551" w:type="dxa"/>
            <w:vAlign w:val="center"/>
          </w:tcPr>
          <w:p>
            <w:pPr>
              <w:pStyle w:val="12"/>
              <w:rPr>
                <w:rFonts w:hAnsi="Times New Roman" w:cs="Times New Roman"/>
              </w:rPr>
            </w:pPr>
            <w:r>
              <w:rPr>
                <w:rFonts w:hint="eastAsia" w:hAnsi="Times New Roman" w:cs="Times New Roman"/>
              </w:rPr>
              <w:t>90%</w:t>
            </w:r>
          </w:p>
        </w:tc>
        <w:tc>
          <w:tcPr>
            <w:tcW w:w="3544" w:type="dxa"/>
            <w:gridSpan w:val="2"/>
            <w:vAlign w:val="center"/>
          </w:tcPr>
          <w:p>
            <w:pPr>
              <w:pStyle w:val="12"/>
              <w:rPr>
                <w:rFonts w:hAnsi="Times New Roman" w:cs="Times New Roman"/>
              </w:rPr>
            </w:pPr>
            <w:r>
              <w:rPr>
                <w:rFonts w:hint="eastAsia" w:hAnsi="Times New Roman" w:cs="Times New Roma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1"/>
            </w:pPr>
            <w:r>
              <w:t>1.困难职工及劳模帮扶救助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困难职工帮扶救助人数</w:t>
            </w:r>
          </w:p>
        </w:tc>
        <w:tc>
          <w:tcPr>
            <w:tcW w:w="5386" w:type="dxa"/>
            <w:vAlign w:val="center"/>
          </w:tcPr>
          <w:p>
            <w:pPr>
              <w:pStyle w:val="11"/>
            </w:pPr>
            <w:r>
              <w:t>按建档人数实施救助</w:t>
            </w:r>
          </w:p>
        </w:tc>
        <w:tc>
          <w:tcPr>
            <w:tcW w:w="2268" w:type="dxa"/>
            <w:vAlign w:val="center"/>
          </w:tcPr>
          <w:p>
            <w:pPr>
              <w:pStyle w:val="11"/>
            </w:pPr>
            <w:r>
              <w:t>按建档人数实施救助</w:t>
            </w:r>
          </w:p>
        </w:tc>
        <w:tc>
          <w:tcPr>
            <w:tcW w:w="1276" w:type="dxa"/>
            <w:vAlign w:val="center"/>
          </w:tcPr>
          <w:p>
            <w:pPr>
              <w:pStyle w:val="11"/>
            </w:pPr>
            <w:r>
              <w:t>建档困难职工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质量指标</w:t>
            </w:r>
          </w:p>
        </w:tc>
        <w:tc>
          <w:tcPr>
            <w:tcW w:w="2835" w:type="dxa"/>
            <w:vAlign w:val="center"/>
          </w:tcPr>
          <w:p>
            <w:pPr>
              <w:pStyle w:val="11"/>
            </w:pPr>
            <w:r>
              <w:t>保质保量完成</w:t>
            </w:r>
          </w:p>
        </w:tc>
        <w:tc>
          <w:tcPr>
            <w:tcW w:w="5386" w:type="dxa"/>
            <w:vAlign w:val="center"/>
          </w:tcPr>
          <w:p>
            <w:pPr>
              <w:pStyle w:val="11"/>
            </w:pPr>
            <w:r>
              <w:t>及时足额救助</w:t>
            </w:r>
          </w:p>
        </w:tc>
        <w:tc>
          <w:tcPr>
            <w:tcW w:w="2268" w:type="dxa"/>
            <w:vAlign w:val="center"/>
          </w:tcPr>
          <w:p>
            <w:pPr>
              <w:pStyle w:val="11"/>
            </w:pPr>
            <w:r>
              <w:t>保质保量完成</w:t>
            </w:r>
          </w:p>
        </w:tc>
        <w:tc>
          <w:tcPr>
            <w:tcW w:w="1276" w:type="dxa"/>
            <w:vAlign w:val="center"/>
          </w:tcPr>
          <w:p>
            <w:pPr>
              <w:pStyle w:val="11"/>
            </w:pPr>
            <w:r>
              <w:t>建档困难职工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时效指标</w:t>
            </w:r>
          </w:p>
        </w:tc>
        <w:tc>
          <w:tcPr>
            <w:tcW w:w="2835" w:type="dxa"/>
            <w:vAlign w:val="center"/>
          </w:tcPr>
          <w:p>
            <w:pPr>
              <w:pStyle w:val="11"/>
            </w:pPr>
            <w:r>
              <w:t>及时救助</w:t>
            </w:r>
          </w:p>
        </w:tc>
        <w:tc>
          <w:tcPr>
            <w:tcW w:w="5386" w:type="dxa"/>
            <w:vAlign w:val="center"/>
          </w:tcPr>
          <w:p>
            <w:pPr>
              <w:pStyle w:val="11"/>
            </w:pPr>
            <w:r>
              <w:t>按照年初计划及时救助</w:t>
            </w:r>
          </w:p>
        </w:tc>
        <w:tc>
          <w:tcPr>
            <w:tcW w:w="2268" w:type="dxa"/>
            <w:vAlign w:val="center"/>
          </w:tcPr>
          <w:p>
            <w:pPr>
              <w:pStyle w:val="11"/>
            </w:pPr>
            <w:r>
              <w:t>及时救助</w:t>
            </w:r>
          </w:p>
        </w:tc>
        <w:tc>
          <w:tcPr>
            <w:tcW w:w="1276" w:type="dxa"/>
            <w:vAlign w:val="center"/>
          </w:tcPr>
          <w:p>
            <w:pPr>
              <w:pStyle w:val="11"/>
            </w:pPr>
            <w:r>
              <w:t>建档困难职工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1"/>
            </w:pPr>
            <w:r>
              <w:t>成本指标</w:t>
            </w:r>
          </w:p>
        </w:tc>
        <w:tc>
          <w:tcPr>
            <w:tcW w:w="2835" w:type="dxa"/>
            <w:vAlign w:val="center"/>
          </w:tcPr>
          <w:p>
            <w:pPr>
              <w:pStyle w:val="11"/>
            </w:pPr>
            <w:r>
              <w:t>预算金额</w:t>
            </w:r>
          </w:p>
        </w:tc>
        <w:tc>
          <w:tcPr>
            <w:tcW w:w="5386" w:type="dxa"/>
            <w:vAlign w:val="center"/>
          </w:tcPr>
          <w:p>
            <w:pPr>
              <w:pStyle w:val="11"/>
            </w:pPr>
            <w:r>
              <w:t>预算金额</w:t>
            </w:r>
          </w:p>
        </w:tc>
        <w:tc>
          <w:tcPr>
            <w:tcW w:w="2268" w:type="dxa"/>
            <w:vAlign w:val="center"/>
          </w:tcPr>
          <w:p>
            <w:pPr>
              <w:pStyle w:val="11"/>
            </w:pPr>
            <w:r>
              <w:t>不超预算金额</w:t>
            </w:r>
          </w:p>
        </w:tc>
        <w:tc>
          <w:tcPr>
            <w:tcW w:w="1276" w:type="dxa"/>
            <w:vAlign w:val="center"/>
          </w:tcPr>
          <w:p>
            <w:pPr>
              <w:pStyle w:val="11"/>
            </w:pPr>
            <w:r>
              <w:t>建档困难职工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职工生活状况</w:t>
            </w:r>
          </w:p>
        </w:tc>
        <w:tc>
          <w:tcPr>
            <w:tcW w:w="5386" w:type="dxa"/>
            <w:vAlign w:val="center"/>
          </w:tcPr>
          <w:p>
            <w:pPr>
              <w:pStyle w:val="11"/>
            </w:pPr>
            <w:r>
              <w:t>入户走访或电话回访收集职工反馈意见</w:t>
            </w:r>
          </w:p>
        </w:tc>
        <w:tc>
          <w:tcPr>
            <w:tcW w:w="2268" w:type="dxa"/>
            <w:vAlign w:val="center"/>
          </w:tcPr>
          <w:p>
            <w:pPr>
              <w:pStyle w:val="11"/>
            </w:pPr>
            <w:r>
              <w:t>≥0.95百分率</w:t>
            </w:r>
          </w:p>
        </w:tc>
        <w:tc>
          <w:tcPr>
            <w:tcW w:w="1276" w:type="dxa"/>
            <w:vAlign w:val="center"/>
          </w:tcPr>
          <w:p>
            <w:pPr>
              <w:pStyle w:val="11"/>
            </w:pPr>
            <w:r>
              <w:t>建档困难职工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受助困难职工满意度</w:t>
            </w:r>
          </w:p>
        </w:tc>
        <w:tc>
          <w:tcPr>
            <w:tcW w:w="5386" w:type="dxa"/>
            <w:vAlign w:val="center"/>
          </w:tcPr>
          <w:p>
            <w:pPr>
              <w:pStyle w:val="11"/>
            </w:pPr>
            <w:r>
              <w:t>受助困难职工对工会帮扶救助工作的满意度</w:t>
            </w:r>
          </w:p>
        </w:tc>
        <w:tc>
          <w:tcPr>
            <w:tcW w:w="2268" w:type="dxa"/>
            <w:vAlign w:val="center"/>
          </w:tcPr>
          <w:p>
            <w:pPr>
              <w:pStyle w:val="11"/>
            </w:pPr>
            <w:r>
              <w:t>≥0.95百分率</w:t>
            </w:r>
          </w:p>
        </w:tc>
        <w:tc>
          <w:tcPr>
            <w:tcW w:w="1276" w:type="dxa"/>
            <w:vAlign w:val="center"/>
          </w:tcPr>
          <w:p>
            <w:pPr>
              <w:pStyle w:val="11"/>
            </w:pPr>
            <w:r>
              <w:t>建档困难职工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711隆尧县总工会</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6" w:type="dxa"/>
            <w:gridSpan w:val="7"/>
            <w:vAlign w:val="center"/>
          </w:tcPr>
          <w:p>
            <w:pPr>
              <w:pStyle w:val="9"/>
            </w:pPr>
            <w:r>
              <w:t>政府采购金额（当年部门预算安排资金）</w:t>
            </w:r>
          </w:p>
        </w:tc>
        <w:tc>
          <w:tcPr>
            <w:tcW w:w="964" w:type="dxa"/>
            <w:vMerge w:val="restart"/>
            <w:vAlign w:val="center"/>
          </w:tcPr>
          <w:p>
            <w:pPr>
              <w:pStyle w:val="9"/>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隆尧县总工会（含所属单位）上年末固定资产金额为0.00万元（详见下表）。本年度拟购置固定资产总额为0.00万元，已按要求列入政府采购预算，详见政府采购预算表。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711隆尧县总工会</w:t>
            </w:r>
          </w:p>
        </w:tc>
        <w:tc>
          <w:tcPr>
            <w:tcW w:w="5669" w:type="dxa"/>
            <w:gridSpan w:val="2"/>
            <w:tcBorders>
              <w:top w:val="single" w:color="FFFFFF" w:sz="6" w:space="0"/>
              <w:left w:val="single" w:color="FFFFFF" w:sz="6" w:space="0"/>
              <w:right w:val="single" w:color="FFFFFF" w:sz="6" w:space="0"/>
            </w:tcBorders>
            <w:vAlign w:val="center"/>
          </w:tcPr>
          <w:p>
            <w:pPr>
              <w:pStyle w:val="6"/>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p>
        </w:tc>
        <w:tc>
          <w:tcPr>
            <w:tcW w:w="2835" w:type="dxa"/>
            <w:vAlign w:val="center"/>
          </w:tcPr>
          <w:p>
            <w:pPr>
              <w:pStyle w:val="12"/>
            </w:pPr>
          </w:p>
        </w:tc>
        <w:tc>
          <w:tcPr>
            <w:tcW w:w="2835" w:type="dxa"/>
            <w:vAlign w:val="center"/>
          </w:tcPr>
          <w:p>
            <w:pPr>
              <w:pStyle w:val="10"/>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701F7"/>
    <w:rsid w:val="002701F7"/>
    <w:rsid w:val="002D6925"/>
    <w:rsid w:val="002E4D81"/>
    <w:rsid w:val="002F3B46"/>
    <w:rsid w:val="0032656A"/>
    <w:rsid w:val="003D34D5"/>
    <w:rsid w:val="004223B5"/>
    <w:rsid w:val="00526AA6"/>
    <w:rsid w:val="00684D45"/>
    <w:rsid w:val="007145DF"/>
    <w:rsid w:val="00862071"/>
    <w:rsid w:val="00B0048F"/>
    <w:rsid w:val="00BC41CA"/>
    <w:rsid w:val="00F2107E"/>
    <w:rsid w:val="00F804BC"/>
    <w:rsid w:val="05656A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0"/>
    <w:pPr>
      <w:widowControl w:val="0"/>
      <w:spacing w:beforeAutospacing="1" w:afterAutospacing="1"/>
    </w:pPr>
    <w:rPr>
      <w:rFonts w:asciiTheme="minorHAnsi" w:hAnsiTheme="minorHAnsi" w:eastAsiaTheme="minorEastAsia"/>
      <w:lang w:eastAsia="zh-CN"/>
    </w:rPr>
  </w:style>
  <w:style w:type="table" w:styleId="4">
    <w:name w:val="Table Grid"/>
    <w:basedOn w:val="3"/>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预算公开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TOC 2"/>
    <w:basedOn w:val="1"/>
    <w:qFormat/>
    <w:uiPriority w:val="0"/>
    <w:pPr>
      <w:ind w:left="240"/>
    </w:pPr>
  </w:style>
  <w:style w:type="paragraph" w:customStyle="1" w:styleId="25">
    <w:name w:val="TOC 3"/>
    <w:basedOn w:val="1"/>
    <w:qFormat/>
    <w:uiPriority w:val="0"/>
    <w:pPr>
      <w:ind w:left="480"/>
    </w:pPr>
  </w:style>
  <w:style w:type="paragraph" w:customStyle="1" w:styleId="26">
    <w:name w:val="TOC 1"/>
    <w:basedOn w:val="1"/>
    <w:qFormat/>
    <w:uiPriority w:val="0"/>
    <w:pPr>
      <w:spacing w:before="120"/>
      <w:ind w:firstLine="560"/>
    </w:pPr>
    <w:rPr>
      <w:rFonts w:eastAsia="方正仿宋_GBK"/>
      <w:color w:val="000000"/>
      <w:sz w:val="28"/>
    </w:rPr>
  </w:style>
  <w:style w:type="paragraph" w:customStyle="1" w:styleId="27">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3BBCCC9-7A11-42A1-A8F1-35968135205F}">
  <ds:schemaRefs/>
</ds:datastoreItem>
</file>

<file path=customXml/itemProps11.xml><?xml version="1.0" encoding="utf-8"?>
<ds:datastoreItem xmlns:ds="http://schemas.openxmlformats.org/officeDocument/2006/customXml" ds:itemID="{27CF273D-846F-42EA-9F71-DD1D76493C6B}">
  <ds:schemaRefs/>
</ds:datastoreItem>
</file>

<file path=customXml/itemProps12.xml><?xml version="1.0" encoding="utf-8"?>
<ds:datastoreItem xmlns:ds="http://schemas.openxmlformats.org/officeDocument/2006/customXml" ds:itemID="{361380ED-7A6B-4B84-AA7F-141804DFC2CA}">
  <ds:schemaRefs/>
</ds:datastoreItem>
</file>

<file path=customXml/itemProps13.xml><?xml version="1.0" encoding="utf-8"?>
<ds:datastoreItem xmlns:ds="http://schemas.openxmlformats.org/officeDocument/2006/customXml" ds:itemID="{9A7321E5-841D-4888-AB9C-C0E82CA63B74}">
  <ds:schemaRefs/>
</ds:datastoreItem>
</file>

<file path=customXml/itemProps14.xml><?xml version="1.0" encoding="utf-8"?>
<ds:datastoreItem xmlns:ds="http://schemas.openxmlformats.org/officeDocument/2006/customXml" ds:itemID="{DEAD6790-727D-4D52-A8FB-97DC3469815A}">
  <ds:schemaRefs/>
</ds:datastoreItem>
</file>

<file path=customXml/itemProps15.xml><?xml version="1.0" encoding="utf-8"?>
<ds:datastoreItem xmlns:ds="http://schemas.openxmlformats.org/officeDocument/2006/customXml" ds:itemID="{863A0881-4D3E-411C-B34C-F4CFB75DB5BA}">
  <ds:schemaRefs/>
</ds:datastoreItem>
</file>

<file path=customXml/itemProps16.xml><?xml version="1.0" encoding="utf-8"?>
<ds:datastoreItem xmlns:ds="http://schemas.openxmlformats.org/officeDocument/2006/customXml" ds:itemID="{1D5FEFF4-498F-4AA5-A06D-1FF6BB7523EE}">
  <ds:schemaRefs/>
</ds:datastoreItem>
</file>

<file path=customXml/itemProps17.xml><?xml version="1.0" encoding="utf-8"?>
<ds:datastoreItem xmlns:ds="http://schemas.openxmlformats.org/officeDocument/2006/customXml" ds:itemID="{3D2C3B27-FE2A-4704-B577-1B9CB3CE497A}">
  <ds:schemaRefs/>
</ds:datastoreItem>
</file>

<file path=customXml/itemProps18.xml><?xml version="1.0" encoding="utf-8"?>
<ds:datastoreItem xmlns:ds="http://schemas.openxmlformats.org/officeDocument/2006/customXml" ds:itemID="{23CF4AD6-4FD2-4BEB-9659-8EC19811977F}">
  <ds:schemaRefs/>
</ds:datastoreItem>
</file>

<file path=customXml/itemProps19.xml><?xml version="1.0" encoding="utf-8"?>
<ds:datastoreItem xmlns:ds="http://schemas.openxmlformats.org/officeDocument/2006/customXml" ds:itemID="{3849351F-BFFF-4BD9-8F21-FC06CDBFF834}">
  <ds:schemaRefs/>
</ds:datastoreItem>
</file>

<file path=customXml/itemProps2.xml><?xml version="1.0" encoding="utf-8"?>
<ds:datastoreItem xmlns:ds="http://schemas.openxmlformats.org/officeDocument/2006/customXml" ds:itemID="{84DAEE5A-7BD0-49A1-BB26-C1D0C6707139}">
  <ds:schemaRefs/>
</ds:datastoreItem>
</file>

<file path=customXml/itemProps3.xml><?xml version="1.0" encoding="utf-8"?>
<ds:datastoreItem xmlns:ds="http://schemas.openxmlformats.org/officeDocument/2006/customXml" ds:itemID="{2D04DE40-C88E-4F88-A1D4-37476B53C827}">
  <ds:schemaRefs/>
</ds:datastoreItem>
</file>

<file path=customXml/itemProps4.xml><?xml version="1.0" encoding="utf-8"?>
<ds:datastoreItem xmlns:ds="http://schemas.openxmlformats.org/officeDocument/2006/customXml" ds:itemID="{05883080-B92F-4A00-BF67-69CEE02BBAAB}">
  <ds:schemaRefs/>
</ds:datastoreItem>
</file>

<file path=customXml/itemProps5.xml><?xml version="1.0" encoding="utf-8"?>
<ds:datastoreItem xmlns:ds="http://schemas.openxmlformats.org/officeDocument/2006/customXml" ds:itemID="{650EAB16-33BF-428B-B902-AC8052C340AE}">
  <ds:schemaRefs/>
</ds:datastoreItem>
</file>

<file path=customXml/itemProps6.xml><?xml version="1.0" encoding="utf-8"?>
<ds:datastoreItem xmlns:ds="http://schemas.openxmlformats.org/officeDocument/2006/customXml" ds:itemID="{B43DA010-EF2B-45E9-A039-66D4E751C959}">
  <ds:schemaRefs/>
</ds:datastoreItem>
</file>

<file path=customXml/itemProps7.xml><?xml version="1.0" encoding="utf-8"?>
<ds:datastoreItem xmlns:ds="http://schemas.openxmlformats.org/officeDocument/2006/customXml" ds:itemID="{7D46A553-B2DB-4B2F-A69B-F6DCAEAE8721}">
  <ds:schemaRefs/>
</ds:datastoreItem>
</file>

<file path=customXml/itemProps8.xml><?xml version="1.0" encoding="utf-8"?>
<ds:datastoreItem xmlns:ds="http://schemas.openxmlformats.org/officeDocument/2006/customXml" ds:itemID="{B851A478-D837-4C60-AE88-924955B4128D}">
  <ds:schemaRefs/>
</ds:datastoreItem>
</file>

<file path=customXml/itemProps9.xml><?xml version="1.0" encoding="utf-8"?>
<ds:datastoreItem xmlns:ds="http://schemas.openxmlformats.org/officeDocument/2006/customXml" ds:itemID="{7EAD2CD2-7787-4E7F-8407-FF4208957791}">
  <ds:schemaRefs/>
</ds:datastoreItem>
</file>

<file path=docProps/app.xml><?xml version="1.0" encoding="utf-8"?>
<Properties xmlns="http://schemas.openxmlformats.org/officeDocument/2006/extended-properties" xmlns:vt="http://schemas.openxmlformats.org/officeDocument/2006/docPropsVTypes">
  <Template>Normal</Template>
  <Pages>31</Pages>
  <Words>2254</Words>
  <Characters>12849</Characters>
  <Lines>107</Lines>
  <Paragraphs>30</Paragraphs>
  <TotalTime>14</TotalTime>
  <ScaleCrop>false</ScaleCrop>
  <LinksUpToDate>false</LinksUpToDate>
  <CharactersWithSpaces>15073</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2024-02-06T15:30:00Z</dcterms:created>
  <dc:creator>Administrator</dc:creator>
  <cp:lastModifiedBy>守候幸福</cp:lastModifiedBy>
  <dcterms:modified xsi:type="dcterms:W3CDTF">2026-01-09T02:30:32Z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