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AF553B">
      <w:pPr>
        <w:keepNext w:val="0"/>
        <w:keepLines w:val="0"/>
        <w:pageBreakBefore w:val="0"/>
        <w:kinsoku/>
        <w:wordWrap/>
        <w:overflowPunct/>
        <w:topLinePunct w:val="0"/>
        <w:autoSpaceDE/>
        <w:autoSpaceDN/>
        <w:bidi w:val="0"/>
        <w:adjustRightInd/>
        <w:snapToGrid w:val="0"/>
        <w:spacing w:line="600" w:lineRule="exact"/>
        <w:jc w:val="left"/>
        <w:rPr>
          <w:rFonts w:hint="default" w:ascii="Times New Roman" w:hAnsi="Times New Roman" w:eastAsia="仿宋" w:cs="Times New Roman"/>
          <w:sz w:val="32"/>
          <w:szCs w:val="32"/>
          <w:lang w:val="en-US" w:eastAsia="zh-CN"/>
        </w:rPr>
      </w:pPr>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14:paraId="055D8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9592" w:type="dxa"/>
            <w:gridSpan w:val="4"/>
            <w:tcBorders>
              <w:top w:val="nil"/>
              <w:left w:val="nil"/>
              <w:bottom w:val="nil"/>
              <w:right w:val="nil"/>
            </w:tcBorders>
            <w:noWrap w:val="0"/>
            <w:vAlign w:val="center"/>
          </w:tcPr>
          <w:p w14:paraId="1E0B853F">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方正小标宋简体" w:cs="Times New Roman"/>
                <w:i w:val="0"/>
                <w:color w:val="000000"/>
                <w:sz w:val="32"/>
                <w:szCs w:val="32"/>
                <w:u w:val="none"/>
              </w:rPr>
            </w:pPr>
            <w:r>
              <w:rPr>
                <w:rFonts w:hint="default" w:ascii="Times New Roman" w:hAnsi="Times New Roman" w:eastAsia="方正小标宋简体" w:cs="Times New Roman"/>
                <w:i w:val="0"/>
                <w:color w:val="000000"/>
                <w:spacing w:val="1"/>
                <w:w w:val="74"/>
                <w:kern w:val="0"/>
                <w:sz w:val="44"/>
                <w:szCs w:val="44"/>
                <w:u w:val="none"/>
                <w:fitText w:val="9602" w:id="785002775"/>
                <w:lang w:val="en-US" w:eastAsia="zh-CN" w:bidi="ar"/>
              </w:rPr>
              <w:t>隆尧县</w:t>
            </w:r>
            <w:r>
              <w:rPr>
                <w:rFonts w:hint="eastAsia" w:ascii="Times New Roman" w:hAnsi="Times New Roman" w:eastAsia="方正小标宋简体" w:cs="Times New Roman"/>
                <w:i w:val="0"/>
                <w:color w:val="000000"/>
                <w:spacing w:val="1"/>
                <w:w w:val="74"/>
                <w:kern w:val="0"/>
                <w:sz w:val="44"/>
                <w:szCs w:val="44"/>
                <w:u w:val="none"/>
                <w:fitText w:val="9602" w:id="785002775"/>
                <w:lang w:val="en-US" w:eastAsia="zh-CN" w:bidi="ar"/>
              </w:rPr>
              <w:t>东良镇人民政府涉企行政检查事项清单及依据（</w:t>
            </w:r>
            <w:r>
              <w:rPr>
                <w:rFonts w:hint="default" w:ascii="Times New Roman" w:hAnsi="Times New Roman" w:eastAsia="方正小标宋简体" w:cs="Times New Roman"/>
                <w:i w:val="0"/>
                <w:color w:val="000000"/>
                <w:spacing w:val="1"/>
                <w:w w:val="74"/>
                <w:kern w:val="0"/>
                <w:sz w:val="44"/>
                <w:szCs w:val="44"/>
                <w:u w:val="none"/>
                <w:fitText w:val="9602" w:id="785002775"/>
                <w:lang w:val="en-US" w:eastAsia="zh-CN" w:bidi="ar"/>
              </w:rPr>
              <w:t>2024年版</w:t>
            </w:r>
            <w:r>
              <w:rPr>
                <w:rFonts w:hint="eastAsia" w:ascii="Times New Roman" w:hAnsi="Times New Roman" w:eastAsia="方正小标宋简体" w:cs="Times New Roman"/>
                <w:i w:val="0"/>
                <w:color w:val="000000"/>
                <w:spacing w:val="42"/>
                <w:w w:val="74"/>
                <w:kern w:val="0"/>
                <w:sz w:val="44"/>
                <w:szCs w:val="44"/>
                <w:u w:val="none"/>
                <w:fitText w:val="9602" w:id="785002775"/>
                <w:lang w:val="en-US" w:eastAsia="zh-CN" w:bidi="ar"/>
              </w:rPr>
              <w:t>）</w:t>
            </w:r>
          </w:p>
        </w:tc>
      </w:tr>
      <w:tr w14:paraId="3681E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5CEEE05">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序号</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B3348FD">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领域类别</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623F3CE8">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事项名称</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2C0B057A">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设定依据</w:t>
            </w:r>
          </w:p>
        </w:tc>
      </w:tr>
      <w:tr w14:paraId="45FFE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1"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64D51793">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Times New Roman" w:hAnsi="Times New Roman" w:eastAsia="仿宋_GB2312" w:cs="Times New Roman"/>
                <w:i w:val="0"/>
                <w:color w:val="000000"/>
                <w:sz w:val="22"/>
                <w:szCs w:val="22"/>
                <w:u w:val="none"/>
                <w:lang w:val="en-US" w:eastAsia="zh-CN"/>
              </w:rPr>
            </w:pPr>
            <w:r>
              <w:rPr>
                <w:rFonts w:hint="eastAsia" w:ascii="Times New Roman" w:hAnsi="Times New Roman" w:eastAsia="仿宋_GB2312" w:cs="Times New Roman"/>
                <w:i w:val="0"/>
                <w:color w:val="000000"/>
                <w:sz w:val="22"/>
                <w:szCs w:val="22"/>
                <w:u w:val="none"/>
                <w:lang w:val="en-US" w:eastAsia="zh-CN"/>
              </w:rPr>
              <w:t>1</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08A9A64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08424E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对从事车辆清洗、维修经营活动，未在室内进行，占用道路、绿地、公共场所等的行政处罚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43EDCA3">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《河北省城市市容和环境卫生条例》（2023年11月30日修正）第三十八条</w:t>
            </w:r>
          </w:p>
        </w:tc>
      </w:tr>
      <w:tr w14:paraId="0EE33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1" w:hRule="atLeast"/>
          <w:jc w:val="center"/>
        </w:trPr>
        <w:tc>
          <w:tcPr>
            <w:tcW w:w="846" w:type="dxa"/>
            <w:tcBorders>
              <w:top w:val="single" w:color="000000" w:sz="4" w:space="0"/>
              <w:left w:val="single" w:color="000000" w:sz="4" w:space="0"/>
              <w:bottom w:val="single" w:color="000000" w:sz="4" w:space="0"/>
              <w:right w:val="single" w:color="000000" w:sz="4" w:space="0"/>
            </w:tcBorders>
            <w:shd w:val="clear"/>
            <w:noWrap w:val="0"/>
            <w:vAlign w:val="center"/>
          </w:tcPr>
          <w:p w14:paraId="4B5B2DA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Times New Roman" w:hAnsi="Times New Roman" w:eastAsia="仿宋_GB2312" w:cs="Times New Roman"/>
                <w:i w:val="0"/>
                <w:color w:val="000000"/>
                <w:kern w:val="2"/>
                <w:sz w:val="22"/>
                <w:szCs w:val="22"/>
                <w:u w:val="none"/>
                <w:lang w:val="en-US" w:eastAsia="zh-CN" w:bidi="ar-SA"/>
              </w:rPr>
            </w:pPr>
            <w:r>
              <w:rPr>
                <w:rFonts w:hint="eastAsia" w:ascii="Times New Roman" w:hAnsi="Times New Roman" w:eastAsia="仿宋_GB2312" w:cs="Times New Roman"/>
                <w:i w:val="0"/>
                <w:color w:val="000000"/>
                <w:spacing w:val="-6"/>
                <w:kern w:val="0"/>
                <w:sz w:val="22"/>
                <w:szCs w:val="22"/>
                <w:u w:val="none"/>
                <w:lang w:val="en-US" w:eastAsia="zh-CN" w:bidi="ar"/>
              </w:rPr>
              <w:t>2</w:t>
            </w:r>
          </w:p>
        </w:tc>
        <w:tc>
          <w:tcPr>
            <w:tcW w:w="1084" w:type="dxa"/>
            <w:tcBorders>
              <w:top w:val="single" w:color="000000" w:sz="4" w:space="0"/>
              <w:left w:val="single" w:color="000000" w:sz="4" w:space="0"/>
              <w:bottom w:val="single" w:color="000000" w:sz="4" w:space="0"/>
              <w:right w:val="single" w:color="000000" w:sz="4" w:space="0"/>
            </w:tcBorders>
            <w:shd w:val="clear"/>
            <w:noWrap w:val="0"/>
            <w:vAlign w:val="center"/>
          </w:tcPr>
          <w:p w14:paraId="4F81EC20">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kern w:val="2"/>
                <w:sz w:val="22"/>
                <w:szCs w:val="22"/>
                <w:u w:val="none"/>
                <w:lang w:val="en-US" w:eastAsia="zh-CN" w:bidi="ar-SA"/>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shd w:val="clear"/>
            <w:noWrap w:val="0"/>
            <w:vAlign w:val="center"/>
          </w:tcPr>
          <w:p w14:paraId="02A08EDB">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kern w:val="2"/>
                <w:sz w:val="22"/>
                <w:szCs w:val="22"/>
                <w:u w:val="none"/>
                <w:lang w:val="en-US" w:eastAsia="zh-CN" w:bidi="ar-SA"/>
              </w:rPr>
            </w:pPr>
            <w:r>
              <w:rPr>
                <w:rFonts w:hint="default" w:ascii="Times New Roman" w:hAnsi="Times New Roman" w:eastAsia="仿宋_GB2312" w:cs="Times New Roman"/>
                <w:i w:val="0"/>
                <w:color w:val="000000"/>
                <w:spacing w:val="-6"/>
                <w:kern w:val="0"/>
                <w:sz w:val="22"/>
                <w:szCs w:val="22"/>
                <w:u w:val="none"/>
                <w:lang w:val="en-US" w:eastAsia="zh-CN" w:bidi="ar"/>
              </w:rPr>
              <w:t>对农业经营主体因未妥善采取综合利用措施，对农产品采收后的秸秆及树叶、荒草予以处理，致使露天焚烧的行政处罚</w:t>
            </w:r>
          </w:p>
        </w:tc>
        <w:tc>
          <w:tcPr>
            <w:tcW w:w="4650" w:type="dxa"/>
            <w:tcBorders>
              <w:top w:val="single" w:color="000000" w:sz="4" w:space="0"/>
              <w:left w:val="single" w:color="000000" w:sz="4" w:space="0"/>
              <w:bottom w:val="single" w:color="000000" w:sz="4" w:space="0"/>
              <w:right w:val="single" w:color="000000" w:sz="4" w:space="0"/>
            </w:tcBorders>
            <w:shd w:val="clear"/>
            <w:noWrap w:val="0"/>
            <w:vAlign w:val="center"/>
          </w:tcPr>
          <w:p w14:paraId="21CB06A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kern w:val="2"/>
                <w:sz w:val="22"/>
                <w:szCs w:val="22"/>
                <w:u w:val="none"/>
                <w:lang w:val="en-US" w:eastAsia="zh-CN" w:bidi="ar-SA"/>
              </w:rPr>
            </w:pP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《河北省人民代表大会常务委员会关于促进农作物秸秆综合利用和禁止露天焚烧的决定》（2018年7月27日修订）第二十五条</w:t>
            </w:r>
          </w:p>
        </w:tc>
      </w:tr>
      <w:tr w14:paraId="501FB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1" w:hRule="atLeast"/>
          <w:jc w:val="center"/>
        </w:trPr>
        <w:tc>
          <w:tcPr>
            <w:tcW w:w="846" w:type="dxa"/>
            <w:tcBorders>
              <w:top w:val="single" w:color="000000" w:sz="4" w:space="0"/>
              <w:left w:val="single" w:color="000000" w:sz="4" w:space="0"/>
              <w:bottom w:val="single" w:color="000000" w:sz="4" w:space="0"/>
              <w:right w:val="single" w:color="000000" w:sz="4" w:space="0"/>
            </w:tcBorders>
            <w:shd w:val="clear"/>
            <w:noWrap w:val="0"/>
            <w:vAlign w:val="center"/>
          </w:tcPr>
          <w:p w14:paraId="60CA2917">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eastAsia" w:ascii="Times New Roman" w:hAnsi="Times New Roman" w:eastAsia="仿宋_GB2312" w:cs="Times New Roman"/>
                <w:i w:val="0"/>
                <w:color w:val="000000"/>
                <w:kern w:val="2"/>
                <w:sz w:val="22"/>
                <w:szCs w:val="22"/>
                <w:u w:val="none"/>
                <w:lang w:val="en-US" w:eastAsia="zh-CN" w:bidi="ar-SA"/>
              </w:rPr>
            </w:pPr>
            <w:r>
              <w:rPr>
                <w:rFonts w:hint="eastAsia" w:ascii="Times New Roman" w:hAnsi="Times New Roman" w:eastAsia="仿宋_GB2312" w:cs="Times New Roman"/>
                <w:i w:val="0"/>
                <w:color w:val="000000"/>
                <w:sz w:val="22"/>
                <w:szCs w:val="22"/>
                <w:u w:val="none"/>
                <w:lang w:val="en-US" w:eastAsia="zh-CN"/>
              </w:rPr>
              <w:t>3</w:t>
            </w:r>
          </w:p>
        </w:tc>
        <w:tc>
          <w:tcPr>
            <w:tcW w:w="1084" w:type="dxa"/>
            <w:tcBorders>
              <w:top w:val="single" w:color="000000" w:sz="4" w:space="0"/>
              <w:left w:val="single" w:color="000000" w:sz="4" w:space="0"/>
              <w:bottom w:val="single" w:color="000000" w:sz="4" w:space="0"/>
              <w:right w:val="single" w:color="000000" w:sz="4" w:space="0"/>
            </w:tcBorders>
            <w:shd w:val="clear"/>
            <w:noWrap w:val="0"/>
            <w:vAlign w:val="center"/>
          </w:tcPr>
          <w:p w14:paraId="78BA8072">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kern w:val="2"/>
                <w:sz w:val="22"/>
                <w:szCs w:val="22"/>
                <w:u w:val="none"/>
                <w:lang w:val="en-US" w:eastAsia="zh-CN" w:bidi="ar-SA"/>
              </w:rPr>
            </w:pPr>
            <w:r>
              <w:rPr>
                <w:rFonts w:hint="default" w:ascii="Times New Roman" w:hAnsi="Times New Roman" w:eastAsia="仿宋_GB2312" w:cs="Times New Roman"/>
                <w:i w:val="0"/>
                <w:color w:val="000000"/>
                <w:spacing w:val="-6"/>
                <w:kern w:val="0"/>
                <w:sz w:val="22"/>
                <w:szCs w:val="22"/>
                <w:u w:val="none"/>
                <w:lang w:val="en-US" w:eastAsia="zh-CN" w:bidi="ar"/>
              </w:rPr>
              <w:t>民族事务</w:t>
            </w:r>
          </w:p>
        </w:tc>
        <w:tc>
          <w:tcPr>
            <w:tcW w:w="3012" w:type="dxa"/>
            <w:tcBorders>
              <w:top w:val="single" w:color="000000" w:sz="4" w:space="0"/>
              <w:left w:val="single" w:color="000000" w:sz="4" w:space="0"/>
              <w:bottom w:val="single" w:color="000000" w:sz="4" w:space="0"/>
              <w:right w:val="single" w:color="000000" w:sz="4" w:space="0"/>
            </w:tcBorders>
            <w:shd w:val="clear"/>
            <w:noWrap w:val="0"/>
            <w:vAlign w:val="center"/>
          </w:tcPr>
          <w:p w14:paraId="018C121B">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kern w:val="2"/>
                <w:sz w:val="22"/>
                <w:szCs w:val="22"/>
                <w:u w:val="none"/>
                <w:lang w:val="en-US" w:eastAsia="zh-CN" w:bidi="ar-SA"/>
              </w:rPr>
            </w:pPr>
            <w:r>
              <w:rPr>
                <w:rFonts w:hint="default" w:ascii="Times New Roman" w:hAnsi="Times New Roman" w:eastAsia="仿宋_GB2312" w:cs="Times New Roman"/>
                <w:i w:val="0"/>
                <w:color w:val="000000"/>
                <w:spacing w:val="-6"/>
                <w:kern w:val="0"/>
                <w:sz w:val="22"/>
                <w:szCs w:val="22"/>
                <w:u w:val="none"/>
                <w:lang w:val="en-US" w:eastAsia="zh-CN" w:bidi="ar"/>
              </w:rPr>
              <w:t>对未按照要求生产、经营清真食品的行政处罚</w:t>
            </w:r>
          </w:p>
        </w:tc>
        <w:tc>
          <w:tcPr>
            <w:tcW w:w="4650" w:type="dxa"/>
            <w:tcBorders>
              <w:top w:val="single" w:color="000000" w:sz="4" w:space="0"/>
              <w:left w:val="single" w:color="000000" w:sz="4" w:space="0"/>
              <w:bottom w:val="single" w:color="000000" w:sz="4" w:space="0"/>
              <w:right w:val="single" w:color="000000" w:sz="4" w:space="0"/>
            </w:tcBorders>
            <w:shd w:val="clear"/>
            <w:noWrap w:val="0"/>
            <w:vAlign w:val="center"/>
          </w:tcPr>
          <w:p w14:paraId="36B646B7">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kern w:val="2"/>
                <w:sz w:val="22"/>
                <w:szCs w:val="22"/>
                <w:u w:val="none"/>
                <w:lang w:val="en-US" w:eastAsia="zh-CN" w:bidi="ar-SA"/>
              </w:rPr>
            </w:pPr>
            <w:r>
              <w:rPr>
                <w:rFonts w:hint="default" w:ascii="Times New Roman" w:hAnsi="Times New Roman" w:eastAsia="仿宋_GB2312" w:cs="Times New Roman"/>
                <w:i w:val="0"/>
                <w:color w:val="000000"/>
                <w:spacing w:val="-6"/>
                <w:kern w:val="0"/>
                <w:sz w:val="22"/>
                <w:szCs w:val="22"/>
                <w:u w:val="none"/>
                <w:lang w:val="en-US" w:eastAsia="zh-CN" w:bidi="ar"/>
              </w:rPr>
              <w:t>《河北省清真食品管理条例》（1999年11月29日公布）第十七条第（一）（二）（三）（四）（六）（七）（八）项</w:t>
            </w:r>
          </w:p>
        </w:tc>
      </w:tr>
    </w:tbl>
    <w:p w14:paraId="69336202">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pacing w:val="-6"/>
          <w:kern w:val="0"/>
          <w:sz w:val="22"/>
          <w:szCs w:val="22"/>
          <w:u w:val="none"/>
          <w:lang w:val="en-US" w:eastAsia="zh-CN" w:bidi="ar"/>
        </w:rPr>
        <w:sectPr>
          <w:footerReference r:id="rId3" w:type="default"/>
          <w:pgSz w:w="11906" w:h="16838"/>
          <w:pgMar w:top="2041" w:right="1474" w:bottom="1474" w:left="1474" w:header="851" w:footer="992" w:gutter="0"/>
          <w:pgNumType w:fmt="decimal"/>
          <w:cols w:space="720" w:num="1"/>
          <w:docGrid w:type="lines" w:linePitch="312" w:charSpace="0"/>
        </w:sectPr>
      </w:pPr>
      <w:bookmarkStart w:id="0" w:name="_GoBack"/>
      <w:bookmarkEnd w:id="0"/>
    </w:p>
    <w:p w14:paraId="36CDFD8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cs="Times New Roman"/>
          <w:lang w:val="en-US" w:eastAsia="zh-CN"/>
        </w:rPr>
      </w:pPr>
    </w:p>
    <w:p w14:paraId="0C4828BB">
      <w:pPr>
        <w:rPr>
          <w:rFonts w:hint="default" w:ascii="Times New Roman" w:hAnsi="Times New Roman" w:eastAsia="仿宋_GB2312" w:cs="Times New Roman"/>
          <w:sz w:val="32"/>
          <w:szCs w:val="32"/>
          <w:lang w:val="en-US" w:eastAsia="zh-CN"/>
        </w:rPr>
      </w:pPr>
    </w:p>
    <w:sectPr>
      <w:footerReference r:id="rId4" w:type="default"/>
      <w:pgSz w:w="11906" w:h="16838"/>
      <w:pgMar w:top="2041" w:right="1474" w:bottom="1474" w:left="1474"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小标宋">
    <w:altName w:val="微软雅黑"/>
    <w:panose1 w:val="03000509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61F468">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8C320">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637510"/>
    <w:rsid w:val="06B87EC9"/>
    <w:rsid w:val="07BD1B5C"/>
    <w:rsid w:val="0FFE2EC2"/>
    <w:rsid w:val="15702E72"/>
    <w:rsid w:val="1BD22299"/>
    <w:rsid w:val="1E411607"/>
    <w:rsid w:val="1E89054E"/>
    <w:rsid w:val="27D356B9"/>
    <w:rsid w:val="30637510"/>
    <w:rsid w:val="3FFD737B"/>
    <w:rsid w:val="4A2F61E8"/>
    <w:rsid w:val="4AAD65B3"/>
    <w:rsid w:val="4B5978AA"/>
    <w:rsid w:val="4DC22ADE"/>
    <w:rsid w:val="550500A7"/>
    <w:rsid w:val="6EA22B03"/>
    <w:rsid w:val="6FEC3984"/>
    <w:rsid w:val="7397211B"/>
    <w:rsid w:val="7AAA6A4A"/>
    <w:rsid w:val="7B980AF2"/>
    <w:rsid w:val="7C4B0D4E"/>
    <w:rsid w:val="7CFC7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line="0" w:lineRule="atLeast"/>
    </w:pPr>
    <w:rPr>
      <w:rFonts w:eastAsia="小标宋" w:cs="Times New Roman"/>
      <w:sz w:val="44"/>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304</Words>
  <Characters>321</Characters>
  <Lines>0</Lines>
  <Paragraphs>0</Paragraphs>
  <TotalTime>1</TotalTime>
  <ScaleCrop>false</ScaleCrop>
  <LinksUpToDate>false</LinksUpToDate>
  <CharactersWithSpaces>321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2024-12-18T07:40:00Z</dcterms:created>
  <dc:creator>兔子姑娘</dc:creator>
  <cp:lastModifiedBy>✎More</cp:lastModifiedBy>
  <cp:lastPrinted>2024-12-24T01:16:00Z</cp:lastPrinted>
  <dcterms:modified xsi:type="dcterms:W3CDTF">2025-10-30T02:21:12Z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9FAF2BA508B543D882B0DA4C8413B584_13</vt:lpwstr>
  </property>
  <property fmtid="{D5CDD505-2E9C-101B-9397-08002B2CF9AE}" pid="4" name="KSOTemplateDocerSaveRecord">
    <vt:lpwstr>eyJoZGlkIjoiYTcxOTg0NDg3NGQ2YTg5YTM1OGY1YjUxNDdlNmRkYWMiLCJ1c2VySWQiOiIyMTQxMTU0OTEifQ==</vt:lpwstr>
  </property>
</Properties>
</file>