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172C0">
      <w:pPr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  <w:highlight w:val="none"/>
        </w:rPr>
        <w:t>202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  <w:highlight w:val="none"/>
          <w:lang w:val="en-US" w:eastAsia="zh-CN"/>
        </w:rPr>
        <w:t>5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  <w:highlight w:val="none"/>
        </w:rPr>
        <w:t>年隆尧县城市体检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auto"/>
          <w:spacing w:val="8"/>
          <w:sz w:val="44"/>
          <w:szCs w:val="44"/>
          <w:highlight w:val="none"/>
          <w:lang w:val="en-US" w:eastAsia="zh-CN"/>
        </w:rPr>
        <w:t>公示</w:t>
      </w:r>
    </w:p>
    <w:p w14:paraId="32C4BE19">
      <w:pP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</w:rPr>
      </w:pPr>
    </w:p>
    <w:p w14:paraId="785D5203">
      <w:pPr>
        <w:ind w:firstLine="672" w:firstLineChars="20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</w:rPr>
        <w:t>为深入贯彻落实习近平总书记视察河北重要讲话精神，落实党中央、国务院关于建立“城市体检”评估机制的决策部署。2025年2月，省住建厅印发《2025年河北省城市体检工作方案》的通知，隆尧县被列为2025年河北省43个城市体检样本城市之一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eastAsia="zh-CN"/>
        </w:rPr>
        <w:t>。</w:t>
      </w:r>
    </w:p>
    <w:p w14:paraId="211C919A">
      <w:pPr>
        <w:ind w:firstLine="640" w:firstLineChars="200"/>
        <w:rPr>
          <w:rFonts w:hint="eastAsia" w:ascii="楷体" w:hAnsi="楷体" w:eastAsia="楷体" w:cs="楷体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sz w:val="32"/>
          <w:szCs w:val="32"/>
          <w:highlight w:val="none"/>
        </w:rPr>
        <w:t>一、城市体检总体情况</w:t>
      </w:r>
    </w:p>
    <w:p w14:paraId="7BBA75C6">
      <w:pPr>
        <w:pStyle w:val="5"/>
        <w:spacing w:before="0" w:beforeAutospacing="0" w:after="0" w:afterAutospacing="0"/>
        <w:ind w:left="0" w:firstLine="672" w:firstLineChars="20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充分坚持问题导向、目标导向和结果导向，从住房到小区（社区）、街区、城区维度，找出群众反映强烈的难点、堵点等问题，查找影响城市竞争力、承载力和可持续发展的短板弱项，推动城市实现高质量发展。</w:t>
      </w:r>
    </w:p>
    <w:p w14:paraId="02765CB8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本次城市体检在城区维度包括中心城区（含开发区）和东方食品城；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街区维度以中心城区为核心，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结合社区管辖边界，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参考15分钟生活圈标准，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共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划定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2个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街区范围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；住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房、小区（社区）维度选取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个社区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以及东方食品城片区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和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168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个小区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开展。根据隆尧县的城市特点和实际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，完成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了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住房、小区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（社区）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、街区、城区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四个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维度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基本指标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体系，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1个燕赵宜居县城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专项指标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和1个重点更新片区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。</w:t>
      </w:r>
    </w:p>
    <w:p w14:paraId="49A42A97">
      <w:pPr>
        <w:ind w:firstLine="640" w:firstLineChars="200"/>
        <w:rPr>
          <w:rFonts w:hint="eastAsia" w:ascii="楷体" w:hAnsi="楷体" w:eastAsia="楷体" w:cs="楷体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sz w:val="32"/>
          <w:szCs w:val="32"/>
          <w:highlight w:val="none"/>
        </w:rPr>
        <w:t>二、城市体检结论</w:t>
      </w:r>
    </w:p>
    <w:p w14:paraId="2EFFEBBE">
      <w:pPr>
        <w:pStyle w:val="5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504" w:firstLineChars="15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（一）整体发展成效</w:t>
      </w:r>
    </w:p>
    <w:p w14:paraId="2A3505A2">
      <w:pPr>
        <w:pStyle w:val="5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640" w:firstLineChars="200"/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一是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生态宜居水平持续提升，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教育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服务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设施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和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公园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环境品质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显著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提高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。二是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服务与产业协同发展，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经开区与东方食品城配套基础设施建设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步伐加快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。三是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安全保障能力稳步增强，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城区排涝及防灾设施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不断完善</w:t>
      </w:r>
      <w:r>
        <w:rPr>
          <w:rFonts w:hint="eastAsia" w:ascii="仿宋" w:hAnsi="仿宋" w:eastAsia="仿宋" w:cs="仿宋"/>
          <w:snapToGrid/>
          <w:color w:val="auto"/>
          <w:spacing w:val="0"/>
          <w:w w:val="100"/>
          <w:kern w:val="2"/>
          <w:position w:val="0"/>
          <w:sz w:val="32"/>
          <w:szCs w:val="32"/>
          <w:highlight w:val="none"/>
          <w:u w:val="none"/>
          <w:vertAlign w:val="baseline"/>
          <w:lang w:val="en-US" w:eastAsia="zh-CN" w:bidi="ar-SA"/>
        </w:rPr>
        <w:t>。</w:t>
      </w:r>
    </w:p>
    <w:p w14:paraId="222405DE">
      <w:pPr>
        <w:pStyle w:val="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504" w:firstLineChars="150"/>
        <w:outlineLvl w:val="2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（二）存在问题短板</w:t>
      </w:r>
      <w:bookmarkStart w:id="0" w:name="_GoBack"/>
      <w:bookmarkEnd w:id="0"/>
    </w:p>
    <w:p w14:paraId="16ABCF5C">
      <w:pPr>
        <w:ind w:firstLine="672" w:firstLineChars="20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一是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完整社区建设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亟需推进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，住宅适老化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短板突出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物业管理能力有待提升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二是“一老一小”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服务设施配置不足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，社区养老、托育服务等供给缺口明显。三是民生基础设施尚待优化，道路通行效率、供水保障能力、公共卫生服务水平有所不足。四是安全韧性保障仍需强化，住房安全、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消防站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覆盖率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易涝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积水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点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等问题亟待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解决。五是城市智慧化建设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eastAsia="zh-CN"/>
        </w:rPr>
        <w:t>发展差距较大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  <w:lang w:val="en-US" w:eastAsia="zh-CN"/>
        </w:rPr>
        <w:t>，基建智能转型、数字平台应用、精细治理效能有所不足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vanish w:val="0"/>
          <w:color w:val="auto"/>
          <w:spacing w:val="8"/>
          <w:sz w:val="32"/>
          <w:szCs w:val="32"/>
          <w:highlight w:val="none"/>
        </w:rPr>
        <w:t>。</w:t>
      </w:r>
    </w:p>
    <w:p w14:paraId="40838356">
      <w:pPr>
        <w:ind w:firstLine="640" w:firstLineChars="200"/>
        <w:rPr>
          <w:rFonts w:hint="eastAsia" w:ascii="楷体" w:hAnsi="楷体" w:eastAsia="楷体" w:cs="楷体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sz w:val="32"/>
          <w:szCs w:val="32"/>
          <w:highlight w:val="none"/>
        </w:rPr>
        <w:t>三、治理对策建议</w:t>
      </w:r>
    </w:p>
    <w:p w14:paraId="1E4230D1">
      <w:pPr>
        <w:ind w:firstLine="640" w:firstLineChars="200"/>
        <w:rPr>
          <w:rFonts w:hint="eastAsia" w:ascii="楷体" w:hAnsi="楷体" w:eastAsia="楷体" w:cs="楷体"/>
          <w:sz w:val="32"/>
          <w:szCs w:val="32"/>
          <w:highlight w:val="none"/>
          <w:lang w:val="en-US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聚焦县城自体检短板弱项，立足我县发展实际，精准回应居民当下关切诉求，提出“打造生态宜居县城、筑牢安全韧性县城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、建设智慧高效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县城”三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个方面的对策举措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通过建立细化问题治理清单、构建系统化行动建议，拟定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方面行动计划，包括公服设施优化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行动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、生态修复提升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行动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、基础设施补短板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行动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、城市安全韧性保障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行动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、城市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智慧化改造行动，强化城市体检与城市更新联动，构建更新整治项目库，推动隆尧县精准治理问题、有序推进城市更新，助力城市高质量发展。</w:t>
      </w:r>
    </w:p>
    <w:p w14:paraId="0FF0E01A">
      <w:pPr>
        <w:ind w:firstLine="640" w:firstLineChars="200"/>
        <w:rPr>
          <w:rFonts w:hint="eastAsia" w:ascii="楷体" w:hAnsi="楷体" w:eastAsia="楷体" w:cs="楷体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sz w:val="32"/>
          <w:szCs w:val="32"/>
          <w:highlight w:val="none"/>
        </w:rPr>
        <w:t>四、体检结果如何应用？</w:t>
      </w:r>
    </w:p>
    <w:p w14:paraId="1946DBF6">
      <w:pPr>
        <w:ind w:firstLine="672" w:firstLineChars="20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val="en-US" w:eastAsia="zh-CN"/>
        </w:rPr>
        <w:t>城市体检与城市更新是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</w:rPr>
        <w:t>“先诊断后治疗”的系统工程，核心是通过体检精准定位问题，再据此规划更新项目，最终提升城市宜居性和竞争力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</w:rPr>
        <w:t>下一步，我县将积极深化体检成果应用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smallCaps w:val="0"/>
          <w:color w:val="auto"/>
          <w:spacing w:val="8"/>
          <w:sz w:val="32"/>
          <w:szCs w:val="32"/>
          <w:highlight w:val="none"/>
        </w:rPr>
        <w:t>发现影响城市可持续发展的短板，如生态韧性不足、产城融合度低等，推动系统性更新。</w:t>
      </w:r>
    </w:p>
    <w:sectPr>
      <w:pgSz w:w="11907" w:h="16839"/>
      <w:pgMar w:top="1440" w:right="1800" w:bottom="1440" w:left="1800" w:header="851" w:footer="992" w:gutter="0"/>
      <w:cols w:space="720" w:num="1"/>
      <w:docGrid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efaultTabStop w:val="420"/>
  <w:drawingGridHorizontalSpacing w:val="120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00D20B95"/>
    <w:rsid w:val="00E90F37"/>
    <w:rsid w:val="01220DCA"/>
    <w:rsid w:val="024535A0"/>
    <w:rsid w:val="028247F4"/>
    <w:rsid w:val="0370464D"/>
    <w:rsid w:val="06A37841"/>
    <w:rsid w:val="0A5E16A3"/>
    <w:rsid w:val="0AF3003D"/>
    <w:rsid w:val="0B1A381C"/>
    <w:rsid w:val="0CC876EA"/>
    <w:rsid w:val="0D372802"/>
    <w:rsid w:val="10D316B3"/>
    <w:rsid w:val="12922832"/>
    <w:rsid w:val="13C24A51"/>
    <w:rsid w:val="148C6A0C"/>
    <w:rsid w:val="14F26A4A"/>
    <w:rsid w:val="15D31197"/>
    <w:rsid w:val="16F5513D"/>
    <w:rsid w:val="199944A6"/>
    <w:rsid w:val="19E27BFB"/>
    <w:rsid w:val="1A182ADA"/>
    <w:rsid w:val="1B726CF2"/>
    <w:rsid w:val="1C5B5A42"/>
    <w:rsid w:val="1C675A41"/>
    <w:rsid w:val="1CEC7AF8"/>
    <w:rsid w:val="1D13456F"/>
    <w:rsid w:val="1FBE07C2"/>
    <w:rsid w:val="20CC33B3"/>
    <w:rsid w:val="22333B2D"/>
    <w:rsid w:val="23EF5815"/>
    <w:rsid w:val="25CC5A3B"/>
    <w:rsid w:val="25F807A6"/>
    <w:rsid w:val="26741610"/>
    <w:rsid w:val="293E4722"/>
    <w:rsid w:val="329D070B"/>
    <w:rsid w:val="34592D57"/>
    <w:rsid w:val="36246441"/>
    <w:rsid w:val="366E24FE"/>
    <w:rsid w:val="36ED5D04"/>
    <w:rsid w:val="375C0B95"/>
    <w:rsid w:val="3BB21D83"/>
    <w:rsid w:val="3CF7310E"/>
    <w:rsid w:val="3D8E75CE"/>
    <w:rsid w:val="3E530C31"/>
    <w:rsid w:val="3EED6576"/>
    <w:rsid w:val="3EEF0E64"/>
    <w:rsid w:val="3F227904"/>
    <w:rsid w:val="42884F34"/>
    <w:rsid w:val="45107462"/>
    <w:rsid w:val="47633879"/>
    <w:rsid w:val="48711FC6"/>
    <w:rsid w:val="49035C1C"/>
    <w:rsid w:val="49350C9F"/>
    <w:rsid w:val="49431BB4"/>
    <w:rsid w:val="4BB8645E"/>
    <w:rsid w:val="4BC33C3C"/>
    <w:rsid w:val="4C892CA6"/>
    <w:rsid w:val="4CAD21F3"/>
    <w:rsid w:val="4D153868"/>
    <w:rsid w:val="4DFC1A95"/>
    <w:rsid w:val="4E437F61"/>
    <w:rsid w:val="51E24515"/>
    <w:rsid w:val="532F27EE"/>
    <w:rsid w:val="555B64D8"/>
    <w:rsid w:val="56E16A9F"/>
    <w:rsid w:val="57563275"/>
    <w:rsid w:val="57CA34A1"/>
    <w:rsid w:val="58346B6C"/>
    <w:rsid w:val="5B0944BC"/>
    <w:rsid w:val="5B8322E4"/>
    <w:rsid w:val="5D0F2A91"/>
    <w:rsid w:val="5DA87E7C"/>
    <w:rsid w:val="6067462D"/>
    <w:rsid w:val="631A52DC"/>
    <w:rsid w:val="68352E87"/>
    <w:rsid w:val="68A56E9C"/>
    <w:rsid w:val="6BA257DD"/>
    <w:rsid w:val="70E1568B"/>
    <w:rsid w:val="71331BBF"/>
    <w:rsid w:val="76AF1D88"/>
    <w:rsid w:val="77366005"/>
    <w:rsid w:val="78212811"/>
    <w:rsid w:val="78BC49E1"/>
    <w:rsid w:val="7AB03054"/>
    <w:rsid w:val="7AB20098"/>
    <w:rsid w:val="7AD97410"/>
    <w:rsid w:val="7B4B45B3"/>
    <w:rsid w:val="7BB73927"/>
    <w:rsid w:val="7BDB7E29"/>
    <w:rsid w:val="7EFE1A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left"/>
    </w:pPr>
    <w:rPr>
      <w:rFonts w:ascii="宋体" w:hAnsi="Times New Roman" w:eastAsia="宋体" w:cs="Lucida Sans"/>
      <w:kern w:val="2"/>
      <w:sz w:val="24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qFormat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2"/>
    </w:pPr>
    <w:rPr>
      <w:rFonts w:ascii="宋体" w:eastAsia="宋体"/>
      <w:b/>
      <w:snapToGrid/>
      <w:color w:val="auto"/>
      <w:spacing w:val="0"/>
      <w:w w:val="100"/>
      <w:kern w:val="0"/>
      <w:position w:val="0"/>
      <w:sz w:val="27"/>
      <w:szCs w:val="21"/>
      <w:u w:val="none" w:color="auto"/>
      <w:vertAlign w:val="baseline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uiPriority w:val="0"/>
    <w:pPr>
      <w:keepNext w:val="0"/>
      <w:keepLines w:val="0"/>
      <w:pageBreakBefore w:val="0"/>
      <w:widowControl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rFonts w:ascii="宋体" w:eastAsia="宋体"/>
      <w:snapToGrid/>
      <w:color w:val="auto"/>
      <w:spacing w:val="0"/>
      <w:w w:val="100"/>
      <w:kern w:val="0"/>
      <w:position w:val="0"/>
      <w:sz w:val="24"/>
      <w:szCs w:val="21"/>
      <w:u w:val="none" w:color="auto"/>
      <w:vertAlign w:val="baseline"/>
      <w:lang w:val="en-US" w:eastAsia="zh-CN" w:bidi="ar-SA"/>
    </w:rPr>
  </w:style>
  <w:style w:type="character" w:styleId="8">
    <w:name w:val="Strong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4279FC83-1ABE-47B2-98A7-D3D973BC0BD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2</Pages>
  <Words>1049</Words>
  <Characters>1065</Characters>
  <Lines>0</Lines>
  <Paragraphs>15</Paragraphs>
  <TotalTime>9</TotalTime>
  <ScaleCrop>false</ScaleCrop>
  <LinksUpToDate>false</LinksUpToDate>
  <CharactersWithSpaces>1065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王立勃</cp:lastModifiedBy>
  <dcterms:modified xsi:type="dcterms:W3CDTF">2026-01-05T00:41:29Z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eyJoZGlkIjoiYzJlZTJhYTc0MWMzYTZlOTEzMjI0MDVhZmJlMDI0ZTUiLCJ1c2VySWQiOiIzMTM3MDI5MzcifQ==</vt:lpwstr>
  </property>
  <property fmtid="{D5CDD505-2E9C-101B-9397-08002B2CF9AE}" pid="3" name="KSOProductBuildVer">
    <vt:lpwstr>2052-12.1.0.24034</vt:lpwstr>
  </property>
  <property fmtid="{D5CDD505-2E9C-101B-9397-08002B2CF9AE}" pid="4" name="ICV">
    <vt:lpwstr>F5B466252FE941BCA2A155894CF5CF6C_12</vt:lpwstr>
  </property>
</Properties>
</file>