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A616EE">
      <w:pPr>
        <w:spacing w:beforeLines="0" w:afterLines="0"/>
        <w:jc w:val="center"/>
        <w:rPr>
          <w:rFonts w:hint="eastAsia" w:ascii="宋体" w:hAnsi="宋体" w:eastAsia="宋体"/>
          <w:color w:val="333333"/>
          <w:sz w:val="44"/>
          <w:szCs w:val="24"/>
        </w:rPr>
      </w:pPr>
      <w:bookmarkStart w:id="0" w:name="_GoBack"/>
      <w:bookmarkEnd w:id="0"/>
      <w:r>
        <w:rPr>
          <w:rFonts w:hint="eastAsia" w:ascii="宋体" w:hAnsi="宋体"/>
          <w:color w:val="333333"/>
          <w:sz w:val="44"/>
          <w:szCs w:val="24"/>
          <w:lang w:val="en-US" w:eastAsia="zh-CN"/>
        </w:rPr>
        <w:t>隆尧县</w:t>
      </w:r>
      <w:r>
        <w:rPr>
          <w:rFonts w:hint="eastAsia" w:ascii="宋体" w:hAnsi="宋体" w:eastAsia="宋体"/>
          <w:color w:val="333333"/>
          <w:sz w:val="44"/>
          <w:szCs w:val="24"/>
        </w:rPr>
        <w:t>危险废物产生、利用处置信息公示</w:t>
      </w:r>
    </w:p>
    <w:p w14:paraId="095102C7">
      <w:pPr>
        <w:spacing w:beforeLines="0" w:afterLines="0"/>
        <w:jc w:val="center"/>
        <w:rPr>
          <w:rFonts w:hint="eastAsia" w:ascii="FangSong_GB2312" w:hAnsi="FangSong_GB2312" w:eastAsia="FangSong_GB2312"/>
          <w:sz w:val="32"/>
          <w:szCs w:val="24"/>
        </w:rPr>
      </w:pPr>
      <w:r>
        <w:rPr>
          <w:rFonts w:hint="eastAsia" w:ascii="宋体" w:hAnsi="宋体" w:eastAsia="宋体"/>
          <w:color w:val="333333"/>
          <w:sz w:val="44"/>
          <w:szCs w:val="24"/>
        </w:rPr>
        <w:t>（202</w:t>
      </w:r>
      <w:r>
        <w:rPr>
          <w:rFonts w:hint="eastAsia" w:ascii="宋体" w:hAnsi="宋体"/>
          <w:color w:val="333333"/>
          <w:sz w:val="44"/>
          <w:szCs w:val="24"/>
          <w:lang w:val="en-US" w:eastAsia="zh-CN"/>
        </w:rPr>
        <w:t>5</w:t>
      </w:r>
      <w:r>
        <w:rPr>
          <w:rFonts w:hint="eastAsia" w:ascii="宋体" w:hAnsi="宋体" w:eastAsia="宋体"/>
          <w:color w:val="333333"/>
          <w:sz w:val="44"/>
          <w:szCs w:val="24"/>
        </w:rPr>
        <w:t>年</w:t>
      </w:r>
      <w:r>
        <w:rPr>
          <w:rFonts w:hint="eastAsia" w:ascii="宋体" w:hAnsi="宋体"/>
          <w:color w:val="333333"/>
          <w:sz w:val="44"/>
          <w:szCs w:val="24"/>
          <w:lang w:val="en-US" w:eastAsia="zh-CN"/>
        </w:rPr>
        <w:t>1</w:t>
      </w:r>
      <w:r>
        <w:rPr>
          <w:rFonts w:hint="eastAsia" w:ascii="宋体" w:hAnsi="宋体" w:eastAsia="宋体"/>
          <w:color w:val="333333"/>
          <w:sz w:val="44"/>
          <w:szCs w:val="24"/>
        </w:rPr>
        <w:t>月-202</w:t>
      </w:r>
      <w:r>
        <w:rPr>
          <w:rFonts w:hint="eastAsia" w:ascii="宋体" w:hAnsi="宋体"/>
          <w:color w:val="333333"/>
          <w:sz w:val="44"/>
          <w:szCs w:val="24"/>
          <w:lang w:val="en-US" w:eastAsia="zh-CN"/>
        </w:rPr>
        <w:t>5</w:t>
      </w:r>
      <w:r>
        <w:rPr>
          <w:rFonts w:hint="eastAsia" w:ascii="宋体" w:hAnsi="宋体" w:eastAsia="宋体"/>
          <w:color w:val="333333"/>
          <w:sz w:val="44"/>
          <w:szCs w:val="24"/>
        </w:rPr>
        <w:t>年</w:t>
      </w:r>
      <w:r>
        <w:rPr>
          <w:rFonts w:hint="eastAsia" w:ascii="宋体" w:hAnsi="宋体"/>
          <w:color w:val="333333"/>
          <w:sz w:val="44"/>
          <w:szCs w:val="24"/>
          <w:lang w:val="en-US" w:eastAsia="zh-CN"/>
        </w:rPr>
        <w:t>3</w:t>
      </w:r>
      <w:r>
        <w:rPr>
          <w:rFonts w:hint="eastAsia" w:ascii="宋体" w:hAnsi="宋体" w:eastAsia="宋体"/>
          <w:color w:val="333333"/>
          <w:sz w:val="44"/>
          <w:szCs w:val="24"/>
        </w:rPr>
        <w:t>月）</w:t>
      </w:r>
    </w:p>
    <w:p w14:paraId="2ED0C84B">
      <w:pPr>
        <w:spacing w:beforeLines="0" w:afterLines="0"/>
        <w:ind w:firstLine="640" w:firstLineChars="200"/>
        <w:jc w:val="left"/>
        <w:rPr>
          <w:rFonts w:hint="eastAsia" w:ascii="FangSong_GB2312" w:hAnsi="FangSong_GB2312" w:eastAsia="FangSong_GB2312"/>
          <w:sz w:val="32"/>
          <w:szCs w:val="24"/>
        </w:rPr>
      </w:pPr>
    </w:p>
    <w:p w14:paraId="439643D8">
      <w:pPr>
        <w:spacing w:beforeLines="0" w:afterLines="0"/>
        <w:ind w:firstLine="640" w:firstLineChars="200"/>
        <w:jc w:val="left"/>
        <w:rPr>
          <w:rFonts w:hint="eastAsia" w:ascii="FangSong_GB2312" w:hAnsi="FangSong_GB2312" w:eastAsia="FangSong_GB2312"/>
          <w:sz w:val="32"/>
          <w:szCs w:val="24"/>
        </w:rPr>
      </w:pPr>
      <w:r>
        <w:rPr>
          <w:rFonts w:hint="eastAsia" w:ascii="FangSong_GB2312" w:hAnsi="FangSong_GB2312" w:eastAsia="FangSong_GB2312"/>
          <w:sz w:val="32"/>
          <w:szCs w:val="24"/>
        </w:rPr>
        <w:t>为提高公众对危险废物污染环境防治工作的认识，扩大</w:t>
      </w:r>
    </w:p>
    <w:p w14:paraId="07E8E340">
      <w:pPr>
        <w:spacing w:beforeLines="0" w:afterLines="0"/>
        <w:jc w:val="left"/>
        <w:rPr>
          <w:rFonts w:hint="eastAsia" w:ascii="FangSong_GB2312" w:hAnsi="FangSong_GB2312" w:eastAsia="FangSong_GB2312"/>
          <w:sz w:val="32"/>
          <w:szCs w:val="24"/>
        </w:rPr>
      </w:pPr>
      <w:r>
        <w:rPr>
          <w:rFonts w:hint="eastAsia" w:ascii="FangSong_GB2312" w:hAnsi="FangSong_GB2312" w:eastAsia="FangSong_GB2312"/>
          <w:sz w:val="32"/>
          <w:szCs w:val="24"/>
        </w:rPr>
        <w:t>公众参与危险废物环境管理的途径，增强社会公众参与危险</w:t>
      </w:r>
    </w:p>
    <w:p w14:paraId="5E4BEFA9">
      <w:pPr>
        <w:spacing w:beforeLines="0" w:afterLines="0"/>
        <w:jc w:val="left"/>
        <w:rPr>
          <w:rFonts w:hint="eastAsia" w:ascii="FangSong_GB2312" w:hAnsi="FangSong_GB2312" w:eastAsia="FangSong_GB2312"/>
          <w:sz w:val="32"/>
          <w:szCs w:val="24"/>
        </w:rPr>
      </w:pPr>
      <w:r>
        <w:rPr>
          <w:rFonts w:hint="eastAsia" w:ascii="FangSong_GB2312" w:hAnsi="FangSong_GB2312" w:eastAsia="FangSong_GB2312"/>
          <w:sz w:val="32"/>
          <w:szCs w:val="24"/>
        </w:rPr>
        <w:t>废物环境管理的水平，按照《中华人民共和国固体废物污染</w:t>
      </w:r>
    </w:p>
    <w:p w14:paraId="3BA23B1D">
      <w:pPr>
        <w:spacing w:beforeLines="0" w:afterLines="0"/>
        <w:jc w:val="left"/>
        <w:rPr>
          <w:rFonts w:hint="eastAsia" w:ascii="FangSong_GB2312" w:hAnsi="FangSong_GB2312" w:eastAsia="FangSong_GB2312"/>
          <w:sz w:val="32"/>
          <w:szCs w:val="24"/>
        </w:rPr>
      </w:pPr>
      <w:r>
        <w:rPr>
          <w:rFonts w:hint="eastAsia" w:ascii="FangSong_GB2312" w:hAnsi="FangSong_GB2312" w:eastAsia="FangSong_GB2312"/>
          <w:sz w:val="32"/>
          <w:szCs w:val="24"/>
        </w:rPr>
        <w:t>环境防治法》要求，现将</w:t>
      </w:r>
      <w:r>
        <w:rPr>
          <w:rFonts w:hint="eastAsia" w:ascii="FangSong_GB2312" w:hAnsi="FangSong_GB2312" w:eastAsia="FangSong_GB2312"/>
          <w:sz w:val="32"/>
          <w:szCs w:val="24"/>
          <w:lang w:val="en-US" w:eastAsia="zh-CN"/>
        </w:rPr>
        <w:t>隆尧县2025</w:t>
      </w:r>
      <w:r>
        <w:rPr>
          <w:rFonts w:hint="eastAsia" w:ascii="FangSong_GB2312" w:hAnsi="FangSong_GB2312" w:eastAsia="FangSong_GB2312"/>
          <w:sz w:val="32"/>
          <w:szCs w:val="24"/>
        </w:rPr>
        <w:t>年</w:t>
      </w:r>
      <w:r>
        <w:rPr>
          <w:rFonts w:hint="eastAsia" w:ascii="FangSong_GB2312" w:hAnsi="FangSong_GB2312" w:eastAsia="FangSong_GB2312"/>
          <w:sz w:val="32"/>
          <w:szCs w:val="24"/>
          <w:lang w:eastAsia="zh-CN"/>
        </w:rPr>
        <w:t>第</w:t>
      </w:r>
      <w:r>
        <w:rPr>
          <w:rFonts w:hint="eastAsia" w:ascii="FangSong_GB2312" w:hAnsi="FangSong_GB2312" w:eastAsia="FangSong_GB2312"/>
          <w:sz w:val="32"/>
          <w:szCs w:val="24"/>
          <w:lang w:val="en-US" w:eastAsia="zh-CN"/>
        </w:rPr>
        <w:t>一</w:t>
      </w:r>
      <w:r>
        <w:rPr>
          <w:rFonts w:hint="eastAsia" w:ascii="FangSong_GB2312" w:hAnsi="FangSong_GB2312" w:eastAsia="FangSong_GB2312"/>
          <w:sz w:val="32"/>
          <w:szCs w:val="24"/>
        </w:rPr>
        <w:t>季度危险废物产生、利用处置等信息公示如下：</w:t>
      </w:r>
    </w:p>
    <w:tbl>
      <w:tblPr>
        <w:tblStyle w:val="3"/>
        <w:tblW w:w="934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00"/>
        <w:gridCol w:w="1883"/>
        <w:gridCol w:w="2872"/>
        <w:gridCol w:w="2192"/>
      </w:tblGrid>
      <w:tr w14:paraId="02BF49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0" w:type="dxa"/>
            <w:vAlign w:val="center"/>
          </w:tcPr>
          <w:p w14:paraId="524EFA85">
            <w:pPr>
              <w:widowControl w:val="0"/>
              <w:spacing w:beforeLines="0" w:afterLines="0"/>
              <w:jc w:val="center"/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  <w:t>危险废物</w:t>
            </w:r>
          </w:p>
        </w:tc>
        <w:tc>
          <w:tcPr>
            <w:tcW w:w="1883" w:type="dxa"/>
            <w:vAlign w:val="center"/>
          </w:tcPr>
          <w:p w14:paraId="4BC43C17">
            <w:pPr>
              <w:widowControl w:val="0"/>
              <w:spacing w:beforeLines="0" w:afterLines="0"/>
              <w:jc w:val="center"/>
              <w:rPr>
                <w:rFonts w:hint="default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  <w:t>产生量（吨）</w:t>
            </w:r>
          </w:p>
        </w:tc>
        <w:tc>
          <w:tcPr>
            <w:tcW w:w="2872" w:type="dxa"/>
            <w:vAlign w:val="center"/>
          </w:tcPr>
          <w:p w14:paraId="1C49A423">
            <w:pPr>
              <w:widowControl w:val="0"/>
              <w:spacing w:beforeLines="0" w:afterLines="0"/>
              <w:jc w:val="center"/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</w:rPr>
            </w:pPr>
            <w:r>
              <w:rPr>
                <w:rFonts w:hint="eastAsia" w:ascii="FangSong_GB2312" w:hAnsi="FangSong_GB2312" w:eastAsia="FangSong_GB2312" w:cstheme="minorBidi"/>
                <w:sz w:val="32"/>
                <w:szCs w:val="24"/>
                <w:vertAlign w:val="baseline"/>
                <w:lang w:val="en-US" w:eastAsia="zh-CN"/>
              </w:rPr>
              <w:t>委外利用处置量（吨）</w:t>
            </w:r>
          </w:p>
        </w:tc>
        <w:tc>
          <w:tcPr>
            <w:tcW w:w="2192" w:type="dxa"/>
            <w:vAlign w:val="center"/>
          </w:tcPr>
          <w:p w14:paraId="301A70D3">
            <w:pPr>
              <w:widowControl w:val="0"/>
              <w:spacing w:beforeLines="0" w:afterLines="0"/>
              <w:jc w:val="center"/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  <w:t>贮存量（吨）</w:t>
            </w:r>
          </w:p>
        </w:tc>
      </w:tr>
      <w:tr w14:paraId="0CBC89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0" w:type="dxa"/>
            <w:vAlign w:val="center"/>
          </w:tcPr>
          <w:p w14:paraId="533E4FF6">
            <w:pPr>
              <w:widowControl w:val="0"/>
              <w:spacing w:beforeLines="0" w:afterLines="0"/>
              <w:jc w:val="center"/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  <w:t>HW08废矿物油与含矿物油废物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7C35EA1E">
            <w:pPr>
              <w:widowControl w:val="0"/>
              <w:spacing w:beforeLines="0" w:afterLines="0"/>
              <w:jc w:val="center"/>
              <w:rPr>
                <w:rFonts w:hint="default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  <w:t>2.4935</w:t>
            </w:r>
          </w:p>
        </w:tc>
        <w:tc>
          <w:tcPr>
            <w:tcW w:w="2872" w:type="dxa"/>
            <w:vAlign w:val="center"/>
          </w:tcPr>
          <w:p w14:paraId="07D4D25B">
            <w:pPr>
              <w:widowControl w:val="0"/>
              <w:spacing w:beforeLines="0" w:afterLines="0"/>
              <w:jc w:val="center"/>
              <w:rPr>
                <w:rFonts w:hint="default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2192" w:type="dxa"/>
            <w:shd w:val="clear" w:color="auto" w:fill="auto"/>
            <w:vAlign w:val="center"/>
          </w:tcPr>
          <w:p w14:paraId="01D506FA">
            <w:pPr>
              <w:widowControl w:val="0"/>
              <w:spacing w:beforeLines="0" w:afterLines="0"/>
              <w:jc w:val="center"/>
              <w:rPr>
                <w:rFonts w:hint="default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  <w:t>3.966</w:t>
            </w:r>
          </w:p>
        </w:tc>
      </w:tr>
      <w:tr w14:paraId="2DE364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0" w:type="dxa"/>
            <w:vAlign w:val="center"/>
          </w:tcPr>
          <w:p w14:paraId="2945DF87">
            <w:pPr>
              <w:widowControl w:val="0"/>
              <w:spacing w:beforeLines="0" w:afterLines="0"/>
              <w:jc w:val="center"/>
              <w:rPr>
                <w:rFonts w:hint="default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  <w:t>HW11精（蒸）馏残渣</w:t>
            </w:r>
          </w:p>
        </w:tc>
        <w:tc>
          <w:tcPr>
            <w:tcW w:w="1883" w:type="dxa"/>
            <w:vAlign w:val="center"/>
          </w:tcPr>
          <w:p w14:paraId="775D944E">
            <w:pPr>
              <w:widowControl w:val="0"/>
              <w:spacing w:beforeLines="0" w:afterLines="0"/>
              <w:jc w:val="center"/>
              <w:rPr>
                <w:rFonts w:hint="default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2872" w:type="dxa"/>
            <w:vAlign w:val="center"/>
          </w:tcPr>
          <w:p w14:paraId="5BBB6AD1">
            <w:pPr>
              <w:widowControl w:val="0"/>
              <w:spacing w:beforeLines="0" w:afterLines="0"/>
              <w:jc w:val="center"/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2192" w:type="dxa"/>
            <w:vAlign w:val="center"/>
          </w:tcPr>
          <w:p w14:paraId="5124C2FC">
            <w:pPr>
              <w:widowControl w:val="0"/>
              <w:spacing w:beforeLines="0" w:afterLines="0"/>
              <w:jc w:val="center"/>
              <w:rPr>
                <w:rFonts w:hint="default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  <w:t>0</w:t>
            </w:r>
          </w:p>
        </w:tc>
      </w:tr>
      <w:tr w14:paraId="5AD1E4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0" w:type="dxa"/>
            <w:vAlign w:val="center"/>
          </w:tcPr>
          <w:p w14:paraId="2BE0C1D9">
            <w:pPr>
              <w:widowControl w:val="0"/>
              <w:spacing w:beforeLines="0" w:afterLines="0"/>
              <w:jc w:val="center"/>
              <w:rPr>
                <w:rFonts w:hint="default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  <w:t>HW31含铅废物</w:t>
            </w:r>
          </w:p>
        </w:tc>
        <w:tc>
          <w:tcPr>
            <w:tcW w:w="1883" w:type="dxa"/>
            <w:vAlign w:val="center"/>
          </w:tcPr>
          <w:p w14:paraId="74AC9F62">
            <w:pPr>
              <w:widowControl w:val="0"/>
              <w:spacing w:beforeLines="0" w:afterLines="0"/>
              <w:jc w:val="center"/>
              <w:rPr>
                <w:rFonts w:hint="default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2872" w:type="dxa"/>
            <w:vAlign w:val="center"/>
          </w:tcPr>
          <w:p w14:paraId="63CE8E01">
            <w:pPr>
              <w:widowControl w:val="0"/>
              <w:spacing w:beforeLines="0" w:afterLines="0"/>
              <w:jc w:val="center"/>
              <w:rPr>
                <w:rFonts w:hint="default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2192" w:type="dxa"/>
            <w:vAlign w:val="center"/>
          </w:tcPr>
          <w:p w14:paraId="76B656E8">
            <w:pPr>
              <w:widowControl w:val="0"/>
              <w:spacing w:beforeLines="0" w:afterLines="0"/>
              <w:jc w:val="center"/>
              <w:rPr>
                <w:rFonts w:hint="default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  <w:t>0.508</w:t>
            </w:r>
          </w:p>
        </w:tc>
      </w:tr>
      <w:tr w14:paraId="135F30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0" w:type="dxa"/>
            <w:vAlign w:val="center"/>
          </w:tcPr>
          <w:p w14:paraId="07F02E0D">
            <w:pPr>
              <w:widowControl w:val="0"/>
              <w:spacing w:beforeLines="0" w:afterLines="0"/>
              <w:jc w:val="center"/>
              <w:rPr>
                <w:rFonts w:hint="default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  <w:lang w:val="en-US" w:eastAsia="zh-CN"/>
              </w:rPr>
              <w:t>HW49其他废物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2605CA7F">
            <w:pPr>
              <w:widowControl w:val="0"/>
              <w:spacing w:beforeLines="0" w:afterLines="0"/>
              <w:jc w:val="center"/>
              <w:rPr>
                <w:rFonts w:hint="default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  <w:t>3.7926</w:t>
            </w:r>
          </w:p>
        </w:tc>
        <w:tc>
          <w:tcPr>
            <w:tcW w:w="2872" w:type="dxa"/>
            <w:shd w:val="clear" w:color="auto" w:fill="auto"/>
            <w:vAlign w:val="center"/>
          </w:tcPr>
          <w:p w14:paraId="509C13C7">
            <w:pPr>
              <w:widowControl w:val="0"/>
              <w:spacing w:beforeLines="0" w:afterLines="0"/>
              <w:jc w:val="center"/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2192" w:type="dxa"/>
            <w:shd w:val="clear" w:color="auto" w:fill="auto"/>
            <w:vAlign w:val="center"/>
          </w:tcPr>
          <w:p w14:paraId="1BC0CCF6">
            <w:pPr>
              <w:widowControl w:val="0"/>
              <w:spacing w:beforeLines="0" w:afterLines="0"/>
              <w:jc w:val="center"/>
              <w:rPr>
                <w:rFonts w:hint="default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FangSong_GB2312" w:hAnsi="FangSong_GB2312" w:eastAsia="FangSong_GB2312" w:cs="Times New Roman"/>
                <w:sz w:val="32"/>
                <w:szCs w:val="24"/>
                <w:vertAlign w:val="baseline"/>
                <w:lang w:val="en-US" w:eastAsia="zh-CN"/>
              </w:rPr>
              <w:t>4.7056</w:t>
            </w:r>
          </w:p>
        </w:tc>
      </w:tr>
      <w:tr w14:paraId="67FE5B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0" w:type="dxa"/>
            <w:vAlign w:val="center"/>
          </w:tcPr>
          <w:p w14:paraId="6A63AB45">
            <w:pPr>
              <w:widowControl w:val="0"/>
              <w:spacing w:beforeLines="0" w:afterLines="0"/>
              <w:jc w:val="center"/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</w:rPr>
            </w:pPr>
          </w:p>
        </w:tc>
        <w:tc>
          <w:tcPr>
            <w:tcW w:w="1883" w:type="dxa"/>
            <w:vAlign w:val="center"/>
          </w:tcPr>
          <w:p w14:paraId="79F4F166">
            <w:pPr>
              <w:widowControl w:val="0"/>
              <w:spacing w:beforeLines="0" w:afterLines="0"/>
              <w:jc w:val="center"/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</w:rPr>
            </w:pPr>
          </w:p>
        </w:tc>
        <w:tc>
          <w:tcPr>
            <w:tcW w:w="2872" w:type="dxa"/>
            <w:vAlign w:val="center"/>
          </w:tcPr>
          <w:p w14:paraId="370E6DB1">
            <w:pPr>
              <w:widowControl w:val="0"/>
              <w:spacing w:beforeLines="0" w:afterLines="0"/>
              <w:jc w:val="center"/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</w:rPr>
            </w:pPr>
          </w:p>
        </w:tc>
        <w:tc>
          <w:tcPr>
            <w:tcW w:w="2192" w:type="dxa"/>
            <w:vAlign w:val="center"/>
          </w:tcPr>
          <w:p w14:paraId="2F12AC61">
            <w:pPr>
              <w:widowControl w:val="0"/>
              <w:spacing w:beforeLines="0" w:afterLines="0"/>
              <w:jc w:val="center"/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</w:rPr>
            </w:pPr>
          </w:p>
        </w:tc>
      </w:tr>
      <w:tr w14:paraId="74D128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0" w:type="dxa"/>
            <w:vAlign w:val="center"/>
          </w:tcPr>
          <w:p w14:paraId="6D69E7A8">
            <w:pPr>
              <w:widowControl w:val="0"/>
              <w:spacing w:beforeLines="0" w:afterLines="0"/>
              <w:jc w:val="center"/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</w:rPr>
            </w:pPr>
          </w:p>
        </w:tc>
        <w:tc>
          <w:tcPr>
            <w:tcW w:w="1883" w:type="dxa"/>
            <w:vAlign w:val="center"/>
          </w:tcPr>
          <w:p w14:paraId="1C800EBD">
            <w:pPr>
              <w:widowControl w:val="0"/>
              <w:spacing w:beforeLines="0" w:afterLines="0"/>
              <w:jc w:val="center"/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</w:rPr>
            </w:pPr>
          </w:p>
        </w:tc>
        <w:tc>
          <w:tcPr>
            <w:tcW w:w="2872" w:type="dxa"/>
            <w:vAlign w:val="center"/>
          </w:tcPr>
          <w:p w14:paraId="75F2AFAB">
            <w:pPr>
              <w:widowControl w:val="0"/>
              <w:spacing w:beforeLines="0" w:afterLines="0"/>
              <w:jc w:val="center"/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</w:rPr>
            </w:pPr>
          </w:p>
        </w:tc>
        <w:tc>
          <w:tcPr>
            <w:tcW w:w="2192" w:type="dxa"/>
            <w:vAlign w:val="center"/>
          </w:tcPr>
          <w:p w14:paraId="6A34DD93">
            <w:pPr>
              <w:widowControl w:val="0"/>
              <w:spacing w:beforeLines="0" w:afterLines="0"/>
              <w:jc w:val="center"/>
              <w:rPr>
                <w:rFonts w:hint="eastAsia" w:ascii="FangSong_GB2312" w:hAnsi="FangSong_GB2312" w:eastAsia="FangSong_GB2312"/>
                <w:sz w:val="32"/>
                <w:szCs w:val="24"/>
                <w:vertAlign w:val="baseline"/>
              </w:rPr>
            </w:pPr>
          </w:p>
        </w:tc>
      </w:tr>
    </w:tbl>
    <w:p w14:paraId="77241C96">
      <w:pPr>
        <w:spacing w:beforeLines="0" w:afterLines="0"/>
        <w:jc w:val="left"/>
        <w:rPr>
          <w:rFonts w:hint="eastAsia" w:ascii="FangSong_GB2312" w:hAnsi="FangSong_GB2312" w:eastAsia="FangSong_GB2312"/>
          <w:sz w:val="32"/>
          <w:szCs w:val="24"/>
        </w:rPr>
      </w:pPr>
    </w:p>
    <w:sectPr>
      <w:pgSz w:w="12240" w:h="15840"/>
      <w:pgMar w:top="1440" w:right="1800" w:bottom="1440" w:left="1800" w:header="720" w:footer="720" w:gutter="0"/>
      <w:lnNumType w:countBy="0" w:distance="36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FangSong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3C951DD"/>
    <w:rsid w:val="05455455"/>
    <w:rsid w:val="22D91C4B"/>
    <w:rsid w:val="30C90BC8"/>
    <w:rsid w:val="3A025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jc w:val="both"/>
    </w:pPr>
    <w:rPr>
      <w:rFonts w:ascii="Times New Roman" w:hAnsi="Times New Roman" w:eastAsia="宋体" w:cs="Times New Roman"/>
      <w:kern w:val="2"/>
      <w:sz w:val="21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211</Words>
  <Characters>256</Characters>
  <Lines>0</Lines>
  <Paragraphs>0</Paragraphs>
  <TotalTime>32</TotalTime>
  <ScaleCrop>false</ScaleCrop>
  <LinksUpToDate>false</LinksUpToDate>
  <CharactersWithSpaces>256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2025-09-19T03:22:00Z</dcterms:created>
  <dc:creator>小茹</dc:creator>
  <cp:lastModifiedBy>小茹</cp:lastModifiedBy>
  <dcterms:modified xsi:type="dcterms:W3CDTF">2025-09-24T03:30:13Z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59C103FF19424A5AA178448CE423DC66_13</vt:lpwstr>
  </property>
  <property fmtid="{D5CDD505-2E9C-101B-9397-08002B2CF9AE}" pid="4" name="KSOTemplateDocerSaveRecord">
    <vt:lpwstr>eyJoZGlkIjoiZDdlMjVlZGM1NDAyMDk1NzgyODc2NDlkMWQzNjdhYWMiLCJ1c2VySWQiOiI3OTc2OTU4MTcifQ==</vt:lpwstr>
  </property>
</Properties>
</file>