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A616EE">
      <w:pPr>
        <w:spacing w:beforeLines="0" w:afterLines="0"/>
        <w:jc w:val="center"/>
        <w:rPr>
          <w:rFonts w:hint="eastAsia" w:ascii="宋体" w:hAnsi="宋体" w:eastAsia="宋体"/>
          <w:color w:val="333333"/>
          <w:sz w:val="44"/>
          <w:szCs w:val="24"/>
        </w:rPr>
      </w:pPr>
      <w:bookmarkStart w:id="0" w:name="_GoBack"/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隆尧县</w:t>
      </w:r>
      <w:r>
        <w:rPr>
          <w:rFonts w:hint="eastAsia" w:ascii="宋体" w:hAnsi="宋体" w:eastAsia="宋体"/>
          <w:color w:val="333333"/>
          <w:sz w:val="44"/>
          <w:szCs w:val="24"/>
        </w:rPr>
        <w:t>危险废物产生、利用处置信息公示</w:t>
      </w:r>
    </w:p>
    <w:p w14:paraId="095102C7">
      <w:pPr>
        <w:spacing w:beforeLines="0" w:afterLines="0"/>
        <w:jc w:val="center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宋体" w:hAnsi="宋体" w:eastAsia="宋体"/>
          <w:color w:val="333333"/>
          <w:sz w:val="44"/>
          <w:szCs w:val="24"/>
        </w:rPr>
        <w:t>（202</w:t>
      </w:r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5</w:t>
      </w:r>
      <w:r>
        <w:rPr>
          <w:rFonts w:hint="eastAsia" w:ascii="宋体" w:hAnsi="宋体" w:eastAsia="宋体"/>
          <w:color w:val="333333"/>
          <w:sz w:val="44"/>
          <w:szCs w:val="24"/>
        </w:rPr>
        <w:t>年</w:t>
      </w:r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4</w:t>
      </w:r>
      <w:r>
        <w:rPr>
          <w:rFonts w:hint="eastAsia" w:ascii="宋体" w:hAnsi="宋体" w:eastAsia="宋体"/>
          <w:color w:val="333333"/>
          <w:sz w:val="44"/>
          <w:szCs w:val="24"/>
        </w:rPr>
        <w:t>月-202</w:t>
      </w:r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5</w:t>
      </w:r>
      <w:r>
        <w:rPr>
          <w:rFonts w:hint="eastAsia" w:ascii="宋体" w:hAnsi="宋体" w:eastAsia="宋体"/>
          <w:color w:val="333333"/>
          <w:sz w:val="44"/>
          <w:szCs w:val="24"/>
        </w:rPr>
        <w:t>年</w:t>
      </w:r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6</w:t>
      </w:r>
      <w:r>
        <w:rPr>
          <w:rFonts w:hint="eastAsia" w:ascii="宋体" w:hAnsi="宋体" w:eastAsia="宋体"/>
          <w:color w:val="333333"/>
          <w:sz w:val="44"/>
          <w:szCs w:val="24"/>
        </w:rPr>
        <w:t>月）</w:t>
      </w:r>
    </w:p>
    <w:bookmarkEnd w:id="0"/>
    <w:p w14:paraId="2ED0C84B">
      <w:pPr>
        <w:spacing w:beforeLines="0" w:afterLines="0"/>
        <w:ind w:firstLine="640" w:firstLineChars="200"/>
        <w:jc w:val="left"/>
        <w:rPr>
          <w:rFonts w:hint="eastAsia" w:ascii="FangSong_GB2312" w:hAnsi="FangSong_GB2312" w:eastAsia="FangSong_GB2312"/>
          <w:sz w:val="32"/>
          <w:szCs w:val="24"/>
        </w:rPr>
      </w:pPr>
    </w:p>
    <w:p w14:paraId="439643D8">
      <w:pPr>
        <w:spacing w:beforeLines="0" w:afterLines="0"/>
        <w:ind w:firstLine="640" w:firstLineChars="200"/>
        <w:jc w:val="left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FangSong_GB2312" w:hAnsi="FangSong_GB2312" w:eastAsia="FangSong_GB2312"/>
          <w:sz w:val="32"/>
          <w:szCs w:val="24"/>
        </w:rPr>
        <w:t>为提高公众对危险废物污染环境防治工作的认识，扩大</w:t>
      </w:r>
    </w:p>
    <w:p w14:paraId="07E8E340">
      <w:pPr>
        <w:spacing w:beforeLines="0" w:afterLines="0"/>
        <w:jc w:val="left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FangSong_GB2312" w:hAnsi="FangSong_GB2312" w:eastAsia="FangSong_GB2312"/>
          <w:sz w:val="32"/>
          <w:szCs w:val="24"/>
        </w:rPr>
        <w:t>公众参与危险废物环境管理的途径，增强社会公众参与危险</w:t>
      </w:r>
    </w:p>
    <w:p w14:paraId="5E4BEFA9">
      <w:pPr>
        <w:spacing w:beforeLines="0" w:afterLines="0"/>
        <w:jc w:val="left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FangSong_GB2312" w:hAnsi="FangSong_GB2312" w:eastAsia="FangSong_GB2312"/>
          <w:sz w:val="32"/>
          <w:szCs w:val="24"/>
        </w:rPr>
        <w:t>废物环境管理的水平，按照《中华人民共和国固体废物污染</w:t>
      </w:r>
    </w:p>
    <w:p w14:paraId="3BA23B1D">
      <w:pPr>
        <w:spacing w:beforeLines="0" w:afterLines="0"/>
        <w:jc w:val="left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FangSong_GB2312" w:hAnsi="FangSong_GB2312" w:eastAsia="FangSong_GB2312"/>
          <w:sz w:val="32"/>
          <w:szCs w:val="24"/>
        </w:rPr>
        <w:t>环境防治法》要求，现将</w:t>
      </w:r>
      <w:r>
        <w:rPr>
          <w:rFonts w:hint="eastAsia" w:ascii="FangSong_GB2312" w:hAnsi="FangSong_GB2312" w:eastAsia="FangSong_GB2312"/>
          <w:sz w:val="32"/>
          <w:szCs w:val="24"/>
          <w:lang w:val="en-US" w:eastAsia="zh-CN"/>
        </w:rPr>
        <w:t>隆尧县2025</w:t>
      </w:r>
      <w:r>
        <w:rPr>
          <w:rFonts w:hint="eastAsia" w:ascii="FangSong_GB2312" w:hAnsi="FangSong_GB2312" w:eastAsia="FangSong_GB2312"/>
          <w:sz w:val="32"/>
          <w:szCs w:val="24"/>
        </w:rPr>
        <w:t>年</w:t>
      </w:r>
      <w:r>
        <w:rPr>
          <w:rFonts w:hint="eastAsia" w:ascii="FangSong_GB2312" w:hAnsi="FangSong_GB2312" w:eastAsia="FangSong_GB2312"/>
          <w:sz w:val="32"/>
          <w:szCs w:val="24"/>
          <w:lang w:val="en-US" w:eastAsia="zh-CN"/>
        </w:rPr>
        <w:t>一</w:t>
      </w:r>
      <w:r>
        <w:rPr>
          <w:rFonts w:hint="eastAsia" w:ascii="FangSong_GB2312" w:hAnsi="FangSong_GB2312" w:eastAsia="FangSong_GB2312"/>
          <w:sz w:val="32"/>
          <w:szCs w:val="24"/>
        </w:rPr>
        <w:t>季度危险废物产生、利用处置等信息公示如下：</w:t>
      </w:r>
    </w:p>
    <w:tbl>
      <w:tblPr>
        <w:tblStyle w:val="3"/>
        <w:tblW w:w="93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400"/>
        <w:gridCol w:w="1883"/>
        <w:gridCol w:w="2872"/>
        <w:gridCol w:w="2192"/>
      </w:tblGrid>
      <w:tr w14:paraId="02BF4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524EFA85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危险废物</w:t>
            </w:r>
          </w:p>
        </w:tc>
        <w:tc>
          <w:tcPr>
            <w:tcW w:w="1883" w:type="dxa"/>
            <w:vAlign w:val="center"/>
          </w:tcPr>
          <w:p w14:paraId="4BC43C17">
            <w:pPr>
              <w:spacing w:beforeLines="0" w:afterLines="0"/>
              <w:jc w:val="center"/>
              <w:rPr>
                <w:rFonts w:hint="default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产生量（吨）</w:t>
            </w:r>
          </w:p>
        </w:tc>
        <w:tc>
          <w:tcPr>
            <w:tcW w:w="2872" w:type="dxa"/>
            <w:vAlign w:val="center"/>
          </w:tcPr>
          <w:p w14:paraId="1C49A423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  <w:r>
              <w:rPr>
                <w:rFonts w:hint="eastAsia" w:ascii="FangSong_GB2312" w:hAnsi="FangSong_GB2312" w:eastAsia="FangSong_GB2312" w:cstheme="minorBidi"/>
                <w:sz w:val="32"/>
                <w:szCs w:val="24"/>
                <w:vertAlign w:val="baseline"/>
                <w:lang w:val="en-US" w:eastAsia="zh-CN"/>
              </w:rPr>
              <w:t>委外利用处置量（吨）</w:t>
            </w:r>
          </w:p>
        </w:tc>
        <w:tc>
          <w:tcPr>
            <w:tcW w:w="2192" w:type="dxa"/>
            <w:vAlign w:val="center"/>
          </w:tcPr>
          <w:p w14:paraId="301A70D3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贮存量（吨）</w:t>
            </w:r>
          </w:p>
        </w:tc>
      </w:tr>
      <w:tr w14:paraId="0CBC8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533E4FF6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HW08废矿物油与含矿物油废物</w:t>
            </w:r>
          </w:p>
        </w:tc>
        <w:tc>
          <w:tcPr>
            <w:tcW w:w="1883" w:type="dxa"/>
            <w:shd w:val="clear"/>
            <w:vAlign w:val="center"/>
          </w:tcPr>
          <w:p w14:paraId="7C35EA1E">
            <w:pPr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1.2902</w:t>
            </w:r>
          </w:p>
        </w:tc>
        <w:tc>
          <w:tcPr>
            <w:tcW w:w="2872" w:type="dxa"/>
            <w:vAlign w:val="center"/>
          </w:tcPr>
          <w:p w14:paraId="07D4D25B">
            <w:pPr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4.13</w:t>
            </w:r>
          </w:p>
        </w:tc>
        <w:tc>
          <w:tcPr>
            <w:tcW w:w="2192" w:type="dxa"/>
            <w:shd w:val="clear"/>
            <w:vAlign w:val="center"/>
          </w:tcPr>
          <w:p w14:paraId="01D506FA">
            <w:pPr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1.1262</w:t>
            </w:r>
          </w:p>
        </w:tc>
      </w:tr>
      <w:tr w14:paraId="2DE36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2945DF87">
            <w:pPr>
              <w:spacing w:beforeLines="0" w:afterLines="0"/>
              <w:jc w:val="center"/>
              <w:rPr>
                <w:rFonts w:hint="default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HW11精（蒸）馏残渣</w:t>
            </w:r>
          </w:p>
        </w:tc>
        <w:tc>
          <w:tcPr>
            <w:tcW w:w="1883" w:type="dxa"/>
            <w:vAlign w:val="center"/>
          </w:tcPr>
          <w:p w14:paraId="775D944E">
            <w:pPr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1.448</w:t>
            </w:r>
          </w:p>
        </w:tc>
        <w:tc>
          <w:tcPr>
            <w:tcW w:w="2872" w:type="dxa"/>
            <w:vAlign w:val="center"/>
          </w:tcPr>
          <w:p w14:paraId="5BBB6AD1">
            <w:pPr>
              <w:spacing w:beforeLines="0" w:afterLines="0"/>
              <w:jc w:val="center"/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2192" w:type="dxa"/>
            <w:vAlign w:val="center"/>
          </w:tcPr>
          <w:p w14:paraId="5124C2FC">
            <w:pPr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1.448</w:t>
            </w:r>
          </w:p>
        </w:tc>
      </w:tr>
      <w:tr w14:paraId="5AD1E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2BE0C1D9">
            <w:pPr>
              <w:spacing w:beforeLines="0" w:afterLines="0"/>
              <w:jc w:val="center"/>
              <w:rPr>
                <w:rFonts w:hint="default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HW31含铅废物</w:t>
            </w:r>
          </w:p>
        </w:tc>
        <w:tc>
          <w:tcPr>
            <w:tcW w:w="1883" w:type="dxa"/>
            <w:vAlign w:val="center"/>
          </w:tcPr>
          <w:p w14:paraId="74AC9F62">
            <w:pPr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5.86</w:t>
            </w:r>
          </w:p>
        </w:tc>
        <w:tc>
          <w:tcPr>
            <w:tcW w:w="2872" w:type="dxa"/>
            <w:vAlign w:val="center"/>
          </w:tcPr>
          <w:p w14:paraId="63CE8E01">
            <w:pPr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6.32</w:t>
            </w:r>
          </w:p>
        </w:tc>
        <w:tc>
          <w:tcPr>
            <w:tcW w:w="2192" w:type="dxa"/>
            <w:vAlign w:val="center"/>
          </w:tcPr>
          <w:p w14:paraId="76B656E8">
            <w:pPr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0.048</w:t>
            </w:r>
          </w:p>
        </w:tc>
      </w:tr>
      <w:tr w14:paraId="135F30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07F02E0D">
            <w:pPr>
              <w:spacing w:beforeLines="0" w:afterLines="0"/>
              <w:jc w:val="center"/>
              <w:rPr>
                <w:rFonts w:hint="default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HW49其他废物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605CA7F">
            <w:pPr>
              <w:spacing w:beforeLines="0" w:afterLines="0"/>
              <w:jc w:val="center"/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7.60195</w:t>
            </w:r>
          </w:p>
        </w:tc>
        <w:tc>
          <w:tcPr>
            <w:tcW w:w="2872" w:type="dxa"/>
            <w:shd w:val="clear"/>
            <w:vAlign w:val="center"/>
          </w:tcPr>
          <w:p w14:paraId="509C13C7">
            <w:pPr>
              <w:spacing w:beforeLines="0" w:afterLines="0"/>
              <w:jc w:val="center"/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7.9</w:t>
            </w:r>
          </w:p>
        </w:tc>
        <w:tc>
          <w:tcPr>
            <w:tcW w:w="2192" w:type="dxa"/>
            <w:shd w:val="clear" w:color="auto" w:fill="auto"/>
            <w:vAlign w:val="center"/>
          </w:tcPr>
          <w:p w14:paraId="1BC0CCF6">
            <w:pPr>
              <w:spacing w:beforeLines="0" w:afterLines="0"/>
              <w:jc w:val="center"/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4.40755</w:t>
            </w:r>
          </w:p>
        </w:tc>
      </w:tr>
      <w:tr w14:paraId="67FE5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6A63AB45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1883" w:type="dxa"/>
            <w:vAlign w:val="center"/>
          </w:tcPr>
          <w:p w14:paraId="79F4F166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2872" w:type="dxa"/>
            <w:vAlign w:val="center"/>
          </w:tcPr>
          <w:p w14:paraId="370E6DB1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2192" w:type="dxa"/>
            <w:vAlign w:val="center"/>
          </w:tcPr>
          <w:p w14:paraId="2F12AC61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</w:tr>
      <w:tr w14:paraId="74D12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6D69E7A8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1883" w:type="dxa"/>
            <w:vAlign w:val="center"/>
          </w:tcPr>
          <w:p w14:paraId="1C800EBD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2872" w:type="dxa"/>
            <w:vAlign w:val="center"/>
          </w:tcPr>
          <w:p w14:paraId="75F2AFAB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2192" w:type="dxa"/>
            <w:vAlign w:val="center"/>
          </w:tcPr>
          <w:p w14:paraId="6A34DD93">
            <w:pPr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</w:tr>
    </w:tbl>
    <w:p w14:paraId="77241C96">
      <w:pPr>
        <w:spacing w:beforeLines="0" w:afterLines="0"/>
        <w:jc w:val="left"/>
        <w:rPr>
          <w:rFonts w:hint="eastAsia" w:ascii="FangSong_GB2312" w:hAnsi="FangSong_GB2312" w:eastAsia="FangSong_GB2312"/>
          <w:sz w:val="32"/>
          <w:szCs w:val="24"/>
        </w:rPr>
      </w:pPr>
    </w:p>
    <w:sectPr>
      <w:pgSz w:w="12240" w:h="15840"/>
      <w:pgMar w:top="1440" w:right="1800" w:bottom="1440" w:left="180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angSong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5455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jc w:val="both"/>
    </w:pPr>
    <w:rPr>
      <w:rFonts w:eastAsia="宋体"/>
      <w:kern w:val="2"/>
      <w:sz w:val="21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23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2025-09-19T03:22:00Z</dcterms:created>
  <dc:creator>小茹</dc:creator>
  <cp:lastModifiedBy>小茹</cp:lastModifiedBy>
  <dcterms:modified xsi:type="dcterms:W3CDTF">2025-09-19T08:17:59Z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BFD9F5AA699C43DFA76375E3AE9A3F85_11</vt:lpwstr>
  </property>
  <property fmtid="{D5CDD505-2E9C-101B-9397-08002B2CF9AE}" pid="4" name="KSOTemplateDocerSaveRecord">
    <vt:lpwstr>eyJoZGlkIjoiMmI3YzI0Njg2NDZiODA0NTliYjg3YTk5ZmRlNTQ0MzEiLCJ1c2VySWQiOiIzOTYyOTA2OTEifQ==</vt:lpwstr>
  </property>
</Properties>
</file>