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C87D6">
      <w:pPr>
        <w:jc w:val="both"/>
        <w:rPr>
          <w:rFonts w:hint="eastAsia" w:ascii="楷体" w:hAnsi="楷体" w:eastAsia="楷体" w:cs="楷体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楷体" w:hAnsi="楷体" w:eastAsia="楷体" w:cs="楷体"/>
          <w:sz w:val="28"/>
          <w:szCs w:val="28"/>
        </w:rPr>
        <w:t>附件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1：</w:t>
      </w:r>
    </w:p>
    <w:p w14:paraId="292CD053"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农机回收、拆解企业审查确定条件</w:t>
      </w:r>
    </w:p>
    <w:p w14:paraId="0CF8C2A0">
      <w:pPr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一、农机回收企业审查确定条件</w:t>
      </w:r>
    </w:p>
    <w:p w14:paraId="41038A66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1.依法具有农机回收经营业务的企业或合作社；</w:t>
      </w:r>
    </w:p>
    <w:p w14:paraId="69064C41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2.存储场地面积不低于 300 ㎡，同时应具备必要的设备，包括起重设备、喷号设备、照相机和电脑等办公设备；</w:t>
      </w:r>
    </w:p>
    <w:p w14:paraId="2F7619BF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3.建立报废农机回收档案，纸质档案保存期限不应少于</w:t>
      </w:r>
    </w:p>
    <w:p w14:paraId="72C772DB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 年，备份的电子档案和数据库，保存期限不应少于 5 年。</w:t>
      </w:r>
    </w:p>
    <w:p w14:paraId="16050E33">
      <w:pPr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二、农机拆解企业审查确定条件</w:t>
      </w:r>
    </w:p>
    <w:p w14:paraId="0EB7AEAB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拆解企业应以具备资质的报废机动车回收拆解企业为主，也可选择依法具有农机拆解经营业务的其他企业或农机</w:t>
      </w:r>
    </w:p>
    <w:p w14:paraId="68940D1C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合作社；应当遵守国家有关消防、安全、环保的规定，按照</w:t>
      </w:r>
    </w:p>
    <w:p w14:paraId="59D388BE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《报废农业机械回收拆解技术规范》(NY/T2900--2022)要求，</w:t>
      </w:r>
    </w:p>
    <w:p w14:paraId="5481D9CD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并符合以下条件：</w:t>
      </w:r>
    </w:p>
    <w:p w14:paraId="59C68784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1.拆解人员。应具有专业拆解处置人员 2 人以上，其专业能力应能达到规范拆解、环保作业、安全操作(含危险物质收集存储、运输)等相应要求，并配备专业安全生产管理人员和环保人员，国家有持证上岗规定的岗位应持证上岗。</w:t>
      </w:r>
    </w:p>
    <w:p w14:paraId="1486F655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2.场地建设。报废农业机械拆解作业场地应有独立的拆</w:t>
      </w:r>
    </w:p>
    <w:p w14:paraId="720BD86E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解区、产品及拆解后物料储存区、固体废物或危险废物料储</w:t>
      </w:r>
    </w:p>
    <w:p w14:paraId="4B7D876A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存控制区等功能区，功能区场地面积应与拆解能力相匹配。</w:t>
      </w:r>
    </w:p>
    <w:p w14:paraId="7FC2A31D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场地总面积不低于 2000 ㎡，作业场地（包括拆解和储存场地）面积不低于 1400 ㎡。拆解区、产品及拆解后物料储存</w:t>
      </w:r>
    </w:p>
    <w:p w14:paraId="0B6676E5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区、固体废物或危险废物储存控制区功能设计符合拆解能力，</w:t>
      </w:r>
    </w:p>
    <w:p w14:paraId="6E024452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标识明显，具有防风、防雨和防雷功能。拆解车间应为封闭</w:t>
      </w:r>
    </w:p>
    <w:p w14:paraId="6B4960B3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或半封闭车间，通风、光线良好，地面硬化且防渗漏，安全</w:t>
      </w:r>
    </w:p>
    <w:p w14:paraId="065879DB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防范设施齐全；存储场地（包括临时存储）的地面应硬化并</w:t>
      </w:r>
    </w:p>
    <w:p w14:paraId="40C6B8E6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防渗漏。场地建设应包含有害气体、易燃气体处置场所，应</w:t>
      </w:r>
    </w:p>
    <w:p w14:paraId="49D9F317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对污水进行无害处理，污水、清水做好分流，拆解车间消防</w:t>
      </w:r>
    </w:p>
    <w:p w14:paraId="3A4785FE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设施齐全，应有足够的安全通道、紧急照明及疏散标识。拆</w:t>
      </w:r>
    </w:p>
    <w:p w14:paraId="66083559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解区环境噪声限值应符合三类声环境功能区的要求，拆解时</w:t>
      </w:r>
    </w:p>
    <w:p w14:paraId="6D60BA4C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存在有害气体或易燃气体，应做好导流和无害处理。拆解企</w:t>
      </w:r>
    </w:p>
    <w:p w14:paraId="70A11238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业应通过环境影响评价，选址合理。</w:t>
      </w:r>
    </w:p>
    <w:p w14:paraId="74728CF9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3.设备设施。报废农业机械拆解企业宜配备达标的设备，</w:t>
      </w:r>
    </w:p>
    <w:p w14:paraId="584C90AC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包括但不限于农业机械拆解线，称重设备、起重运输设备、</w:t>
      </w:r>
    </w:p>
    <w:p w14:paraId="4DD76218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剪断设备、挤压设备、切割设备、破碎设备、专用容器等。</w:t>
      </w:r>
    </w:p>
    <w:p w14:paraId="7CAEA608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在排空易燃易爆及有毒有害液体、气体物品时、应使用专用</w:t>
      </w:r>
    </w:p>
    <w:p w14:paraId="367FBD86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处理设备，且工作环境安全可靠，防爆等级符合标准要求，</w:t>
      </w:r>
    </w:p>
    <w:p w14:paraId="5EFCF6FC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危险拆解工位增加智能化工艺装备，实现无人自动拆解。应</w:t>
      </w:r>
    </w:p>
    <w:p w14:paraId="2D79E5CD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具备环保设备，包括但不限于专用废液收集容器、油水分离</w:t>
      </w:r>
    </w:p>
    <w:p w14:paraId="25DFCC66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器、专用制冷液收集容器、蓄电池/锂电池/氢燃料电池等专</w:t>
      </w:r>
    </w:p>
    <w:p w14:paraId="55E3486B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用收集容器。应具备电脑、拍照设备和监控设备。应建立设</w:t>
      </w:r>
    </w:p>
    <w:p w14:paraId="2E94C172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备管理制度，制定设备操作规程，并定期维护保养、更新。</w:t>
      </w:r>
    </w:p>
    <w:p w14:paraId="25C74548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应具有安全管理制度，水电气等安全使用说明，安全生产规</w:t>
      </w:r>
    </w:p>
    <w:p w14:paraId="42A7626C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程，防火、防汛应急预案等。拆解场地内应设置安全标志。</w:t>
      </w:r>
    </w:p>
    <w:p w14:paraId="1819E4DF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4.信息管理。在报废农业机械拆解及主要总成解体销毁过程中，至少对回收确认、零部件拆解、对机体等零部件拆</w:t>
      </w:r>
    </w:p>
    <w:p w14:paraId="5F477017"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分或压扁破碎 3 个环节进行录像监控，应剪辑保留 10 秒以上的重要时段视频资料进行存档，同时拍摄（或截图）机体解体销毁前、中、后的照片各 1 张。相关信息的保存期限不应少于 5 年。应建立报废农业机械回收拆解档案和数据库，对回收报废的农业机械逐台登记；记录农业机械和所有者信息，信息主要包括：机主（单位或个人）名称、证件号码、牌照号码（适用时）、品牌型号、机架号、发动机号、出厂年份、接收或收购日期等；记录回收、拆解、废弃物处理及拆解后零部件、材料和废弃物的数量/重量和流向等，并做好标识，处理批次和拆解数量与重量应统一；纸质档案保存期限不应少于 3 年，备份的电子档案和数据库，保存期限不应少于 5 年。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373B1C"/>
    <w:rsid w:val="0F850E12"/>
    <w:rsid w:val="12751C80"/>
    <w:rsid w:val="42B21FB1"/>
    <w:rsid w:val="50FC7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1399</Words>
  <Characters>1430</Characters>
  <Lines>0</Lines>
  <Paragraphs>0</Paragraphs>
  <TotalTime>2</TotalTime>
  <ScaleCrop>false</ScaleCrop>
  <LinksUpToDate>false</LinksUpToDate>
  <CharactersWithSpaces>1453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2025-06-27T07:12:00Z</dcterms:created>
  <dc:creator>Administrator</dc:creator>
  <cp:lastModifiedBy>Administrator</cp:lastModifiedBy>
  <dcterms:modified xsi:type="dcterms:W3CDTF">2025-06-28T02:26:09Z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eyJoZGlkIjoiMzkxNGRlYjI5M2RmM2QzNDBlZGYzYWM5MjVkNjkwOTUiLCJ1c2VySWQiOiI2Mjc1ODE4NDkifQ==</vt:lpwstr>
  </property>
  <property fmtid="{D5CDD505-2E9C-101B-9397-08002B2CF9AE}" pid="4" name="ICV">
    <vt:lpwstr>D6A52B87F633483189B3BF776D5FE282_13</vt:lpwstr>
  </property>
</Properties>
</file>