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C2C3EB">
      <w:pPr>
        <w:widowControl/>
        <w:spacing w:line="400" w:lineRule="exact"/>
        <w:jc w:val="left"/>
        <w:rPr>
          <w:rFonts w:ascii="仿宋" w:hAnsi="仿宋" w:eastAsia="仿宋" w:cs="仿宋"/>
          <w:kern w:val="0"/>
          <w:sz w:val="32"/>
          <w:szCs w:val="32"/>
          <w:shd w:val="clear" w:color="auto" w:fill="FFFFFF"/>
        </w:rPr>
      </w:pPr>
      <w:bookmarkStart w:id="0" w:name="_GoBack"/>
      <w:bookmarkEnd w:id="0"/>
      <w:r>
        <w:rPr>
          <w:rFonts w:hint="eastAsia" w:ascii="仿宋" w:hAnsi="仿宋" w:eastAsia="仿宋" w:cs="仿宋"/>
          <w:kern w:val="0"/>
          <w:sz w:val="32"/>
          <w:szCs w:val="32"/>
          <w:shd w:val="clear" w:color="auto" w:fill="FFFFFF"/>
        </w:rPr>
        <w:t xml:space="preserve">  附件4：</w:t>
      </w:r>
    </w:p>
    <w:p w14:paraId="4C659F61">
      <w:pPr>
        <w:spacing w:line="480" w:lineRule="exact"/>
        <w:jc w:val="center"/>
        <w:rPr>
          <w:rFonts w:ascii="宋体" w:hAnsi="宋体"/>
          <w:b/>
          <w:sz w:val="44"/>
          <w:szCs w:val="44"/>
        </w:rPr>
      </w:pPr>
      <w:r>
        <w:rPr>
          <w:rFonts w:hint="eastAsia" w:ascii="宋体" w:hAnsi="宋体"/>
          <w:b/>
          <w:sz w:val="44"/>
          <w:szCs w:val="44"/>
        </w:rPr>
        <w:t>隆尧县</w:t>
      </w:r>
      <w:r>
        <w:rPr>
          <w:rFonts w:hint="eastAsia" w:ascii="宋体" w:hAnsi="宋体"/>
          <w:b/>
          <w:sz w:val="44"/>
          <w:szCs w:val="44"/>
          <w:lang w:eastAsia="zh-CN"/>
        </w:rPr>
        <w:t>财政局</w:t>
      </w:r>
      <w:r>
        <w:rPr>
          <w:rFonts w:hint="eastAsia" w:ascii="宋体" w:hAnsi="宋体"/>
          <w:b/>
          <w:sz w:val="44"/>
          <w:szCs w:val="44"/>
        </w:rPr>
        <w:t>2021年</w:t>
      </w:r>
    </w:p>
    <w:p w14:paraId="28BF715D">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14:paraId="179A6694">
      <w:pPr>
        <w:spacing w:line="480" w:lineRule="exact"/>
        <w:jc w:val="left"/>
        <w:rPr>
          <w:rFonts w:ascii="仿宋" w:hAnsi="仿宋" w:eastAsia="仿宋" w:cs="仿宋"/>
          <w:sz w:val="24"/>
          <w:szCs w:val="24"/>
        </w:rPr>
      </w:pPr>
      <w:r>
        <w:rPr>
          <w:rFonts w:hint="eastAsia" w:ascii="仿宋" w:hAnsi="仿宋" w:eastAsia="仿宋" w:cs="仿宋"/>
          <w:sz w:val="24"/>
          <w:szCs w:val="24"/>
        </w:rPr>
        <w:t xml:space="preserve">单位名称:        (公章)         单位负责人:          </w:t>
      </w:r>
    </w:p>
    <w:tbl>
      <w:tblPr>
        <w:tblStyle w:val="11"/>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14:paraId="33B5B8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49D1AD8B">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4323F09E">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14:paraId="52BB8365">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14:paraId="0EF71551">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14:paraId="64D04F24">
            <w:pPr>
              <w:widowControl/>
              <w:spacing w:line="240" w:lineRule="exact"/>
              <w:jc w:val="left"/>
              <w:rPr>
                <w:b/>
              </w:rPr>
            </w:pPr>
            <w:r>
              <w:rPr>
                <w:rFonts w:ascii="仿宋_GB2312" w:hAnsi="新宋体" w:eastAsia="仿宋_GB2312" w:cs="仿宋_GB2312"/>
                <w:b/>
                <w:kern w:val="0"/>
                <w:sz w:val="24"/>
                <w:szCs w:val="24"/>
              </w:rPr>
              <w:t>得分</w:t>
            </w:r>
          </w:p>
        </w:tc>
      </w:tr>
      <w:tr w14:paraId="67CEA8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A7C6511">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1F5C33E">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69EA447">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14:paraId="27199AD5">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14:paraId="5E94FC37">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14:paraId="00BAD63C">
            <w:pPr>
              <w:rPr>
                <w:rFonts w:ascii="宋体"/>
                <w:szCs w:val="21"/>
              </w:rPr>
            </w:pPr>
          </w:p>
        </w:tc>
      </w:tr>
      <w:tr w14:paraId="657B04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14:paraId="22586DD0">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14:paraId="333AB2D8">
            <w:pPr>
              <w:widowControl/>
              <w:spacing w:line="240" w:lineRule="exact"/>
              <w:jc w:val="left"/>
              <w:rPr>
                <w:rFonts w:hint="default" w:eastAsiaTheme="minorEastAsia"/>
                <w:szCs w:val="21"/>
                <w:lang w:val="en-US" w:eastAsia="zh-CN"/>
              </w:rPr>
            </w:pPr>
            <w:r>
              <w:rPr>
                <w:rFonts w:hint="eastAsia"/>
                <w:sz w:val="18"/>
                <w:szCs w:val="18"/>
                <w:lang w:val="en-US" w:eastAsia="zh-CN"/>
              </w:rPr>
              <w:t>96.5</w:t>
            </w:r>
          </w:p>
        </w:tc>
      </w:tr>
      <w:tr w14:paraId="65A5B4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2578DBF9">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A05FA14">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14:paraId="095AAFCF">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011716A0">
            <w:pPr>
              <w:widowControl/>
              <w:spacing w:line="240" w:lineRule="exact"/>
              <w:jc w:val="left"/>
              <w:rPr>
                <w:rFonts w:ascii="仿宋_GB2312" w:hAnsi="新宋体" w:eastAsia="仿宋_GB2312" w:cs="仿宋_GB2312"/>
                <w:kern w:val="0"/>
                <w:szCs w:val="21"/>
              </w:rPr>
            </w:pPr>
          </w:p>
          <w:p w14:paraId="6BA36797">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14:paraId="2E80C524">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02A9B80D">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14:paraId="1D6ACD38">
            <w:pPr>
              <w:widowControl/>
              <w:spacing w:line="240" w:lineRule="exact"/>
              <w:jc w:val="left"/>
              <w:rPr>
                <w:szCs w:val="21"/>
              </w:rPr>
            </w:pPr>
            <w:r>
              <w:rPr>
                <w:rFonts w:ascii="仿宋_GB2312" w:hAnsi="新宋体" w:eastAsia="仿宋_GB2312" w:cs="仿宋_GB2312"/>
                <w:kern w:val="0"/>
                <w:szCs w:val="21"/>
              </w:rPr>
              <w:t>符合（1）；</w:t>
            </w:r>
          </w:p>
          <w:p w14:paraId="07F32AF6">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7963BC6D">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05D322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6DB9E15">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EBA8D88">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432BE68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14:paraId="33D53AE2">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4315EF9C">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36D291A9">
            <w:pPr>
              <w:widowControl/>
              <w:spacing w:line="240" w:lineRule="exact"/>
              <w:jc w:val="left"/>
              <w:rPr>
                <w:szCs w:val="21"/>
              </w:rPr>
            </w:pPr>
            <w:r>
              <w:rPr>
                <w:rFonts w:ascii="仿宋_GB2312" w:hAnsi="新宋体" w:eastAsia="仿宋_GB2312" w:cs="仿宋_GB2312"/>
                <w:kern w:val="0"/>
                <w:szCs w:val="21"/>
              </w:rPr>
              <w:t>评价要点：</w:t>
            </w:r>
          </w:p>
          <w:p w14:paraId="402A5731">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5FDD23A5">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14:paraId="524A9BE3">
            <w:pPr>
              <w:widowControl/>
              <w:spacing w:line="240" w:lineRule="exact"/>
              <w:jc w:val="left"/>
              <w:rPr>
                <w:szCs w:val="21"/>
              </w:rPr>
            </w:pPr>
            <w:r>
              <w:rPr>
                <w:rFonts w:ascii="仿宋_GB2312" w:hAnsi="新宋体" w:eastAsia="仿宋_GB2312" w:cs="仿宋_GB2312"/>
                <w:kern w:val="0"/>
                <w:szCs w:val="21"/>
              </w:rPr>
              <w:t>全部符合（2）；</w:t>
            </w:r>
          </w:p>
          <w:p w14:paraId="2EDEF01D">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3C28033B">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64BD30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357CC10">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F041A99">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52139EF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14:paraId="4B9F53B2">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28E90802">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2A725843">
            <w:pPr>
              <w:widowControl/>
              <w:spacing w:line="240" w:lineRule="exact"/>
              <w:jc w:val="left"/>
              <w:rPr>
                <w:szCs w:val="21"/>
              </w:rPr>
            </w:pPr>
            <w:r>
              <w:rPr>
                <w:rFonts w:ascii="仿宋_GB2312" w:hAnsi="新宋体" w:eastAsia="仿宋_GB2312" w:cs="仿宋_GB2312"/>
                <w:kern w:val="0"/>
                <w:szCs w:val="21"/>
              </w:rPr>
              <w:t>评价要点：</w:t>
            </w:r>
          </w:p>
          <w:p w14:paraId="067DC887">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2273BDEF">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14:paraId="41AC2002">
            <w:pPr>
              <w:widowControl/>
              <w:spacing w:line="240" w:lineRule="exact"/>
              <w:jc w:val="left"/>
              <w:rPr>
                <w:szCs w:val="21"/>
              </w:rPr>
            </w:pPr>
            <w:r>
              <w:rPr>
                <w:rFonts w:ascii="仿宋_GB2312" w:hAnsi="新宋体" w:eastAsia="仿宋_GB2312" w:cs="仿宋_GB2312"/>
                <w:kern w:val="0"/>
                <w:szCs w:val="21"/>
              </w:rPr>
              <w:t>全部符合（2）；</w:t>
            </w:r>
          </w:p>
          <w:p w14:paraId="793905F6">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19C621AB">
            <w:pPr>
              <w:widowControl/>
              <w:spacing w:line="240" w:lineRule="exact"/>
              <w:jc w:val="left"/>
              <w:rPr>
                <w:rFonts w:hint="eastAsia" w:eastAsiaTheme="minorEastAsia"/>
                <w:szCs w:val="21"/>
                <w:lang w:val="en-US" w:eastAsia="zh-CN"/>
              </w:rPr>
            </w:pPr>
            <w:r>
              <w:rPr>
                <w:rFonts w:hint="eastAsia"/>
                <w:szCs w:val="21"/>
                <w:lang w:val="en-US" w:eastAsia="zh-CN"/>
              </w:rPr>
              <w:t>0</w:t>
            </w:r>
          </w:p>
        </w:tc>
      </w:tr>
      <w:tr w14:paraId="196FAF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AAC35C0">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14:paraId="5DEF7D6C">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14:paraId="4B77943B">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14:paraId="7F73CAE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63FA062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6380027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065FF94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14:paraId="17A2B42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144A141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14:paraId="19E1B3A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14:paraId="1DAB704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0B944EB6">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085265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14:paraId="396D7BFA">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098DD9F8">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59E3F358">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变动率（2分）</w:t>
            </w:r>
          </w:p>
        </w:tc>
        <w:tc>
          <w:tcPr>
            <w:tcW w:w="3260" w:type="dxa"/>
            <w:tcBorders>
              <w:top w:val="single" w:color="auto" w:sz="4" w:space="0"/>
              <w:left w:val="single" w:color="auto" w:sz="4" w:space="0"/>
              <w:right w:val="single" w:color="auto" w:sz="4" w:space="0"/>
            </w:tcBorders>
            <w:vAlign w:val="center"/>
          </w:tcPr>
          <w:p w14:paraId="03C6F48E">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部门本年度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预算数与上年度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预算数的变动比率，用以反映和考核部门对控制重点行政成本的努力程度。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变动率=[（本年度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总额）/上年度</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总额]×100%。</w:t>
            </w:r>
          </w:p>
          <w:p w14:paraId="5775C804">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14:paraId="2208875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14:paraId="227FDE9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14:paraId="6A41F7D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14:paraId="28AFBD14">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]/[max（</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）－min（</w:t>
            </w:r>
            <w:r>
              <w:rPr>
                <w:rFonts w:hint="eastAsia" w:ascii="仿宋" w:hAnsi="仿宋" w:eastAsia="仿宋" w:cs="仿宋"/>
                <w:color w:val="000000"/>
                <w:kern w:val="0"/>
                <w:szCs w:val="21"/>
                <w:lang w:eastAsia="zh-CN"/>
              </w:rPr>
              <w:t>“三公”经费</w:t>
            </w:r>
            <w:r>
              <w:rPr>
                <w:rFonts w:hint="eastAsia" w:ascii="仿宋" w:hAnsi="仿宋" w:eastAsia="仿宋" w:cs="仿宋"/>
                <w:color w:val="000000"/>
                <w:kern w:val="0"/>
                <w:szCs w:val="21"/>
              </w:rPr>
              <w:t>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768D1C3C">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105BF3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14:paraId="3D8AC2F7">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14:paraId="74DAA205">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5B837365">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14:paraId="33EA285A">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p>
          <w:p w14:paraId="04AE0F0F">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p>
          <w:p w14:paraId="42300A8E">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14:paraId="2A0AFA3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2BEE00C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14:paraId="3F8A4E9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14:paraId="46C5A9CD">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728100D3">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342514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23769646">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2A1CB2C3">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387D75A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14:paraId="55EADD2C">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398AE2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588B01C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0453B14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50E5830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14:paraId="78F0B76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14:paraId="55C9D10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5D54A86A">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1625A2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D7C5D5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1560DEB">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74FFA4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14:paraId="4929266E">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09D15FC">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22B424AC">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60BBB0E2">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14:paraId="53E5A02F">
            <w:pPr>
              <w:widowControl/>
              <w:spacing w:line="240" w:lineRule="exact"/>
              <w:jc w:val="left"/>
              <w:rPr>
                <w:szCs w:val="21"/>
              </w:rPr>
            </w:pPr>
            <w:r>
              <w:rPr>
                <w:rFonts w:ascii="仿宋_GB2312" w:hAnsi="新宋体" w:eastAsia="仿宋_GB2312" w:cs="仿宋_GB2312"/>
                <w:kern w:val="0"/>
                <w:szCs w:val="21"/>
              </w:rPr>
              <w:t>2.预算调整率大于或等于10%的，得0分；</w:t>
            </w:r>
          </w:p>
          <w:p w14:paraId="2EF78AD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14:paraId="260528D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53D391C6">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70716A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8A0F51A">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444BC9E">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5547769">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14:paraId="2147E013">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930B1F4">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1A4D80E4">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14:paraId="52B608E2">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14:paraId="1A806032">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53F1D39D">
            <w:pPr>
              <w:widowControl/>
              <w:spacing w:line="240" w:lineRule="exact"/>
              <w:jc w:val="left"/>
              <w:rPr>
                <w:rFonts w:hint="default" w:eastAsiaTheme="minorEastAsia"/>
                <w:szCs w:val="21"/>
                <w:lang w:val="en-US" w:eastAsia="zh-CN"/>
              </w:rPr>
            </w:pPr>
            <w:r>
              <w:rPr>
                <w:rFonts w:hint="eastAsia"/>
                <w:szCs w:val="21"/>
                <w:lang w:val="en-US" w:eastAsia="zh-CN"/>
              </w:rPr>
              <w:t>4.5</w:t>
            </w:r>
          </w:p>
        </w:tc>
      </w:tr>
      <w:tr w14:paraId="564E29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BD73AF8">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1126A33">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47A964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14:paraId="7082853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14:paraId="4A02428C">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076A36E">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228BF4E9">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35FE343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14:paraId="5051C34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14:paraId="15C1CCF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14:paraId="03A54A1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7D4030F6">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25E2BC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00BD6AC">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16868EF">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12E79B3">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14:paraId="1E1259FD">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14:paraId="65395704">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1306E5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2AB8F0C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14:paraId="5E3B0FF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460733E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14:paraId="127FB50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14:paraId="509FDC2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05872E39">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0462EB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386211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BECEFA3">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4C40D2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14:paraId="308E331D">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14:paraId="2DF2FA8E">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011819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31229D9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6EC7419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14:paraId="2044AC1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635BE41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14:paraId="3E2B158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14:paraId="7D44B07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0BC699DF">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2AFBBB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F9E0E1A">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523AC781">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1FDA211F">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14:paraId="27CD0CD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14:paraId="2E1A682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14:paraId="023DF760">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4926B95">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01DF908E">
            <w:pPr>
              <w:widowControl/>
              <w:spacing w:line="240" w:lineRule="exact"/>
              <w:jc w:val="left"/>
              <w:rPr>
                <w:szCs w:val="21"/>
              </w:rPr>
            </w:pPr>
            <w:r>
              <w:rPr>
                <w:rFonts w:ascii="仿宋_GB2312" w:hAnsi="新宋体" w:eastAsia="仿宋_GB2312" w:cs="仿宋_GB2312"/>
                <w:kern w:val="0"/>
                <w:szCs w:val="21"/>
              </w:rPr>
              <w:t>评价要点：</w:t>
            </w:r>
          </w:p>
          <w:p w14:paraId="5D010838">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1261A4BC">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1BE50266">
            <w:pPr>
              <w:widowControl/>
              <w:spacing w:line="240" w:lineRule="exact"/>
              <w:jc w:val="left"/>
              <w:rPr>
                <w:szCs w:val="21"/>
              </w:rPr>
            </w:pPr>
            <w:r>
              <w:rPr>
                <w:rFonts w:ascii="仿宋_GB2312" w:hAnsi="新宋体" w:eastAsia="仿宋_GB2312" w:cs="仿宋_GB2312"/>
                <w:kern w:val="0"/>
                <w:szCs w:val="21"/>
              </w:rPr>
              <w:t>3.项目的重大开支经过评估论证；</w:t>
            </w:r>
          </w:p>
          <w:p w14:paraId="1DFDA3F6">
            <w:pPr>
              <w:widowControl/>
              <w:spacing w:line="240" w:lineRule="exact"/>
              <w:jc w:val="left"/>
              <w:rPr>
                <w:szCs w:val="21"/>
              </w:rPr>
            </w:pPr>
            <w:r>
              <w:rPr>
                <w:rFonts w:ascii="仿宋_GB2312" w:hAnsi="新宋体" w:eastAsia="仿宋_GB2312" w:cs="仿宋_GB2312"/>
                <w:kern w:val="0"/>
                <w:szCs w:val="21"/>
              </w:rPr>
              <w:t>4.符合部门预算批复的用途；</w:t>
            </w:r>
          </w:p>
          <w:p w14:paraId="628A6B5F">
            <w:pPr>
              <w:widowControl/>
              <w:spacing w:line="240" w:lineRule="exact"/>
              <w:jc w:val="left"/>
              <w:rPr>
                <w:szCs w:val="21"/>
              </w:rPr>
            </w:pPr>
            <w:r>
              <w:rPr>
                <w:rFonts w:ascii="仿宋_GB2312" w:hAnsi="新宋体" w:eastAsia="仿宋_GB2312" w:cs="仿宋_GB2312"/>
                <w:kern w:val="0"/>
                <w:szCs w:val="21"/>
              </w:rPr>
              <w:t>5.不存在截留情况；</w:t>
            </w:r>
          </w:p>
          <w:p w14:paraId="717DDCE1">
            <w:pPr>
              <w:widowControl/>
              <w:spacing w:line="240" w:lineRule="exact"/>
              <w:jc w:val="left"/>
              <w:rPr>
                <w:szCs w:val="21"/>
              </w:rPr>
            </w:pPr>
            <w:r>
              <w:rPr>
                <w:rFonts w:ascii="仿宋_GB2312" w:hAnsi="新宋体" w:eastAsia="仿宋_GB2312" w:cs="仿宋_GB2312"/>
                <w:kern w:val="0"/>
                <w:szCs w:val="21"/>
              </w:rPr>
              <w:t>6.不存在挤占情况；</w:t>
            </w:r>
          </w:p>
          <w:p w14:paraId="3B75097E">
            <w:pPr>
              <w:widowControl/>
              <w:spacing w:line="240" w:lineRule="exact"/>
              <w:jc w:val="left"/>
              <w:rPr>
                <w:szCs w:val="21"/>
              </w:rPr>
            </w:pPr>
            <w:r>
              <w:rPr>
                <w:rFonts w:ascii="仿宋_GB2312" w:hAnsi="新宋体" w:eastAsia="仿宋_GB2312" w:cs="仿宋_GB2312"/>
                <w:kern w:val="0"/>
                <w:szCs w:val="21"/>
              </w:rPr>
              <w:t>7.不存在挪用情况；</w:t>
            </w:r>
          </w:p>
          <w:p w14:paraId="1FBD50D1">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14:paraId="1800C376">
            <w:pPr>
              <w:widowControl/>
              <w:spacing w:line="240" w:lineRule="exact"/>
              <w:jc w:val="left"/>
              <w:rPr>
                <w:szCs w:val="21"/>
              </w:rPr>
            </w:pPr>
            <w:r>
              <w:rPr>
                <w:rFonts w:ascii="仿宋_GB2312" w:hAnsi="新宋体" w:eastAsia="仿宋_GB2312" w:cs="仿宋_GB2312"/>
                <w:kern w:val="0"/>
                <w:szCs w:val="21"/>
              </w:rPr>
              <w:t>全部符合（8）；</w:t>
            </w:r>
          </w:p>
          <w:p w14:paraId="67263EE3">
            <w:pPr>
              <w:widowControl/>
              <w:spacing w:line="240" w:lineRule="exact"/>
              <w:jc w:val="left"/>
              <w:rPr>
                <w:szCs w:val="21"/>
              </w:rPr>
            </w:pPr>
            <w:r>
              <w:rPr>
                <w:rFonts w:ascii="仿宋_GB2312" w:hAnsi="新宋体" w:eastAsia="仿宋_GB2312" w:cs="仿宋_GB2312"/>
                <w:kern w:val="0"/>
                <w:szCs w:val="21"/>
              </w:rPr>
              <w:t>符合其中七项（6）；</w:t>
            </w:r>
          </w:p>
          <w:p w14:paraId="2584F791">
            <w:pPr>
              <w:widowControl/>
              <w:spacing w:line="240" w:lineRule="exact"/>
              <w:jc w:val="left"/>
              <w:rPr>
                <w:szCs w:val="21"/>
              </w:rPr>
            </w:pPr>
            <w:r>
              <w:rPr>
                <w:rFonts w:ascii="仿宋_GB2312" w:hAnsi="新宋体" w:eastAsia="仿宋_GB2312" w:cs="仿宋_GB2312"/>
                <w:kern w:val="0"/>
                <w:szCs w:val="21"/>
              </w:rPr>
              <w:t>符合其中六项（4）；</w:t>
            </w:r>
          </w:p>
          <w:p w14:paraId="35E0472E">
            <w:pPr>
              <w:widowControl/>
              <w:spacing w:line="240" w:lineRule="exact"/>
              <w:jc w:val="left"/>
              <w:rPr>
                <w:szCs w:val="21"/>
              </w:rPr>
            </w:pPr>
            <w:r>
              <w:rPr>
                <w:rFonts w:ascii="仿宋_GB2312" w:hAnsi="新宋体" w:eastAsia="仿宋_GB2312" w:cs="仿宋_GB2312"/>
                <w:kern w:val="0"/>
                <w:szCs w:val="21"/>
              </w:rPr>
              <w:t>符合其中五项（2）；</w:t>
            </w:r>
          </w:p>
          <w:p w14:paraId="36349B8A">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30028E01">
            <w:pPr>
              <w:widowControl/>
              <w:spacing w:line="240" w:lineRule="exact"/>
              <w:jc w:val="left"/>
              <w:rPr>
                <w:rFonts w:hint="eastAsia" w:eastAsiaTheme="minorEastAsia"/>
                <w:szCs w:val="21"/>
                <w:lang w:val="en-US" w:eastAsia="zh-CN"/>
              </w:rPr>
            </w:pPr>
            <w:r>
              <w:rPr>
                <w:rFonts w:hint="eastAsia"/>
                <w:szCs w:val="21"/>
                <w:lang w:val="en-US" w:eastAsia="zh-CN"/>
              </w:rPr>
              <w:t>8</w:t>
            </w:r>
          </w:p>
        </w:tc>
      </w:tr>
      <w:tr w14:paraId="287CBB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3C0E52A">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B568B58">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276B89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14:paraId="26FA117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14:paraId="265F5A19">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F54EA3E">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5E6B6A46">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64D9D0C3">
            <w:pPr>
              <w:widowControl/>
              <w:spacing w:line="240" w:lineRule="exact"/>
              <w:jc w:val="left"/>
              <w:rPr>
                <w:szCs w:val="21"/>
              </w:rPr>
            </w:pPr>
            <w:r>
              <w:rPr>
                <w:rFonts w:ascii="仿宋_GB2312" w:hAnsi="新宋体" w:eastAsia="仿宋_GB2312" w:cs="仿宋_GB2312"/>
                <w:kern w:val="0"/>
                <w:szCs w:val="21"/>
              </w:rPr>
              <w:t>评价要点：</w:t>
            </w:r>
          </w:p>
          <w:p w14:paraId="01A67783">
            <w:pPr>
              <w:widowControl/>
              <w:spacing w:line="240" w:lineRule="exact"/>
              <w:jc w:val="left"/>
              <w:rPr>
                <w:szCs w:val="21"/>
              </w:rPr>
            </w:pPr>
            <w:r>
              <w:rPr>
                <w:rFonts w:ascii="仿宋_GB2312" w:hAnsi="新宋体" w:eastAsia="仿宋_GB2312" w:cs="仿宋_GB2312"/>
                <w:kern w:val="0"/>
                <w:szCs w:val="21"/>
              </w:rPr>
              <w:t>1.公开预决算信息；</w:t>
            </w:r>
          </w:p>
          <w:p w14:paraId="2C455833">
            <w:pPr>
              <w:widowControl/>
              <w:spacing w:line="240" w:lineRule="exact"/>
              <w:jc w:val="left"/>
              <w:rPr>
                <w:szCs w:val="21"/>
              </w:rPr>
            </w:pPr>
            <w:r>
              <w:rPr>
                <w:rFonts w:ascii="仿宋_GB2312" w:hAnsi="新宋体" w:eastAsia="仿宋_GB2312" w:cs="仿宋_GB2312"/>
                <w:kern w:val="0"/>
                <w:szCs w:val="21"/>
              </w:rPr>
              <w:t>2.按规定内容公开预决算信息；</w:t>
            </w:r>
          </w:p>
          <w:p w14:paraId="433C92A4">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14:paraId="0FA71B43">
            <w:pPr>
              <w:widowControl/>
              <w:spacing w:line="240" w:lineRule="exact"/>
              <w:jc w:val="left"/>
              <w:rPr>
                <w:szCs w:val="21"/>
              </w:rPr>
            </w:pPr>
            <w:r>
              <w:rPr>
                <w:rFonts w:ascii="仿宋_GB2312" w:hAnsi="新宋体" w:eastAsia="仿宋_GB2312" w:cs="仿宋_GB2312"/>
                <w:kern w:val="0"/>
                <w:szCs w:val="21"/>
              </w:rPr>
              <w:t>全部符合（3）；</w:t>
            </w:r>
          </w:p>
          <w:p w14:paraId="44821B39">
            <w:pPr>
              <w:widowControl/>
              <w:spacing w:line="240" w:lineRule="exact"/>
              <w:jc w:val="left"/>
              <w:rPr>
                <w:szCs w:val="21"/>
              </w:rPr>
            </w:pPr>
            <w:r>
              <w:rPr>
                <w:rFonts w:ascii="仿宋_GB2312" w:hAnsi="新宋体" w:eastAsia="仿宋_GB2312" w:cs="仿宋_GB2312"/>
                <w:kern w:val="0"/>
                <w:szCs w:val="21"/>
              </w:rPr>
              <w:t>符合其中两项（2）</w:t>
            </w:r>
          </w:p>
          <w:p w14:paraId="0E4EFF6A">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7744E79B">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7DE2C6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90A8C6C">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AAC7E91">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251C353">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14:paraId="0D9A0A75">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14:paraId="6B12AD4B">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F940A97">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3B0F7D0C">
            <w:pPr>
              <w:widowControl/>
              <w:spacing w:line="240" w:lineRule="exact"/>
              <w:jc w:val="left"/>
              <w:rPr>
                <w:szCs w:val="21"/>
              </w:rPr>
            </w:pPr>
            <w:r>
              <w:rPr>
                <w:rFonts w:ascii="仿宋_GB2312" w:hAnsi="新宋体" w:eastAsia="仿宋_GB2312" w:cs="仿宋_GB2312"/>
                <w:kern w:val="0"/>
                <w:szCs w:val="21"/>
              </w:rPr>
              <w:t>评价要点：</w:t>
            </w:r>
          </w:p>
          <w:p w14:paraId="2B814B52">
            <w:pPr>
              <w:widowControl/>
              <w:spacing w:line="240" w:lineRule="exact"/>
              <w:jc w:val="left"/>
              <w:rPr>
                <w:szCs w:val="21"/>
              </w:rPr>
            </w:pPr>
            <w:r>
              <w:rPr>
                <w:rFonts w:ascii="仿宋_GB2312" w:hAnsi="新宋体" w:eastAsia="仿宋_GB2312" w:cs="仿宋_GB2312"/>
                <w:kern w:val="0"/>
                <w:szCs w:val="21"/>
              </w:rPr>
              <w:t>1.基本财务管理制度健全；</w:t>
            </w:r>
          </w:p>
          <w:p w14:paraId="4874BFB3">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004C74CB">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71B9256B">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14:paraId="23BE21EC">
            <w:pPr>
              <w:widowControl/>
              <w:spacing w:line="240" w:lineRule="exact"/>
              <w:jc w:val="left"/>
              <w:rPr>
                <w:szCs w:val="21"/>
              </w:rPr>
            </w:pPr>
            <w:r>
              <w:rPr>
                <w:rFonts w:ascii="仿宋_GB2312" w:hAnsi="新宋体" w:eastAsia="仿宋_GB2312" w:cs="仿宋_GB2312"/>
                <w:kern w:val="0"/>
                <w:szCs w:val="21"/>
              </w:rPr>
              <w:t>符合全部四项（4）；</w:t>
            </w:r>
          </w:p>
          <w:p w14:paraId="79A9827F">
            <w:pPr>
              <w:widowControl/>
              <w:spacing w:line="240" w:lineRule="exact"/>
              <w:jc w:val="left"/>
              <w:rPr>
                <w:szCs w:val="21"/>
              </w:rPr>
            </w:pPr>
            <w:r>
              <w:rPr>
                <w:rFonts w:ascii="仿宋_GB2312" w:hAnsi="新宋体" w:eastAsia="仿宋_GB2312" w:cs="仿宋_GB2312"/>
                <w:kern w:val="0"/>
                <w:szCs w:val="21"/>
              </w:rPr>
              <w:t>符合其中三项（2）；</w:t>
            </w:r>
          </w:p>
          <w:p w14:paraId="4C3A6246">
            <w:pPr>
              <w:widowControl/>
              <w:spacing w:line="240" w:lineRule="exact"/>
              <w:jc w:val="left"/>
              <w:rPr>
                <w:szCs w:val="21"/>
              </w:rPr>
            </w:pPr>
            <w:r>
              <w:rPr>
                <w:rFonts w:ascii="仿宋_GB2312" w:hAnsi="新宋体" w:eastAsia="仿宋_GB2312" w:cs="仿宋_GB2312"/>
                <w:kern w:val="0"/>
                <w:szCs w:val="21"/>
              </w:rPr>
              <w:t>符合其中两项（1）；</w:t>
            </w:r>
          </w:p>
          <w:p w14:paraId="2CB86DA0">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0744569C">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1C9D87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1ED4932">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6D857587">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14:paraId="4F461243">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14:paraId="72E6420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14:paraId="2176B516">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7F1133BA">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56764C05">
            <w:pPr>
              <w:widowControl/>
              <w:spacing w:line="240" w:lineRule="exact"/>
              <w:jc w:val="left"/>
              <w:rPr>
                <w:szCs w:val="21"/>
              </w:rPr>
            </w:pPr>
            <w:r>
              <w:rPr>
                <w:rFonts w:ascii="仿宋_GB2312" w:hAnsi="新宋体" w:eastAsia="仿宋_GB2312" w:cs="仿宋_GB2312"/>
                <w:kern w:val="0"/>
                <w:szCs w:val="21"/>
              </w:rPr>
              <w:t>评价要点：</w:t>
            </w:r>
          </w:p>
          <w:p w14:paraId="46AF8229">
            <w:pPr>
              <w:widowControl/>
              <w:spacing w:line="240" w:lineRule="exact"/>
              <w:jc w:val="left"/>
              <w:rPr>
                <w:szCs w:val="21"/>
              </w:rPr>
            </w:pPr>
            <w:r>
              <w:rPr>
                <w:rFonts w:ascii="仿宋_GB2312" w:hAnsi="新宋体" w:eastAsia="仿宋_GB2312" w:cs="仿宋_GB2312"/>
                <w:kern w:val="0"/>
                <w:szCs w:val="21"/>
              </w:rPr>
              <w:t>1.资产保存完整；</w:t>
            </w:r>
          </w:p>
          <w:p w14:paraId="08055BA8">
            <w:pPr>
              <w:widowControl/>
              <w:spacing w:line="240" w:lineRule="exact"/>
              <w:jc w:val="left"/>
              <w:rPr>
                <w:szCs w:val="21"/>
              </w:rPr>
            </w:pPr>
            <w:r>
              <w:rPr>
                <w:rFonts w:ascii="仿宋_GB2312" w:hAnsi="新宋体" w:eastAsia="仿宋_GB2312" w:cs="仿宋_GB2312"/>
                <w:kern w:val="0"/>
                <w:szCs w:val="21"/>
              </w:rPr>
              <w:t>2.资产账务管理是否合规，</w:t>
            </w:r>
            <w:r>
              <w:rPr>
                <w:rFonts w:hint="eastAsia" w:ascii="仿宋_GB2312" w:hAnsi="新宋体" w:eastAsia="仿宋_GB2312" w:cs="仿宋_GB2312"/>
                <w:kern w:val="0"/>
                <w:szCs w:val="21"/>
              </w:rPr>
              <w:t>账实相符</w:t>
            </w:r>
            <w:r>
              <w:rPr>
                <w:rFonts w:ascii="仿宋_GB2312" w:hAnsi="新宋体" w:eastAsia="仿宋_GB2312" w:cs="仿宋_GB2312"/>
                <w:kern w:val="0"/>
                <w:szCs w:val="21"/>
              </w:rPr>
              <w:t>；</w:t>
            </w:r>
          </w:p>
          <w:p w14:paraId="7931AE02">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14:paraId="148E6C6A">
            <w:pPr>
              <w:widowControl/>
              <w:spacing w:line="240" w:lineRule="exact"/>
              <w:jc w:val="left"/>
              <w:rPr>
                <w:szCs w:val="21"/>
              </w:rPr>
            </w:pPr>
            <w:r>
              <w:rPr>
                <w:rFonts w:ascii="仿宋_GB2312" w:hAnsi="新宋体" w:eastAsia="仿宋_GB2312" w:cs="仿宋_GB2312"/>
                <w:kern w:val="0"/>
                <w:szCs w:val="21"/>
              </w:rPr>
              <w:t>符合全部三项（3）；</w:t>
            </w:r>
          </w:p>
          <w:p w14:paraId="76E02AC7">
            <w:pPr>
              <w:widowControl/>
              <w:spacing w:line="240" w:lineRule="exact"/>
              <w:jc w:val="left"/>
              <w:rPr>
                <w:szCs w:val="21"/>
              </w:rPr>
            </w:pPr>
            <w:r>
              <w:rPr>
                <w:rFonts w:ascii="仿宋_GB2312" w:hAnsi="新宋体" w:eastAsia="仿宋_GB2312" w:cs="仿宋_GB2312"/>
                <w:kern w:val="0"/>
                <w:szCs w:val="21"/>
              </w:rPr>
              <w:t>符合其中两项（2）；</w:t>
            </w:r>
          </w:p>
          <w:p w14:paraId="3727AF9C">
            <w:pPr>
              <w:widowControl/>
              <w:spacing w:line="240" w:lineRule="exact"/>
              <w:jc w:val="left"/>
              <w:rPr>
                <w:szCs w:val="21"/>
              </w:rPr>
            </w:pPr>
            <w:r>
              <w:rPr>
                <w:rFonts w:ascii="仿宋_GB2312" w:hAnsi="新宋体" w:eastAsia="仿宋_GB2312" w:cs="仿宋_GB2312"/>
                <w:kern w:val="0"/>
                <w:szCs w:val="21"/>
              </w:rPr>
              <w:t>符合其中一项（1）；</w:t>
            </w:r>
          </w:p>
          <w:p w14:paraId="4E4C1DC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14:paraId="5332E050">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5119B8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DAAEB0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1400EB6">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14:paraId="31330D4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14:paraId="42BA3CA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14:paraId="40BE91E9">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24F1CB64">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2EBB4F73">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14:paraId="3C88F6F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14:paraId="6C2CEFC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14:paraId="3DE57C3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14:paraId="269D66CF">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14:paraId="0722A200">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14:paraId="35729B83">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40FA17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689CA2DF">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3FC18630">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654EA9C2">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14:paraId="08285E0E">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14:paraId="2B87C6FE">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14:paraId="7D0B1AF8">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3FF25A1C">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p>
          <w:p w14:paraId="29932FB7">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 xml:space="preserve">1.每项任务是否已制定了明确、具体、可量化、可衡量的绩效指标；           </w:t>
            </w:r>
          </w:p>
          <w:p w14:paraId="2ABA3A74">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2.每项任务绩效指标的完成情况，是全部完成、基本完成、未完成，还是未实施；</w:t>
            </w:r>
          </w:p>
          <w:p w14:paraId="55A077E1">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3.每项任务实施效果情况，是优秀、良好、一般，还是无效果；</w:t>
            </w:r>
          </w:p>
          <w:p w14:paraId="2874CABB">
            <w:pPr>
              <w:widowControl/>
              <w:spacing w:line="240" w:lineRule="exact"/>
              <w:jc w:val="left"/>
              <w:textAlignment w:val="center"/>
              <w:rPr>
                <w:szCs w:val="21"/>
              </w:rPr>
            </w:pP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14:paraId="57E1F38B">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14:paraId="7194F75D">
            <w:pPr>
              <w:widowControl/>
              <w:spacing w:line="240" w:lineRule="exact"/>
              <w:jc w:val="left"/>
              <w:rPr>
                <w:rFonts w:hint="default" w:eastAsiaTheme="minorEastAsia"/>
                <w:szCs w:val="21"/>
                <w:lang w:val="en-US" w:eastAsia="zh-CN"/>
              </w:rPr>
            </w:pPr>
            <w:r>
              <w:rPr>
                <w:rFonts w:hint="eastAsia"/>
                <w:szCs w:val="21"/>
                <w:lang w:val="en-US" w:eastAsia="zh-CN"/>
              </w:rPr>
              <w:t>10</w:t>
            </w:r>
          </w:p>
        </w:tc>
      </w:tr>
      <w:tr w14:paraId="1B155D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3BBF3EC">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F19D4EA">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14:paraId="7A3774D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14:paraId="4155D278">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14:paraId="5F022D4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22E1D3F7">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6EA3665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14:paraId="246D4C0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6747784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14:paraId="0811270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14:paraId="0C3A8D9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14:paraId="4C9F1F58">
            <w:pPr>
              <w:widowControl/>
              <w:spacing w:line="240" w:lineRule="exact"/>
              <w:jc w:val="left"/>
              <w:rPr>
                <w:rFonts w:hint="default" w:eastAsiaTheme="minorEastAsia"/>
                <w:szCs w:val="21"/>
                <w:lang w:val="en-US" w:eastAsia="zh-CN"/>
              </w:rPr>
            </w:pPr>
            <w:r>
              <w:rPr>
                <w:rFonts w:hint="eastAsia"/>
                <w:szCs w:val="21"/>
                <w:lang w:val="en-US" w:eastAsia="zh-CN"/>
              </w:rPr>
              <w:t>15</w:t>
            </w:r>
          </w:p>
        </w:tc>
      </w:tr>
      <w:tr w14:paraId="7663B7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793A847D">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14:paraId="032C6728">
            <w:pPr>
              <w:widowControl/>
              <w:spacing w:line="240" w:lineRule="exact"/>
              <w:jc w:val="left"/>
              <w:rPr>
                <w:rFonts w:ascii="仿宋_GB2312" w:hAnsi="新宋体" w:eastAsia="仿宋_GB2312" w:cs="仿宋_GB2312"/>
                <w:kern w:val="0"/>
                <w:szCs w:val="21"/>
              </w:rPr>
            </w:pPr>
          </w:p>
          <w:p w14:paraId="2910B4C3">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676EE0C8">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4FFDFE1C">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14:paraId="21775C8E">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4AC99AE">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0BB9446F">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评价要点：</w:t>
            </w:r>
          </w:p>
          <w:p w14:paraId="5B590C84">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 xml:space="preserve">1.通过部门所属企事业单位改革，促进了企事业单位效益增长情况；          </w:t>
            </w:r>
          </w:p>
          <w:p w14:paraId="7F9B63DA">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2.通过预算支出项目的实施，促进了行业生产能力增长，从而带动行业经济效益增长；</w:t>
            </w:r>
          </w:p>
          <w:p w14:paraId="7BB1D0F1">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3.通过预算支出项目的实施，有效提高劳动效率，节约成本费用；</w:t>
            </w:r>
          </w:p>
          <w:p w14:paraId="2A224F93">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4.通过预算支出项目的实施，降低了损耗，从而提高了生产效益；</w:t>
            </w:r>
          </w:p>
          <w:p w14:paraId="65FD1992">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14:paraId="628400C5">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77693F74">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764293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377BF461">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3BE8D3D3">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E3A374D">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14:paraId="1E3BCE76">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523AC66D">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2CBA7F5E">
            <w:pPr>
              <w:widowControl/>
              <w:spacing w:line="240" w:lineRule="exac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评价要点：</w:t>
            </w:r>
          </w:p>
          <w:p w14:paraId="7989CC90">
            <w:pPr>
              <w:widowControl/>
              <w:spacing w:line="240" w:lineRule="exac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 xml:space="preserve">1.通过部门所属企事业单位的改革，促进了企事业单位可持续发展，带动就业增长情况；          </w:t>
            </w:r>
          </w:p>
          <w:p w14:paraId="71DC7AED">
            <w:pPr>
              <w:widowControl/>
              <w:spacing w:line="240" w:lineRule="exac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2.通过预算支出项目的实施，是否明显促进了行业精神文明建设；</w:t>
            </w:r>
          </w:p>
          <w:p w14:paraId="5B627D0E">
            <w:pPr>
              <w:widowControl/>
              <w:spacing w:line="240" w:lineRule="exac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3.通过部门履职是否明显提高城乡居民生活水平，满足了人们日益增长的物质与文化生活需求；</w:t>
            </w:r>
          </w:p>
          <w:p w14:paraId="63EBF8D9">
            <w:pPr>
              <w:widowControl/>
              <w:spacing w:line="240" w:lineRule="exac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4.通过预算项目的实施，是否提高了劳动生产率，降低了劳动强度，促进了劳动人民的身心健康；</w:t>
            </w:r>
          </w:p>
          <w:p w14:paraId="1A963F48">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14:paraId="3A43022A">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487F29FB">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5FF968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0C780447">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11F5E4BF">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A2BB05C">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14:paraId="059B2725">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4614B1B2">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577D363E">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评价要点：</w:t>
            </w:r>
          </w:p>
          <w:p w14:paraId="1CDE3B5A">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p>
          <w:p w14:paraId="6D2C71C0">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2.通过履职有效地控制虚假、伪劣、霉变等劣质产品进入市场，影响了人民生活质量，净化地市场环境；</w:t>
            </w:r>
          </w:p>
          <w:p w14:paraId="5A652B60">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3.通过预算支出项目的实施，是否达到减少污染物排放；</w:t>
            </w:r>
          </w:p>
          <w:p w14:paraId="6CF38675">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14:paraId="19EBEB9C">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5FEB405C">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443DDB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552E315">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3D5D7DAD">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D9C637D">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14:paraId="5D78136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14:paraId="5D4C66D5">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1133B8BC">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14:paraId="228B1835">
            <w:pPr>
              <w:widowControl/>
              <w:spacing w:line="240" w:lineRule="exact"/>
              <w:jc w:val="left"/>
              <w:rPr>
                <w:rFonts w:hint="eastAsia" w:eastAsiaTheme="minorEastAsia"/>
                <w:szCs w:val="21"/>
                <w:lang w:val="en-US" w:eastAsia="zh-CN"/>
              </w:rPr>
            </w:pPr>
            <w:r>
              <w:rPr>
                <w:rFonts w:hint="eastAsia"/>
                <w:szCs w:val="21"/>
                <w:lang w:val="en-US" w:eastAsia="zh-CN"/>
              </w:rPr>
              <w:t>5</w:t>
            </w:r>
          </w:p>
        </w:tc>
      </w:tr>
    </w:tbl>
    <w:p w14:paraId="41D2215F">
      <w:pPr>
        <w:widowControl/>
        <w:spacing w:line="480" w:lineRule="exact"/>
        <w:jc w:val="left"/>
        <w:rPr>
          <w:rFonts w:ascii="仿宋" w:hAnsi="仿宋" w:eastAsia="仿宋" w:cs="仿宋"/>
          <w:kern w:val="0"/>
          <w:sz w:val="32"/>
          <w:szCs w:val="32"/>
          <w:shd w:val="clear" w:color="auto" w:fill="FFFFFF"/>
        </w:rPr>
      </w:pPr>
    </w:p>
    <w:p w14:paraId="74620FCA">
      <w:pPr>
        <w:keepNext w:val="0"/>
        <w:keepLines w:val="0"/>
        <w:pageBreakBefore w:val="0"/>
        <w:widowControl w:val="0"/>
        <w:kinsoku/>
        <w:wordWrap/>
        <w:overflowPunct/>
        <w:topLinePunct w:val="0"/>
        <w:autoSpaceDE/>
        <w:autoSpaceDN/>
        <w:bidi w:val="0"/>
        <w:adjustRightInd/>
        <w:snapToGrid/>
        <w:ind w:firstLine="0"/>
        <w:jc w:val="center"/>
        <w:textAlignment w:val="auto"/>
        <w:rPr>
          <w:rFonts w:hint="eastAsia" w:cs="黑体" w:asciiTheme="minorEastAsia" w:hAnsiTheme="minorEastAsia" w:eastAsiaTheme="minorEastAsia"/>
          <w:b/>
          <w:bCs/>
          <w:sz w:val="44"/>
          <w:szCs w:val="44"/>
          <w:lang w:eastAsia="zh-CN"/>
        </w:rPr>
      </w:pPr>
      <w:r>
        <w:rPr>
          <w:rFonts w:hint="eastAsia" w:cs="黑体" w:asciiTheme="minorEastAsia" w:hAnsiTheme="minorEastAsia"/>
          <w:b/>
          <w:bCs/>
          <w:sz w:val="44"/>
          <w:szCs w:val="44"/>
        </w:rPr>
        <w:t>隆尧县</w:t>
      </w:r>
      <w:r>
        <w:rPr>
          <w:rFonts w:hint="eastAsia" w:cs="黑体" w:asciiTheme="minorEastAsia" w:hAnsiTheme="minorEastAsia"/>
          <w:b/>
          <w:bCs/>
          <w:sz w:val="44"/>
          <w:szCs w:val="44"/>
          <w:lang w:eastAsia="zh-CN"/>
        </w:rPr>
        <w:t>财政局</w:t>
      </w:r>
    </w:p>
    <w:p w14:paraId="261D9E74">
      <w:pPr>
        <w:keepNext w:val="0"/>
        <w:keepLines w:val="0"/>
        <w:pageBreakBefore w:val="0"/>
        <w:widowControl w:val="0"/>
        <w:kinsoku/>
        <w:wordWrap/>
        <w:overflowPunct/>
        <w:topLinePunct w:val="0"/>
        <w:autoSpaceDE/>
        <w:autoSpaceDN/>
        <w:bidi w:val="0"/>
        <w:adjustRightInd/>
        <w:snapToGrid/>
        <w:ind w:firstLine="0"/>
        <w:jc w:val="center"/>
        <w:textAlignment w:val="auto"/>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14:paraId="362583A4">
      <w:pPr>
        <w:keepNext w:val="0"/>
        <w:keepLines w:val="0"/>
        <w:pageBreakBefore w:val="0"/>
        <w:widowControl w:val="0"/>
        <w:kinsoku/>
        <w:wordWrap/>
        <w:overflowPunct/>
        <w:topLinePunct w:val="0"/>
        <w:autoSpaceDE/>
        <w:autoSpaceDN/>
        <w:bidi w:val="0"/>
        <w:adjustRightInd/>
        <w:snapToGrid/>
        <w:spacing w:line="240" w:lineRule="auto"/>
        <w:ind w:left="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按照隆财[2022]27号文件要求，我局组织人员对2021年部门整体运行及支出情况进行了自评，并对照部门整体支出绩效指标评价标准进行了评分，自评得分96.5分。现将自评情况报告如下：</w:t>
      </w:r>
    </w:p>
    <w:p w14:paraId="5C21069E">
      <w:pPr>
        <w:keepNext w:val="0"/>
        <w:keepLines w:val="0"/>
        <w:pageBreakBefore w:val="0"/>
        <w:widowControl w:val="0"/>
        <w:kinsoku/>
        <w:wordWrap/>
        <w:overflowPunct/>
        <w:topLinePunct w:val="0"/>
        <w:autoSpaceDE/>
        <w:autoSpaceDN/>
        <w:bidi w:val="0"/>
        <w:snapToGrid/>
        <w:ind w:left="0" w:firstLine="640" w:firstLineChars="200"/>
        <w:textAlignment w:val="auto"/>
        <w:rPr>
          <w:rFonts w:ascii="黑体" w:hAnsi="黑体" w:eastAsia="黑体" w:cs="仿宋"/>
          <w:sz w:val="32"/>
          <w:szCs w:val="32"/>
        </w:rPr>
      </w:pPr>
      <w:r>
        <w:rPr>
          <w:rFonts w:hint="eastAsia" w:ascii="黑体" w:hAnsi="黑体" w:eastAsia="黑体" w:cs="仿宋"/>
          <w:sz w:val="32"/>
          <w:szCs w:val="32"/>
        </w:rPr>
        <w:t>一、基本概况。</w:t>
      </w:r>
    </w:p>
    <w:p w14:paraId="5568574B">
      <w:pPr>
        <w:keepNext w:val="0"/>
        <w:keepLines w:val="0"/>
        <w:pageBreakBefore w:val="0"/>
        <w:widowControl w:val="0"/>
        <w:kinsoku/>
        <w:wordWrap/>
        <w:overflowPunct/>
        <w:topLinePunct w:val="0"/>
        <w:autoSpaceDE/>
        <w:autoSpaceDN/>
        <w:bidi w:val="0"/>
        <w:adjustRightInd w:val="0"/>
        <w:snapToGrid/>
        <w:ind w:left="0"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(一)部门主要职责职能和部门组织架构</w:t>
      </w:r>
    </w:p>
    <w:p w14:paraId="28D946E2">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1.部门主要职责职能：</w:t>
      </w:r>
    </w:p>
    <w:p w14:paraId="47602DBA">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拟订财税发展战略、规划、政策和改革方案并组织实施。分析预测宏观经济形势，参与制定各项宏观经济政策，提出运用财税政策实施宏观调控和综合平衡社会财力的建议。拟定县级与乡镇、政府与企业的分配政策，完善鼓励公益事业发展的财税政策。</w:t>
      </w:r>
    </w:p>
    <w:p w14:paraId="455D33F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（2）贯彻执行财政、财务、会计管理的法律、行政法规、规章，在国家和省市授权范围内，起草相关的地方性法规、政府规章草案，并监督执行。</w:t>
      </w:r>
    </w:p>
    <w:p w14:paraId="1E451639">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负责管理全县各项财政收支。编制年度县级预决算草案并组织执行，汇编全县年度预决算草案。组织制定经费开支标准、定额，审核批复部门（单位）年度预决算。受县政府委托，向县人民代表大会及其常委会报告全县预算、执行和决算等情况。负责县级财政预决算公开。</w:t>
      </w:r>
    </w:p>
    <w:p w14:paraId="319D6D10">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（4）承担财政体制管理的工作。负责拟订全县财政管理体制。</w:t>
      </w:r>
    </w:p>
    <w:p w14:paraId="35C930BB">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负责执行省制定的税收地方性法规、政府规章及实施细则和税收调整方案。提出省、市授权税目税率调整、减免和地方税收政策等重大事项的建议，对地方承担出口退税事务实施监管，监督检查税收政策的执行情况。组织推进税收制度改革。</w:t>
      </w:r>
    </w:p>
    <w:p w14:paraId="1E4F847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（6）按分工负责政府非税收入管理。负责政府性基金管理，按规定管理行政事业性收费。管理财政票据。制定彩票管理政策和有关办法，按规定管理彩票资金。</w:t>
      </w:r>
    </w:p>
    <w:p w14:paraId="2E08170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（7）承担财政国库管理的工作。研究制定国库管理制度、国库集中收付制度并组织实施。指导和监督全县国库业务，按规定开展国库现金管理。制定政府财务报告编制办法并组织实施。</w:t>
      </w:r>
    </w:p>
    <w:p w14:paraId="3A3BCC72">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负责执行政府债务管理制度和政策。编制县级政府债务预算，统筹债务资金安排使用，安排调度偿债资金。做好政府债务管理等工作。执行国家外债管理的政策，拟订具体实施办法，管理县政府的国内外债权、债务。开展对外财经交流。</w:t>
      </w:r>
    </w:p>
    <w:p w14:paraId="0DBCF1A9">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（9）负责制定政府采购政策、制度并组织实施。监督检查政府采购活动。</w:t>
      </w:r>
    </w:p>
    <w:p w14:paraId="1B37D2D0">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（10）负责制定行政事业单位国有资产管理规章制度，以及县委、县政府直属企事业单位和县直部门所属企事业单位的国有资产监督管理，制定需要全县统一规定的开支标准和支出政策。</w:t>
      </w:r>
    </w:p>
    <w:p w14:paraId="463A569A">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（11）负责审核并汇总编制全县国有资本经营预决算草案，组织实施国有资本经营预算的制度，制定具体办法，收取全县企业国有资本收益。组织实施企业财务制度及企业财务会计报告编制等工作。</w:t>
      </w:r>
    </w:p>
    <w:p w14:paraId="30811E44">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（12）负责审核并汇总编制全县社会保险基金预决算草案，会同有关部门拟订社会保障资金（基金）的财务管理制度并组织实施。承担社会保险基金财政监管工作。</w:t>
      </w:r>
    </w:p>
    <w:p w14:paraId="2FFA7F89">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（13）负责办理和监督全县财政的经济社会发展支出、全县投资项目的财政拨款，参与拟订全县建设投资的有关政策，制定基建财务管理制度。负责财政预算评审管理。</w:t>
      </w:r>
    </w:p>
    <w:p w14:paraId="0C973665">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（14）负责管理全县会计工作，监督和规范会计行为，组织实施国家统一的会计制度，指导和监督注册会计师和会计事务所的业务，指导和管理社会审计。依法管理资产评估有关工作。</w:t>
      </w:r>
    </w:p>
    <w:p w14:paraId="7D2B7857">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（15）监督检查财税法规、政策的执行情况，反映财政收支管理中的重大问题。</w:t>
      </w:r>
    </w:p>
    <w:p w14:paraId="76667BDF">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（16）组织财务人员培训，负责财政信息和财政宣传工作。</w:t>
      </w:r>
    </w:p>
    <w:p w14:paraId="4B660BAD">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2.部门组织架构：</w:t>
      </w:r>
    </w:p>
    <w:p w14:paraId="7AD29CC2">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隆尧县财政局为县政府工作部门，机构规格正科级。内设机构：办公室、预算股、国库股、行政政法股、教科文股、社会保障股、农业农村股、经济建设股、企业股（国资股）、综合股、收费管理股、监督评价股、政府采购股等13个股室。下属隆尧县综合治税事务中心（隆尧县国有资产监督管理中心）、隆尧县政府集中支付中心、隆尧县预算编审中心、隆尧县财政投资评审中心、隆尧县财政信息中心等5个事业单位。</w:t>
      </w:r>
    </w:p>
    <w:p w14:paraId="4A3CA551">
      <w:pPr>
        <w:keepNext w:val="0"/>
        <w:keepLines w:val="0"/>
        <w:pageBreakBefore w:val="0"/>
        <w:widowControl w:val="0"/>
        <w:kinsoku/>
        <w:wordWrap/>
        <w:overflowPunct/>
        <w:topLinePunct w:val="0"/>
        <w:autoSpaceDE/>
        <w:autoSpaceDN/>
        <w:bidi w:val="0"/>
        <w:adjustRightInd w:val="0"/>
        <w:snapToGrid/>
        <w:ind w:left="0" w:firstLine="643" w:firstLineChars="200"/>
        <w:textAlignment w:val="auto"/>
        <w:rPr>
          <w:rFonts w:ascii="仿宋" w:hAnsi="仿宋" w:eastAsia="仿宋" w:cs="仿宋"/>
          <w:b/>
          <w:bCs/>
          <w:sz w:val="32"/>
          <w:szCs w:val="32"/>
        </w:rPr>
      </w:pPr>
      <w:r>
        <w:rPr>
          <w:rFonts w:hint="eastAsia" w:ascii="仿宋" w:hAnsi="仿宋" w:eastAsia="仿宋" w:cs="仿宋"/>
          <w:b/>
          <w:bCs/>
          <w:sz w:val="32"/>
          <w:szCs w:val="32"/>
        </w:rPr>
        <w:t>（二）人员及资产情况。</w:t>
      </w:r>
    </w:p>
    <w:p w14:paraId="4BC108C6">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1.人员情况：</w:t>
      </w:r>
    </w:p>
    <w:p w14:paraId="4BDE8064">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县财政局机关行政编制30名，事业编制22名。2021年末在职人员48人，比上年增加1人。</w:t>
      </w:r>
    </w:p>
    <w:p w14:paraId="468C5D37">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2.资产情况：</w:t>
      </w:r>
    </w:p>
    <w:p w14:paraId="3BC792DF">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2021年末本单位资产数为1410.29万元，上年资产数为1527.73万元，较上年减少117.01万元。其中：流动资产0万元；固定资产1410.29万元。</w:t>
      </w:r>
    </w:p>
    <w:p w14:paraId="048E2DEC">
      <w:pPr>
        <w:keepNext w:val="0"/>
        <w:keepLines w:val="0"/>
        <w:pageBreakBefore w:val="0"/>
        <w:widowControl w:val="0"/>
        <w:kinsoku/>
        <w:wordWrap/>
        <w:overflowPunct/>
        <w:topLinePunct w:val="0"/>
        <w:autoSpaceDE/>
        <w:autoSpaceDN/>
        <w:bidi w:val="0"/>
        <w:adjustRightInd w:val="0"/>
        <w:snapToGrid/>
        <w:ind w:left="0"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rPr>
        <w:t>（三）部门履职总体目标。</w:t>
      </w:r>
    </w:p>
    <w:p w14:paraId="1518A87A">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保障机关日常运转，规范业务流程，提升财政政策管理水平。</w:t>
      </w:r>
    </w:p>
    <w:p w14:paraId="673975C8">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加强财政资金监管，强化政府债务管理，做好全县总决算和部门决算编报工作，规范预算公开程序，提高全县预算绩效管理工作整体水平。</w:t>
      </w:r>
    </w:p>
    <w:p w14:paraId="03DB04CB">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提高收入质量，提升基本财力保障程度，调度全县预算支出进度，盘活财政存量资金。</w:t>
      </w:r>
    </w:p>
    <w:p w14:paraId="4296ECF6">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做好行政事业单位国有资产管理，国有企业改制和整合工作，大力推广政府和社会资本合作（PPP）模式。</w:t>
      </w:r>
    </w:p>
    <w:p w14:paraId="4011738F">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提升会计人员专业素质和会计培训工作质量。</w:t>
      </w:r>
    </w:p>
    <w:p w14:paraId="50763D14">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加强对财政部门内部财经制度执行情况的监督检查。</w:t>
      </w:r>
    </w:p>
    <w:p w14:paraId="1D0BF354">
      <w:pPr>
        <w:keepNext w:val="0"/>
        <w:keepLines w:val="0"/>
        <w:pageBreakBefore w:val="0"/>
        <w:widowControl w:val="0"/>
        <w:kinsoku/>
        <w:wordWrap/>
        <w:overflowPunct/>
        <w:topLinePunct w:val="0"/>
        <w:autoSpaceDE/>
        <w:autoSpaceDN/>
        <w:bidi w:val="0"/>
        <w:adjustRightInd w:val="0"/>
        <w:snapToGrid/>
        <w:ind w:left="0"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rPr>
        <w:t>（四）年度整体绩效目标和工作任务。</w:t>
      </w:r>
    </w:p>
    <w:p w14:paraId="6D505B45">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1.年度整体绩效目标</w:t>
      </w:r>
    </w:p>
    <w:p w14:paraId="788D1130">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（1）保障机关日常运转、信息安全，做好财政系统人才队伍建设，规范业务流程，提升财政政策管理水平，确保国家、省市和县委县政府各项重大决策部署贯彻落实。</w:t>
      </w:r>
    </w:p>
    <w:p w14:paraId="0DD9F831">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（2）加强财政资金预算监管，对部门预算调整事项进行审核，做好财政收支分析管理。强化政府债务管理，做好风险预警。规范预算公开程序，扩大预算公开范围，细化公开内容。</w:t>
      </w:r>
    </w:p>
    <w:p w14:paraId="5537382D">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（3）提高全县预算绩效管理工作整体水平，实现预算绩效挂钩办法，落实资金使用必问效，无效必问责的机制。</w:t>
      </w:r>
    </w:p>
    <w:p w14:paraId="7DE13DAC">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（4）提升基本财力保障程度，调度全县预算支出进度，盘活财政存量资金。</w:t>
      </w:r>
    </w:p>
    <w:p w14:paraId="243E9C44">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（5）做好全县总决算和部门决算编报工作，及时做好专项资金的拨付核对工作，加强暂存暂付款管理，完善财政专户管理各项规章制度。</w:t>
      </w:r>
    </w:p>
    <w:p w14:paraId="5EF70667">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（6）规范非税收入票据管理，提高收入质量。</w:t>
      </w:r>
    </w:p>
    <w:p w14:paraId="4885AA99">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（7）做好行政事业单位国有资产管理，国有企业改制和整合工作，大力推广政府和社会资本合作（PPP）模式。</w:t>
      </w:r>
    </w:p>
    <w:p w14:paraId="5D7BA5CF">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（8）履行财政监管职能，对财政投资项目进行评审，降低财政投资风险，提高财政资金使用效率。</w:t>
      </w:r>
    </w:p>
    <w:p w14:paraId="1611FD57">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（9）管理县级财政社会保障和就业及医疗卫生支出，拟订社会保障资金（基金）的财务管理制度，编制县级社会保障预决算草案。</w:t>
      </w:r>
    </w:p>
    <w:p w14:paraId="425E812B">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（10）支持实施乡村振兴战略，统筹安排财政扶贫资金，管理农村综合改革资金。</w:t>
      </w:r>
    </w:p>
    <w:p w14:paraId="57B0BA5E">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（11）提升会计人员专业素质和会计培训工作质量，提高农村财会人员专业素质，提升培训的层次和效果。</w:t>
      </w:r>
    </w:p>
    <w:p w14:paraId="79221F26">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（12）按省级预算管理规定及相关资金管理办法申报、审核和拨付专项资金，按时保质保量完成发放工作。</w:t>
      </w:r>
    </w:p>
    <w:p w14:paraId="59847979">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（13）加强对财政部门内部财经制度执行情况的监督检查。</w:t>
      </w:r>
    </w:p>
    <w:p w14:paraId="1BE489B8">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2.工作任务</w:t>
      </w:r>
    </w:p>
    <w:p w14:paraId="56E02BFA">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1</w:t>
      </w:r>
      <w:r>
        <w:rPr>
          <w:rFonts w:hint="default" w:ascii="仿宋" w:hAnsi="仿宋" w:eastAsia="仿宋" w:cs="仿宋"/>
          <w:sz w:val="32"/>
          <w:szCs w:val="32"/>
          <w:lang w:val="en-US" w:eastAsia="zh-CN"/>
        </w:rPr>
        <w:t>）科学测算收支增长预期</w:t>
      </w:r>
    </w:p>
    <w:p w14:paraId="0747ACC3">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结合“十四五”规划编制，及早科学规范编制2021年政府预算，合理确定经济增长预期，以保工资、保运转、保民生为支撑，全力支持社会经济和谐平衡发展。一是科学研究判断当前形势，严格落实减税降费政策，加强财税部门征管调度，确保征收到位，力争超收。二是科学谋划政府性基金收入，特别是土地出让收入，加快土地出让开发，确保土地收入入库。三是科学统筹保障支出。坚持以收定支、保障重点、注重绩效原则，将有限的财力用于重点领域和关键环节，保障县委、县政府重大项目资金需求。</w:t>
      </w:r>
    </w:p>
    <w:p w14:paraId="633A65A9">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2</w:t>
      </w:r>
      <w:r>
        <w:rPr>
          <w:rFonts w:hint="default" w:ascii="仿宋" w:hAnsi="仿宋" w:eastAsia="仿宋" w:cs="仿宋"/>
          <w:sz w:val="32"/>
          <w:szCs w:val="32"/>
          <w:lang w:val="en-US" w:eastAsia="zh-CN"/>
        </w:rPr>
        <w:t>）强化财政资金管理</w:t>
      </w:r>
    </w:p>
    <w:p w14:paraId="390A7BD0">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一是硬化预算执行刚性，提高预算执行均衡性和效率。严控预算追加和调剂，确保预算的刚性，年度中除应急救灾等支出外，一般不追加预算。二是加强对库款运行的监测和统计分析，做好资金统筹调度，确保不发生支付风险。加快预算执行和上级专项资金下达进度，督促预算部门按照有关规定及时支出，防止国库资金沉淀，更好地发挥财政政策对稳增长、促发展的促进作用。三是坚决落实政府过“紧日子”要求，严控“三公”经费，严格执行开支范围和标准，坚持艰苦奋斗，勤俭节约，从紧安排项目支出，大力压减一般性支出10%以上，把有限资金用在刀刃上。</w:t>
      </w:r>
    </w:p>
    <w:p w14:paraId="1B0FE4AE">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3</w:t>
      </w:r>
      <w:r>
        <w:rPr>
          <w:rFonts w:hint="default" w:ascii="仿宋" w:hAnsi="仿宋" w:eastAsia="仿宋" w:cs="仿宋"/>
          <w:sz w:val="32"/>
          <w:szCs w:val="32"/>
          <w:lang w:val="en-US" w:eastAsia="zh-CN"/>
        </w:rPr>
        <w:t>）增强保障和改善民生</w:t>
      </w:r>
    </w:p>
    <w:p w14:paraId="54CA6046">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一是加大支农投入，加快推进农业农村现代化。继续做好涉农资金整合工作，充分发挥整合资金作用，凸显集中财力办大事效应，实现农业增效，农民增收，农村繁荣。继续加大农村人居整治力度，推进农村厕所改造、村容村貌整治提升等农村人居环境整治相关建设。严格落实乡村振兴战略，推进扶持村级集体经济发展工作。继续加大对适度规模经营农户的农业保险支持力度，提高农业保险保障水平和赔付金额。二是加大生态环境治理保障力度。加强对大气、水、土壤污染治理资金支持力度，特别是保障“双代”清洁取暖、污水治理、造林绿化、城乡环卫一体化、农村改厕等一批重点工程，助推打赢蓝天碧水净土保卫战。三是巩固精准扶贫成果，继续增加扶贫资金投入，强化扶贫资金监管，按照脱贫攻坚工作目标，牵头抓好扶贫资金监督检查，制定、完善资金监管机制。四是全力保障教育、医疗卫生、社保、文化和就业等民生支出，特别是持续抓好常态化疫情防控资金保障工作，把人民群众生命安全和身体健康放在第一位，全力做好新冠肺炎疫情防控资金保障。</w:t>
      </w:r>
    </w:p>
    <w:p w14:paraId="36420E68">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4</w:t>
      </w:r>
      <w:r>
        <w:rPr>
          <w:rFonts w:hint="default" w:ascii="仿宋" w:hAnsi="仿宋" w:eastAsia="仿宋" w:cs="仿宋"/>
          <w:sz w:val="32"/>
          <w:szCs w:val="32"/>
          <w:lang w:val="en-US" w:eastAsia="zh-CN"/>
        </w:rPr>
        <w:t>）全力争取债券资金</w:t>
      </w:r>
    </w:p>
    <w:p w14:paraId="56746FA4">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2021年初步预测上报我县政府新增债券需求133517万元，其中：一般债券需求19017万元，专项债券114500万元。加大项目储备，会同发改对各部门开展专项培训，加快建立专项债券的高质量项目储备和前期准备、评估遴选等工作机制，确保项目储备一批、发行一批、施工一批、接续一批，形成拉动经济增长的长效机制。加强监管措施，按照专项债券穿透式监管要求，全过程跟踪了解专项债券发行使用情况，发现问题及时督促整改落实。努力消减存量，严格控制增量，降低债务风险，坚决守住不发生系统性、区域性风险的底线。</w:t>
      </w:r>
    </w:p>
    <w:p w14:paraId="34D452D3">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w:t>
      </w:r>
      <w:r>
        <w:rPr>
          <w:rFonts w:hint="eastAsia" w:ascii="仿宋" w:hAnsi="仿宋" w:eastAsia="仿宋" w:cs="仿宋"/>
          <w:sz w:val="32"/>
          <w:szCs w:val="32"/>
          <w:lang w:val="en-US" w:eastAsia="zh-CN"/>
        </w:rPr>
        <w:t>5</w:t>
      </w:r>
      <w:r>
        <w:rPr>
          <w:rFonts w:hint="default" w:ascii="仿宋" w:hAnsi="仿宋" w:eastAsia="仿宋" w:cs="仿宋"/>
          <w:sz w:val="32"/>
          <w:szCs w:val="32"/>
          <w:lang w:val="en-US" w:eastAsia="zh-CN"/>
        </w:rPr>
        <w:t>）积极深化财政改革</w:t>
      </w:r>
    </w:p>
    <w:p w14:paraId="5B1A59E4">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default" w:ascii="仿宋" w:hAnsi="仿宋" w:eastAsia="仿宋" w:cs="仿宋"/>
          <w:sz w:val="32"/>
          <w:szCs w:val="32"/>
          <w:lang w:val="en-US" w:eastAsia="zh-CN"/>
        </w:rPr>
      </w:pPr>
      <w:r>
        <w:rPr>
          <w:rFonts w:hint="default" w:ascii="仿宋" w:hAnsi="仿宋" w:eastAsia="仿宋" w:cs="仿宋"/>
          <w:sz w:val="32"/>
          <w:szCs w:val="32"/>
          <w:lang w:val="en-US" w:eastAsia="zh-CN"/>
        </w:rPr>
        <w:t>一是全面推进预算绩效管理。加快构建全方位、全过程、全覆盖的预算绩效管理体系。加强全过程预算绩效管理监督，健全绩效评价结果与预算安排、政策调整挂钩机制，注重结果应用，提高预算执行率和财政资金使用效益。按照《财政部预算管理一体化规范（试行）》，升级信息系统，改进预算编制，规范预算管理，构建现代信息技术条件下“制度+技术”管理机制。二是深入推进财政投入方式改革，加快PPP推广应用进程，加强对项目库管理，确保入库项目质量，推进项目规范运作。推进政府购买服务工作，转变政府职能，健全完善公共财政体系，有效提高公共服务的质量和效率。三是继续推行非税收入财政电子票据改革，对全县卫生系统电子票据提前谋划，做好前期准备工作，确保明年全县执收执罚单位非税收入票据电子化全覆盖。</w:t>
      </w:r>
    </w:p>
    <w:p w14:paraId="5FEA958A">
      <w:pPr>
        <w:keepNext w:val="0"/>
        <w:keepLines w:val="0"/>
        <w:pageBreakBefore w:val="0"/>
        <w:widowControl w:val="0"/>
        <w:kinsoku/>
        <w:wordWrap/>
        <w:overflowPunct/>
        <w:topLinePunct w:val="0"/>
        <w:autoSpaceDE/>
        <w:autoSpaceDN/>
        <w:bidi w:val="0"/>
        <w:adjustRightInd w:val="0"/>
        <w:snapToGrid/>
        <w:ind w:left="0" w:firstLine="643" w:firstLineChars="200"/>
        <w:textAlignment w:val="auto"/>
        <w:rPr>
          <w:rFonts w:hint="eastAsia" w:ascii="楷体" w:hAnsi="楷体" w:eastAsia="楷体" w:cs="仿宋"/>
          <w:b/>
          <w:bCs/>
          <w:sz w:val="32"/>
          <w:szCs w:val="32"/>
        </w:rPr>
      </w:pPr>
      <w:r>
        <w:rPr>
          <w:rFonts w:hint="eastAsia" w:ascii="仿宋" w:hAnsi="仿宋" w:eastAsia="仿宋" w:cs="仿宋"/>
          <w:b/>
          <w:bCs/>
          <w:sz w:val="32"/>
          <w:szCs w:val="32"/>
        </w:rPr>
        <w:t>（五）预算资金安排及资金支出</w:t>
      </w:r>
      <w:r>
        <w:rPr>
          <w:rFonts w:hint="eastAsia" w:ascii="楷体" w:hAnsi="楷体" w:eastAsia="楷体" w:cs="仿宋"/>
          <w:b/>
          <w:bCs/>
          <w:sz w:val="32"/>
          <w:szCs w:val="32"/>
        </w:rPr>
        <w:t>情况。</w:t>
      </w:r>
    </w:p>
    <w:p w14:paraId="0EDB9B0C">
      <w:pPr>
        <w:keepNext w:val="0"/>
        <w:keepLines w:val="0"/>
        <w:pageBreakBefore w:val="0"/>
        <w:widowControl w:val="0"/>
        <w:kinsoku/>
        <w:wordWrap/>
        <w:overflowPunct/>
        <w:topLinePunct w:val="0"/>
        <w:autoSpaceDE/>
        <w:autoSpaceDN/>
        <w:bidi w:val="0"/>
        <w:snapToGrid/>
        <w:spacing w:line="600" w:lineRule="exact"/>
        <w:ind w:left="0"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预算资金安排情况：</w:t>
      </w:r>
    </w:p>
    <w:p w14:paraId="4408D750">
      <w:pPr>
        <w:keepNext w:val="0"/>
        <w:keepLines w:val="0"/>
        <w:pageBreakBefore w:val="0"/>
        <w:widowControl w:val="0"/>
        <w:kinsoku/>
        <w:wordWrap/>
        <w:overflowPunct/>
        <w:topLinePunct w:val="0"/>
        <w:autoSpaceDE/>
        <w:autoSpaceDN/>
        <w:bidi w:val="0"/>
        <w:snapToGrid/>
        <w:spacing w:line="600" w:lineRule="exact"/>
        <w:ind w:left="0"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lang w:eastAsia="zh-CN"/>
        </w:rPr>
        <w:t>年年初部门预算收入安排</w:t>
      </w:r>
      <w:r>
        <w:rPr>
          <w:rFonts w:hint="eastAsia" w:ascii="仿宋_GB2312" w:hAnsi="仿宋_GB2312" w:eastAsia="仿宋_GB2312" w:cs="仿宋_GB2312"/>
          <w:sz w:val="32"/>
          <w:szCs w:val="32"/>
          <w:lang w:val="en-US" w:eastAsia="zh-CN"/>
        </w:rPr>
        <w:t>846.84</w:t>
      </w:r>
      <w:r>
        <w:rPr>
          <w:rFonts w:hint="eastAsia" w:ascii="仿宋_GB2312" w:hAnsi="仿宋_GB2312" w:eastAsia="仿宋_GB2312" w:cs="仿宋_GB2312"/>
          <w:sz w:val="32"/>
          <w:szCs w:val="32"/>
          <w:lang w:eastAsia="zh-CN"/>
        </w:rPr>
        <w:t>万元，支出预算安排</w:t>
      </w:r>
      <w:r>
        <w:rPr>
          <w:rFonts w:hint="eastAsia" w:ascii="仿宋_GB2312" w:hAnsi="仿宋_GB2312" w:eastAsia="仿宋_GB2312" w:cs="仿宋_GB2312"/>
          <w:sz w:val="32"/>
          <w:szCs w:val="32"/>
          <w:lang w:val="en-US" w:eastAsia="zh-CN"/>
        </w:rPr>
        <w:t>846.84</w:t>
      </w:r>
      <w:r>
        <w:rPr>
          <w:rFonts w:hint="eastAsia" w:ascii="仿宋_GB2312" w:hAnsi="仿宋_GB2312" w:eastAsia="仿宋_GB2312" w:cs="仿宋_GB2312"/>
          <w:sz w:val="32"/>
          <w:szCs w:val="32"/>
          <w:lang w:eastAsia="zh-CN"/>
        </w:rPr>
        <w:t>万元，预算收支调整预算数</w:t>
      </w:r>
      <w:r>
        <w:rPr>
          <w:rFonts w:hint="eastAsia" w:ascii="仿宋_GB2312" w:hAnsi="仿宋_GB2312" w:eastAsia="仿宋_GB2312" w:cs="仿宋_GB2312"/>
          <w:sz w:val="32"/>
          <w:szCs w:val="32"/>
          <w:lang w:val="en-US" w:eastAsia="zh-CN"/>
        </w:rPr>
        <w:t>875.74万元。</w:t>
      </w:r>
      <w:r>
        <w:rPr>
          <w:rFonts w:hint="eastAsia" w:ascii="仿宋_GB2312" w:hAnsi="仿宋_GB2312" w:eastAsia="仿宋_GB2312" w:cs="仿宋_GB2312"/>
          <w:sz w:val="32"/>
          <w:szCs w:val="32"/>
          <w:lang w:eastAsia="zh-CN"/>
        </w:rPr>
        <w:t>本年收入合计</w:t>
      </w:r>
      <w:r>
        <w:rPr>
          <w:rFonts w:hint="eastAsia" w:ascii="仿宋_GB2312" w:hAnsi="仿宋_GB2312" w:eastAsia="仿宋_GB2312" w:cs="仿宋_GB2312"/>
          <w:sz w:val="32"/>
          <w:szCs w:val="32"/>
          <w:lang w:val="en-US" w:eastAsia="zh-CN"/>
        </w:rPr>
        <w:t>846.84</w:t>
      </w:r>
      <w:r>
        <w:rPr>
          <w:rFonts w:hint="eastAsia" w:ascii="仿宋_GB2312" w:hAnsi="仿宋_GB2312" w:eastAsia="仿宋_GB2312" w:cs="仿宋_GB2312"/>
          <w:sz w:val="32"/>
          <w:szCs w:val="32"/>
          <w:lang w:eastAsia="zh-CN"/>
        </w:rPr>
        <w:t>万元，其中：</w:t>
      </w:r>
      <w:r>
        <w:rPr>
          <w:rFonts w:hint="eastAsia" w:ascii="仿宋_GB2312" w:hAnsi="仿宋_GB2312" w:eastAsia="仿宋_GB2312" w:cs="仿宋_GB2312"/>
          <w:sz w:val="32"/>
          <w:szCs w:val="32"/>
          <w:lang w:val="en-US" w:eastAsia="zh-CN"/>
        </w:rPr>
        <w:t>一般公共预算</w:t>
      </w:r>
      <w:r>
        <w:rPr>
          <w:rFonts w:hint="eastAsia" w:ascii="仿宋_GB2312" w:hAnsi="仿宋_GB2312" w:eastAsia="仿宋_GB2312" w:cs="仿宋_GB2312"/>
          <w:sz w:val="32"/>
          <w:szCs w:val="32"/>
          <w:lang w:eastAsia="zh-CN"/>
        </w:rPr>
        <w:t>财政拨款收入</w:t>
      </w:r>
      <w:r>
        <w:rPr>
          <w:rFonts w:hint="eastAsia" w:ascii="仿宋_GB2312" w:hAnsi="仿宋_GB2312" w:eastAsia="仿宋_GB2312" w:cs="仿宋_GB2312"/>
          <w:sz w:val="32"/>
          <w:szCs w:val="32"/>
          <w:lang w:val="en-US" w:eastAsia="zh-CN"/>
        </w:rPr>
        <w:t>846.84</w:t>
      </w:r>
      <w:r>
        <w:rPr>
          <w:rFonts w:hint="eastAsia" w:ascii="仿宋_GB2312" w:hAnsi="仿宋_GB2312" w:eastAsia="仿宋_GB2312" w:cs="仿宋_GB2312"/>
          <w:sz w:val="32"/>
          <w:szCs w:val="32"/>
          <w:lang w:eastAsia="zh-CN"/>
        </w:rPr>
        <w:t>万元，占</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w:t>
      </w:r>
    </w:p>
    <w:p w14:paraId="5285695F">
      <w:pPr>
        <w:keepNext w:val="0"/>
        <w:keepLines w:val="0"/>
        <w:pageBreakBefore w:val="0"/>
        <w:widowControl w:val="0"/>
        <w:kinsoku/>
        <w:wordWrap/>
        <w:overflowPunct/>
        <w:topLinePunct w:val="0"/>
        <w:autoSpaceDE/>
        <w:autoSpaceDN/>
        <w:bidi w:val="0"/>
        <w:snapToGrid/>
        <w:spacing w:line="600" w:lineRule="exact"/>
        <w:ind w:left="0"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预算资金支出情况：</w:t>
      </w:r>
    </w:p>
    <w:p w14:paraId="423A591A">
      <w:pPr>
        <w:keepNext w:val="0"/>
        <w:keepLines w:val="0"/>
        <w:pageBreakBefore w:val="0"/>
        <w:widowControl w:val="0"/>
        <w:kinsoku/>
        <w:wordWrap/>
        <w:overflowPunct/>
        <w:topLinePunct w:val="0"/>
        <w:autoSpaceDE/>
        <w:autoSpaceDN/>
        <w:bidi w:val="0"/>
        <w:snapToGrid/>
        <w:spacing w:line="600" w:lineRule="exact"/>
        <w:ind w:left="0"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本部门20</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lang w:eastAsia="zh-CN"/>
        </w:rPr>
        <w:t>年度本年支出合计</w:t>
      </w:r>
      <w:r>
        <w:rPr>
          <w:rFonts w:hint="eastAsia" w:ascii="仿宋_GB2312" w:hAnsi="仿宋_GB2312" w:eastAsia="仿宋_GB2312" w:cs="仿宋_GB2312"/>
          <w:sz w:val="32"/>
          <w:szCs w:val="32"/>
          <w:lang w:val="en-US" w:eastAsia="zh-CN"/>
        </w:rPr>
        <w:t>859.92</w:t>
      </w:r>
      <w:r>
        <w:rPr>
          <w:rFonts w:hint="eastAsia" w:ascii="仿宋_GB2312" w:hAnsi="仿宋_GB2312" w:eastAsia="仿宋_GB2312" w:cs="仿宋_GB2312"/>
          <w:sz w:val="32"/>
          <w:szCs w:val="32"/>
          <w:lang w:eastAsia="zh-CN"/>
        </w:rPr>
        <w:t>万元。基本支出</w:t>
      </w:r>
      <w:r>
        <w:rPr>
          <w:rFonts w:hint="eastAsia" w:ascii="仿宋_GB2312" w:hAnsi="仿宋_GB2312" w:eastAsia="仿宋_GB2312" w:cs="仿宋_GB2312"/>
          <w:sz w:val="32"/>
          <w:szCs w:val="32"/>
          <w:lang w:val="en-US" w:eastAsia="zh-CN"/>
        </w:rPr>
        <w:t>436.89</w:t>
      </w:r>
      <w:r>
        <w:rPr>
          <w:rFonts w:hint="eastAsia" w:ascii="仿宋_GB2312" w:hAnsi="仿宋_GB2312" w:eastAsia="仿宋_GB2312" w:cs="仿宋_GB2312"/>
          <w:sz w:val="32"/>
          <w:szCs w:val="32"/>
          <w:lang w:eastAsia="zh-CN"/>
        </w:rPr>
        <w:t>万元，占</w:t>
      </w:r>
      <w:r>
        <w:rPr>
          <w:rFonts w:hint="eastAsia" w:ascii="仿宋_GB2312" w:hAnsi="仿宋_GB2312" w:eastAsia="仿宋_GB2312" w:cs="仿宋_GB2312"/>
          <w:sz w:val="32"/>
          <w:szCs w:val="32"/>
          <w:lang w:val="en-US" w:eastAsia="zh-CN"/>
        </w:rPr>
        <w:t>50.81</w:t>
      </w:r>
      <w:r>
        <w:rPr>
          <w:rFonts w:hint="eastAsia" w:ascii="仿宋_GB2312" w:hAnsi="仿宋_GB2312" w:eastAsia="仿宋_GB2312" w:cs="仿宋_GB2312"/>
          <w:sz w:val="32"/>
          <w:szCs w:val="32"/>
          <w:lang w:eastAsia="zh-CN"/>
        </w:rPr>
        <w:t>%。项目支出</w:t>
      </w:r>
      <w:r>
        <w:rPr>
          <w:rFonts w:hint="eastAsia" w:ascii="仿宋_GB2312" w:hAnsi="仿宋_GB2312" w:eastAsia="仿宋_GB2312" w:cs="仿宋_GB2312"/>
          <w:sz w:val="32"/>
          <w:szCs w:val="32"/>
          <w:lang w:val="en-US" w:eastAsia="zh-CN"/>
        </w:rPr>
        <w:t>423.03</w:t>
      </w:r>
      <w:r>
        <w:rPr>
          <w:rFonts w:hint="eastAsia" w:ascii="仿宋_GB2312" w:hAnsi="仿宋_GB2312" w:eastAsia="仿宋_GB2312" w:cs="仿宋_GB2312"/>
          <w:sz w:val="32"/>
          <w:szCs w:val="32"/>
          <w:lang w:eastAsia="zh-CN"/>
        </w:rPr>
        <w:t>万元，占</w:t>
      </w:r>
      <w:r>
        <w:rPr>
          <w:rFonts w:hint="eastAsia" w:ascii="仿宋_GB2312" w:hAnsi="仿宋_GB2312" w:eastAsia="仿宋_GB2312" w:cs="仿宋_GB2312"/>
          <w:sz w:val="32"/>
          <w:szCs w:val="32"/>
          <w:lang w:val="en-US" w:eastAsia="zh-CN"/>
        </w:rPr>
        <w:t>49.19</w:t>
      </w:r>
      <w:r>
        <w:rPr>
          <w:rFonts w:hint="eastAsia" w:ascii="仿宋_GB2312" w:hAnsi="仿宋_GB2312" w:eastAsia="仿宋_GB2312" w:cs="仿宋_GB2312"/>
          <w:sz w:val="32"/>
          <w:szCs w:val="32"/>
          <w:lang w:eastAsia="zh-CN"/>
        </w:rPr>
        <w:t>%。</w:t>
      </w:r>
    </w:p>
    <w:p w14:paraId="74A3617F">
      <w:pPr>
        <w:pStyle w:val="20"/>
        <w:keepNext w:val="0"/>
        <w:keepLines w:val="0"/>
        <w:pageBreakBefore w:val="0"/>
        <w:widowControl w:val="0"/>
        <w:numPr>
          <w:ilvl w:val="0"/>
          <w:numId w:val="0"/>
        </w:numPr>
        <w:kinsoku/>
        <w:wordWrap/>
        <w:overflowPunct/>
        <w:topLinePunct w:val="0"/>
        <w:autoSpaceDE/>
        <w:autoSpaceDN/>
        <w:bidi w:val="0"/>
        <w:snapToGrid/>
        <w:ind w:left="0" w:leftChars="0" w:firstLine="640" w:firstLineChars="200"/>
        <w:textAlignment w:val="auto"/>
        <w:rPr>
          <w:rFonts w:ascii="黑体" w:hAnsi="黑体" w:eastAsia="黑体" w:cs="仿宋"/>
          <w:sz w:val="32"/>
          <w:szCs w:val="32"/>
        </w:rPr>
      </w:pPr>
      <w:r>
        <w:rPr>
          <w:rFonts w:hint="eastAsia" w:ascii="黑体" w:hAnsi="黑体" w:eastAsia="黑体" w:cs="仿宋"/>
          <w:sz w:val="32"/>
          <w:szCs w:val="32"/>
          <w:lang w:eastAsia="zh-CN"/>
        </w:rPr>
        <w:t>二、</w:t>
      </w:r>
      <w:r>
        <w:rPr>
          <w:rFonts w:hint="eastAsia" w:ascii="黑体" w:hAnsi="黑体" w:eastAsia="黑体" w:cs="仿宋"/>
          <w:sz w:val="32"/>
          <w:szCs w:val="32"/>
        </w:rPr>
        <w:t>预算绩效管理开展及整体绩效实现情况。</w:t>
      </w:r>
    </w:p>
    <w:p w14:paraId="7F532A41">
      <w:pPr>
        <w:keepNext w:val="0"/>
        <w:keepLines w:val="0"/>
        <w:pageBreakBefore w:val="0"/>
        <w:widowControl w:val="0"/>
        <w:kinsoku/>
        <w:wordWrap/>
        <w:overflowPunct/>
        <w:topLinePunct w:val="0"/>
        <w:autoSpaceDE/>
        <w:autoSpaceDN/>
        <w:bidi w:val="0"/>
        <w:adjustRightInd w:val="0"/>
        <w:snapToGrid/>
        <w:ind w:left="0"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（一）部门开展预算绩效管理情况。</w:t>
      </w:r>
    </w:p>
    <w:p w14:paraId="3709F43C">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我局项目严格按照国家财经法规、预算资金管理办法、财务管理制度以及专项资金管理办法的规定，把项目资金的审批分配、监督检查与绩效评价结合起来，遵循先预算、再审批、后支出的原则，确保了财政资金分配和财政审批程序合法，保证了项目资金的合理使用。定期采集绩效运行的信息，督促各股室按时完成预算执行目标，杜绝发生偏离绩效目标和逾期无效目标的情况。</w:t>
      </w:r>
    </w:p>
    <w:p w14:paraId="5B4BBFAA">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1.绩效监控：</w:t>
      </w:r>
    </w:p>
    <w:p w14:paraId="55ABAE54">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lang w:val="en-US" w:eastAsia="zh-CN"/>
        </w:rPr>
      </w:pPr>
      <w:r>
        <w:rPr>
          <w:rFonts w:hint="eastAsia" w:eastAsia="仿宋_GB2312"/>
          <w:sz w:val="32"/>
          <w:szCs w:val="32"/>
          <w:lang w:eastAsia="zh-CN"/>
        </w:rPr>
        <w:t>（</w:t>
      </w:r>
      <w:r>
        <w:rPr>
          <w:rFonts w:hint="eastAsia" w:eastAsia="仿宋_GB2312"/>
          <w:sz w:val="32"/>
          <w:szCs w:val="32"/>
          <w:lang w:val="en-US" w:eastAsia="zh-CN"/>
        </w:rPr>
        <w:t>1）</w:t>
      </w:r>
      <w:r>
        <w:rPr>
          <w:rFonts w:hint="eastAsia" w:eastAsia="仿宋_GB2312"/>
          <w:sz w:val="32"/>
          <w:szCs w:val="32"/>
          <w:lang w:eastAsia="zh-CN"/>
        </w:rPr>
        <w:t>部门对专项资金和项目预算绩效目标实现情况实施了全程监控，对专项资金重点监控了</w:t>
      </w:r>
      <w:r>
        <w:rPr>
          <w:rFonts w:eastAsia="仿宋_GB2312"/>
          <w:sz w:val="32"/>
          <w:szCs w:val="32"/>
        </w:rPr>
        <w:t>使用是否符合规定的范围</w:t>
      </w:r>
      <w:r>
        <w:rPr>
          <w:rFonts w:hint="eastAsia" w:eastAsia="仿宋_GB2312"/>
          <w:sz w:val="32"/>
          <w:szCs w:val="32"/>
          <w:lang w:eastAsia="zh-CN"/>
        </w:rPr>
        <w:t>，</w:t>
      </w:r>
      <w:r>
        <w:rPr>
          <w:rFonts w:eastAsia="仿宋_GB2312"/>
          <w:sz w:val="32"/>
          <w:szCs w:val="32"/>
        </w:rPr>
        <w:t>是否符合财政财务管理有关规定</w:t>
      </w:r>
      <w:r>
        <w:rPr>
          <w:rFonts w:hint="eastAsia" w:eastAsia="仿宋_GB2312"/>
          <w:sz w:val="32"/>
          <w:szCs w:val="32"/>
          <w:lang w:eastAsia="zh-CN"/>
        </w:rPr>
        <w:t>，各项</w:t>
      </w:r>
      <w:r>
        <w:rPr>
          <w:rFonts w:eastAsia="仿宋_GB2312"/>
          <w:sz w:val="32"/>
          <w:szCs w:val="32"/>
        </w:rPr>
        <w:t>绩效目标实现情况及预期实现程度</w:t>
      </w:r>
      <w:r>
        <w:rPr>
          <w:rFonts w:hint="eastAsia" w:eastAsia="仿宋_GB2312"/>
          <w:sz w:val="32"/>
          <w:szCs w:val="32"/>
          <w:lang w:eastAsia="zh-CN"/>
        </w:rPr>
        <w:t>等几项内容。对</w:t>
      </w:r>
      <w:r>
        <w:rPr>
          <w:rFonts w:eastAsia="仿宋_GB2312"/>
          <w:sz w:val="32"/>
          <w:szCs w:val="32"/>
        </w:rPr>
        <w:t>预算项目资金</w:t>
      </w:r>
      <w:r>
        <w:rPr>
          <w:rFonts w:hint="eastAsia" w:eastAsia="仿宋_GB2312"/>
          <w:sz w:val="32"/>
          <w:szCs w:val="32"/>
          <w:lang w:eastAsia="zh-CN"/>
        </w:rPr>
        <w:t>重点监控了</w:t>
      </w:r>
      <w:r>
        <w:rPr>
          <w:rFonts w:eastAsia="仿宋_GB2312"/>
          <w:sz w:val="32"/>
          <w:szCs w:val="32"/>
        </w:rPr>
        <w:t>是否在规定的范围内使用</w:t>
      </w:r>
      <w:r>
        <w:rPr>
          <w:rFonts w:hint="eastAsia" w:eastAsia="仿宋_GB2312"/>
          <w:sz w:val="32"/>
          <w:szCs w:val="32"/>
          <w:lang w:eastAsia="zh-CN"/>
        </w:rPr>
        <w:t>，</w:t>
      </w:r>
      <w:r>
        <w:rPr>
          <w:rFonts w:eastAsia="仿宋_GB2312"/>
          <w:sz w:val="32"/>
          <w:szCs w:val="32"/>
        </w:rPr>
        <w:t>开支是否合理</w:t>
      </w:r>
      <w:r>
        <w:rPr>
          <w:rFonts w:hint="eastAsia" w:eastAsia="仿宋_GB2312"/>
          <w:sz w:val="32"/>
          <w:szCs w:val="32"/>
          <w:lang w:eastAsia="zh-CN"/>
        </w:rPr>
        <w:t>，</w:t>
      </w:r>
      <w:r>
        <w:rPr>
          <w:rFonts w:eastAsia="仿宋_GB2312"/>
          <w:sz w:val="32"/>
          <w:szCs w:val="32"/>
        </w:rPr>
        <w:t>是否依法进行财务管理和会计核算</w:t>
      </w:r>
      <w:r>
        <w:rPr>
          <w:rFonts w:hint="eastAsia" w:eastAsia="仿宋_GB2312"/>
          <w:sz w:val="32"/>
          <w:szCs w:val="32"/>
          <w:lang w:eastAsia="zh-CN"/>
        </w:rPr>
        <w:t>，</w:t>
      </w:r>
      <w:r>
        <w:rPr>
          <w:rFonts w:eastAsia="仿宋_GB2312"/>
          <w:sz w:val="32"/>
          <w:szCs w:val="32"/>
        </w:rPr>
        <w:t>相关资产管理是否符合规定</w:t>
      </w:r>
      <w:r>
        <w:rPr>
          <w:rFonts w:hint="eastAsia" w:eastAsia="仿宋_GB2312"/>
          <w:sz w:val="32"/>
          <w:szCs w:val="32"/>
          <w:lang w:eastAsia="zh-CN"/>
        </w:rPr>
        <w:t>，</w:t>
      </w:r>
      <w:r>
        <w:rPr>
          <w:rFonts w:eastAsia="仿宋_GB2312"/>
          <w:sz w:val="32"/>
          <w:szCs w:val="32"/>
        </w:rPr>
        <w:t>绩效目标完成情况及预期实现程度</w:t>
      </w:r>
      <w:r>
        <w:rPr>
          <w:rFonts w:hint="eastAsia" w:eastAsia="仿宋_GB2312"/>
          <w:sz w:val="32"/>
          <w:szCs w:val="32"/>
          <w:lang w:eastAsia="zh-CN"/>
        </w:rPr>
        <w:t>，</w:t>
      </w:r>
      <w:r>
        <w:rPr>
          <w:rFonts w:eastAsia="仿宋_GB2312"/>
          <w:sz w:val="32"/>
          <w:szCs w:val="32"/>
        </w:rPr>
        <w:t>预算资金拨付情况、实际支出情况</w:t>
      </w:r>
      <w:r>
        <w:rPr>
          <w:rFonts w:hint="eastAsia" w:eastAsia="仿宋_GB2312"/>
          <w:sz w:val="32"/>
          <w:szCs w:val="32"/>
          <w:lang w:eastAsia="zh-CN"/>
        </w:rPr>
        <w:t>等几项内容。7月份和</w:t>
      </w:r>
      <w:r>
        <w:rPr>
          <w:rFonts w:hint="eastAsia" w:eastAsia="仿宋_GB2312"/>
          <w:sz w:val="32"/>
          <w:szCs w:val="32"/>
          <w:lang w:val="en-US" w:eastAsia="zh-CN"/>
        </w:rPr>
        <w:t>12月份</w:t>
      </w:r>
      <w:r>
        <w:rPr>
          <w:rFonts w:hint="eastAsia" w:eastAsia="仿宋_GB2312"/>
          <w:sz w:val="32"/>
          <w:szCs w:val="32"/>
          <w:lang w:eastAsia="zh-CN"/>
        </w:rPr>
        <w:t>，分别集中对1-6月份、</w:t>
      </w:r>
      <w:r>
        <w:rPr>
          <w:rFonts w:hint="eastAsia" w:eastAsia="仿宋_GB2312"/>
          <w:sz w:val="32"/>
          <w:szCs w:val="32"/>
          <w:lang w:val="en-US" w:eastAsia="zh-CN"/>
        </w:rPr>
        <w:t>1-12月份</w:t>
      </w:r>
      <w:r>
        <w:rPr>
          <w:rFonts w:hint="eastAsia" w:eastAsia="仿宋_GB2312"/>
          <w:sz w:val="32"/>
          <w:szCs w:val="32"/>
          <w:lang w:eastAsia="zh-CN"/>
        </w:rPr>
        <w:t>绩效目标实现程度和预算执行情况开展了绩效监控汇总分析，形成了绩效监控报告，填写了《县级部门整体绩效监控情况表》，重点项目填写了</w:t>
      </w:r>
      <w:r>
        <w:rPr>
          <w:rFonts w:eastAsia="仿宋_GB2312"/>
          <w:sz w:val="32"/>
          <w:szCs w:val="32"/>
        </w:rPr>
        <w:t>《</w:t>
      </w:r>
      <w:r>
        <w:rPr>
          <w:rFonts w:hint="eastAsia" w:eastAsia="仿宋_GB2312"/>
          <w:sz w:val="32"/>
          <w:szCs w:val="32"/>
        </w:rPr>
        <w:t>县</w:t>
      </w:r>
      <w:r>
        <w:rPr>
          <w:rFonts w:eastAsia="仿宋_GB2312"/>
          <w:sz w:val="32"/>
          <w:szCs w:val="32"/>
        </w:rPr>
        <w:t>级部门专项资金和预算项目资金绩效监控情况表》</w:t>
      </w:r>
      <w:r>
        <w:rPr>
          <w:rFonts w:hint="eastAsia" w:eastAsia="仿宋_GB2312"/>
          <w:sz w:val="32"/>
          <w:szCs w:val="32"/>
          <w:lang w:eastAsia="zh-CN"/>
        </w:rPr>
        <w:t>。</w:t>
      </w:r>
    </w:p>
    <w:p w14:paraId="599E65E4">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w:t>
      </w:r>
      <w:r>
        <w:rPr>
          <w:rFonts w:hint="eastAsia" w:eastAsia="仿宋_GB2312"/>
          <w:sz w:val="32"/>
          <w:szCs w:val="32"/>
          <w:lang w:eastAsia="zh-CN"/>
        </w:rPr>
        <w:t>在对专项资金和预算项目全面监控的基础上，重点对</w:t>
      </w:r>
      <w:r>
        <w:rPr>
          <w:rFonts w:hint="eastAsia" w:eastAsia="仿宋_GB2312"/>
          <w:sz w:val="32"/>
          <w:szCs w:val="32"/>
          <w:lang w:val="en-US" w:eastAsia="zh-CN"/>
        </w:rPr>
        <w:t>100万元以上项目进行了重点监控。采取了听取</w:t>
      </w:r>
      <w:r>
        <w:rPr>
          <w:rFonts w:eastAsia="仿宋_GB2312"/>
          <w:sz w:val="32"/>
          <w:szCs w:val="32"/>
        </w:rPr>
        <w:t>进度情况汇报、查阅相关财</w:t>
      </w:r>
      <w:r>
        <w:rPr>
          <w:rFonts w:ascii="Arial" w:hAnsi="Arial" w:eastAsia="宋体" w:cs="Arial"/>
          <w:i w:val="0"/>
          <w:caps w:val="0"/>
          <w:color w:val="333333"/>
          <w:spacing w:val="0"/>
          <w:sz w:val="27"/>
          <w:szCs w:val="27"/>
        </w:rPr>
        <w:t>务资料等监控评价方式</w:t>
      </w:r>
      <w:r>
        <w:rPr>
          <w:rFonts w:hint="eastAsia" w:ascii="Arial" w:hAnsi="Arial" w:eastAsia="宋体" w:cs="Arial"/>
          <w:i w:val="0"/>
          <w:caps w:val="0"/>
          <w:color w:val="333333"/>
          <w:spacing w:val="0"/>
          <w:sz w:val="27"/>
          <w:szCs w:val="27"/>
          <w:lang w:eastAsia="zh-CN"/>
        </w:rPr>
        <w:t>对“财政项目评审费”项目进行了绩效运行监控，填写</w:t>
      </w:r>
      <w:r>
        <w:rPr>
          <w:rFonts w:eastAsia="仿宋_GB2312"/>
          <w:sz w:val="32"/>
          <w:szCs w:val="32"/>
        </w:rPr>
        <w:t>《</w:t>
      </w:r>
      <w:r>
        <w:rPr>
          <w:rFonts w:hint="eastAsia" w:eastAsia="仿宋_GB2312"/>
          <w:sz w:val="32"/>
          <w:szCs w:val="32"/>
        </w:rPr>
        <w:t>县</w:t>
      </w:r>
      <w:r>
        <w:rPr>
          <w:rFonts w:eastAsia="仿宋_GB2312"/>
          <w:sz w:val="32"/>
          <w:szCs w:val="32"/>
        </w:rPr>
        <w:t>级部门专项资金和预算项目资金绩效监控情况表》</w:t>
      </w:r>
      <w:r>
        <w:rPr>
          <w:rFonts w:hint="eastAsia" w:eastAsia="仿宋_GB2312"/>
          <w:sz w:val="32"/>
          <w:szCs w:val="32"/>
          <w:lang w:eastAsia="zh-CN"/>
        </w:rPr>
        <w:t>。</w:t>
      </w:r>
    </w:p>
    <w:p w14:paraId="0C927AF4">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2.绩效评价：</w:t>
      </w:r>
    </w:p>
    <w:p w14:paraId="4A7F8580">
      <w:pPr>
        <w:pStyle w:val="9"/>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600" w:lineRule="atLeast"/>
        <w:ind w:left="0"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2022年3月7日至11日，我局2021年总体支出绩效评价工作按照《隆尧县财政局绩效管理评价工作实施方案》，坚持“公开、公平、公正”原则，以自我评价为基础，由县财政局统一组织安排，项目股室分级实施。</w:t>
      </w:r>
    </w:p>
    <w:p w14:paraId="423A58A1">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eastAsia" w:ascii="仿宋" w:hAnsi="仿宋" w:eastAsia="仿宋_GB2312" w:cs="仿宋"/>
          <w:sz w:val="32"/>
          <w:szCs w:val="32"/>
          <w:lang w:val="en-US" w:eastAsia="zh-CN"/>
        </w:rPr>
      </w:pPr>
      <w:r>
        <w:rPr>
          <w:rFonts w:hint="eastAsia" w:ascii="仿宋_GB2312" w:eastAsia="仿宋_GB2312" w:hAnsiTheme="minorEastAsia"/>
          <w:sz w:val="32"/>
          <w:szCs w:val="32"/>
        </w:rPr>
        <w:t>评价对象分为预算单位整体支出绩效评价和项目资金绩效评价</w:t>
      </w:r>
      <w:r>
        <w:rPr>
          <w:rFonts w:hint="eastAsia" w:ascii="仿宋_GB2312" w:eastAsia="仿宋_GB2312" w:hAnsiTheme="minorEastAsia"/>
          <w:sz w:val="32"/>
          <w:szCs w:val="32"/>
          <w:lang w:eastAsia="zh-CN"/>
        </w:rPr>
        <w:t>，同时开展了自评工作</w:t>
      </w:r>
      <w:r>
        <w:rPr>
          <w:rFonts w:hint="eastAsia" w:ascii="仿宋_GB2312" w:eastAsia="仿宋_GB2312" w:hAnsiTheme="minorEastAsia"/>
          <w:sz w:val="32"/>
          <w:szCs w:val="32"/>
        </w:rPr>
        <w:t>。</w:t>
      </w:r>
      <w:r>
        <w:rPr>
          <w:rFonts w:hint="eastAsia" w:ascii="仿宋_GB2312" w:eastAsia="仿宋_GB2312" w:hAnsiTheme="minorEastAsia"/>
          <w:sz w:val="32"/>
          <w:szCs w:val="32"/>
          <w:lang w:eastAsia="zh-CN"/>
        </w:rPr>
        <w:t>评价内容包括绩效目标设置（</w:t>
      </w:r>
      <w:r>
        <w:rPr>
          <w:rFonts w:hint="eastAsia" w:ascii="仿宋_GB2312" w:eastAsia="仿宋_GB2312" w:hAnsiTheme="minorEastAsia"/>
          <w:sz w:val="32"/>
          <w:szCs w:val="32"/>
        </w:rPr>
        <w:t>目标设立的明确性、合理性及细化程度，评价是否符合客观实际，是否清晰、细化、可衡量</w:t>
      </w:r>
      <w:r>
        <w:rPr>
          <w:rFonts w:hint="eastAsia" w:ascii="仿宋_GB2312" w:eastAsia="仿宋_GB2312" w:hAnsiTheme="minorEastAsia"/>
          <w:sz w:val="32"/>
          <w:szCs w:val="32"/>
          <w:lang w:eastAsia="zh-CN"/>
        </w:rPr>
        <w:t>）和完成情况（</w:t>
      </w:r>
      <w:r>
        <w:rPr>
          <w:rFonts w:hint="eastAsia" w:ascii="仿宋_GB2312" w:eastAsia="仿宋_GB2312" w:hAnsiTheme="minorEastAsia"/>
          <w:sz w:val="32"/>
          <w:szCs w:val="32"/>
        </w:rPr>
        <w:t>预算单位整体支出绩效完成情况、项目实施完成情况、产生的社会效益指标和经济效益指标</w:t>
      </w:r>
      <w:r>
        <w:rPr>
          <w:rFonts w:hint="eastAsia" w:ascii="仿宋_GB2312" w:eastAsia="仿宋_GB2312" w:hAnsiTheme="minorEastAsia"/>
          <w:sz w:val="32"/>
          <w:szCs w:val="32"/>
          <w:lang w:eastAsia="zh-CN"/>
        </w:rPr>
        <w:t>）；预算实施、资金使用和项目管理情况；执行财经纪律情况等。</w:t>
      </w:r>
    </w:p>
    <w:p w14:paraId="6B187472">
      <w:pPr>
        <w:pStyle w:val="9"/>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600" w:lineRule="atLeast"/>
        <w:ind w:left="0" w:firstLine="640" w:firstLineChars="200"/>
        <w:jc w:val="both"/>
        <w:textAlignment w:val="auto"/>
        <w:rPr>
          <w:rFonts w:hint="eastAsia" w:ascii="仿宋_GB2312" w:eastAsia="仿宋_GB2312" w:hAnsiTheme="minorEastAsia"/>
          <w:sz w:val="32"/>
          <w:szCs w:val="32"/>
        </w:rPr>
      </w:pPr>
      <w:r>
        <w:rPr>
          <w:rFonts w:ascii="仿宋_GB2312" w:eastAsia="仿宋_GB2312" w:hAnsiTheme="minorEastAsia"/>
          <w:sz w:val="32"/>
          <w:szCs w:val="32"/>
        </w:rPr>
        <w:t>20</w:t>
      </w:r>
      <w:r>
        <w:rPr>
          <w:rFonts w:hint="eastAsia" w:ascii="仿宋_GB2312" w:eastAsia="仿宋_GB2312" w:hAnsiTheme="minorEastAsia"/>
          <w:sz w:val="32"/>
          <w:szCs w:val="32"/>
          <w:lang w:val="en-US" w:eastAsia="zh-CN"/>
        </w:rPr>
        <w:t>21</w:t>
      </w:r>
      <w:r>
        <w:rPr>
          <w:rFonts w:hint="eastAsia" w:ascii="仿宋_GB2312" w:eastAsia="仿宋_GB2312" w:hAnsiTheme="minorEastAsia"/>
          <w:sz w:val="32"/>
          <w:szCs w:val="32"/>
        </w:rPr>
        <w:t>年</w:t>
      </w:r>
      <w:r>
        <w:rPr>
          <w:rFonts w:hint="eastAsia" w:ascii="仿宋_GB2312" w:eastAsia="仿宋_GB2312" w:hAnsiTheme="minorEastAsia"/>
          <w:sz w:val="32"/>
          <w:szCs w:val="32"/>
          <w:lang w:val="en-US" w:eastAsia="zh-CN"/>
        </w:rPr>
        <w:t>县本级项目共19个，均填写了《2021县级预算项目绩效自评表》，形成了评价报告，评分结果17个项目为优秀，2个项目为良好。其中50万元以上项目2</w:t>
      </w:r>
      <w:r>
        <w:rPr>
          <w:rFonts w:hint="eastAsia" w:ascii="仿宋_GB2312" w:eastAsia="仿宋_GB2312" w:hAnsiTheme="minorEastAsia"/>
          <w:sz w:val="32"/>
          <w:szCs w:val="32"/>
        </w:rPr>
        <w:t>个</w:t>
      </w:r>
      <w:r>
        <w:rPr>
          <w:rFonts w:hint="eastAsia" w:ascii="仿宋_GB2312" w:eastAsia="仿宋_GB2312" w:hAnsiTheme="minorEastAsia"/>
          <w:sz w:val="32"/>
          <w:szCs w:val="32"/>
          <w:lang w:eastAsia="zh-CN"/>
        </w:rPr>
        <w:t>，分别是</w:t>
      </w:r>
      <w:r>
        <w:rPr>
          <w:rFonts w:hint="eastAsia" w:ascii="仿宋_GB2312" w:eastAsia="仿宋_GB2312" w:hAnsiTheme="minorEastAsia"/>
          <w:sz w:val="32"/>
          <w:szCs w:val="32"/>
        </w:rPr>
        <w:t>财政</w:t>
      </w:r>
      <w:r>
        <w:rPr>
          <w:rFonts w:hint="eastAsia" w:ascii="仿宋_GB2312" w:eastAsia="仿宋_GB2312" w:hAnsiTheme="minorEastAsia"/>
          <w:sz w:val="32"/>
          <w:szCs w:val="32"/>
          <w:lang w:eastAsia="zh-CN"/>
        </w:rPr>
        <w:t>项目</w:t>
      </w:r>
      <w:r>
        <w:rPr>
          <w:rFonts w:hint="eastAsia" w:ascii="仿宋_GB2312" w:eastAsia="仿宋_GB2312" w:hAnsiTheme="minorEastAsia"/>
          <w:sz w:val="32"/>
          <w:szCs w:val="32"/>
        </w:rPr>
        <w:t>评审费</w:t>
      </w:r>
      <w:r>
        <w:rPr>
          <w:rFonts w:hint="eastAsia" w:ascii="仿宋_GB2312" w:eastAsia="仿宋_GB2312" w:hAnsiTheme="minorEastAsia"/>
          <w:sz w:val="32"/>
          <w:szCs w:val="32"/>
          <w:lang w:eastAsia="zh-CN"/>
        </w:rPr>
        <w:t>、县财政事业费，评分结果均为优秀</w:t>
      </w:r>
      <w:r>
        <w:rPr>
          <w:rFonts w:hint="eastAsia" w:ascii="仿宋_GB2312" w:eastAsia="仿宋_GB2312" w:hAnsiTheme="minorEastAsia"/>
          <w:sz w:val="32"/>
          <w:szCs w:val="32"/>
        </w:rPr>
        <w:t>。</w:t>
      </w:r>
    </w:p>
    <w:p w14:paraId="3FA4DAE0">
      <w:pPr>
        <w:keepNext w:val="0"/>
        <w:keepLines w:val="0"/>
        <w:pageBreakBefore w:val="0"/>
        <w:widowControl w:val="0"/>
        <w:kinsoku/>
        <w:wordWrap/>
        <w:overflowPunct/>
        <w:topLinePunct w:val="0"/>
        <w:autoSpaceDE/>
        <w:autoSpaceDN/>
        <w:bidi w:val="0"/>
        <w:adjustRightInd w:val="0"/>
        <w:snapToGrid/>
        <w:ind w:left="0" w:firstLine="643" w:firstLineChars="200"/>
        <w:textAlignment w:val="auto"/>
        <w:rPr>
          <w:rFonts w:hint="eastAsia" w:ascii="仿宋" w:hAnsi="仿宋" w:eastAsia="仿宋" w:cs="仿宋"/>
          <w:b/>
          <w:bCs/>
          <w:sz w:val="32"/>
          <w:szCs w:val="32"/>
        </w:rPr>
      </w:pPr>
      <w:r>
        <w:rPr>
          <w:rFonts w:hint="eastAsia" w:ascii="仿宋" w:hAnsi="仿宋" w:eastAsia="仿宋" w:cs="仿宋"/>
          <w:b/>
          <w:bCs/>
          <w:sz w:val="32"/>
          <w:szCs w:val="32"/>
        </w:rPr>
        <w:t>（二）工作履行活动完成情况。</w:t>
      </w:r>
    </w:p>
    <w:p w14:paraId="1F5E528D">
      <w:pPr>
        <w:pStyle w:val="9"/>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600" w:lineRule="atLeast"/>
        <w:ind w:left="0" w:firstLine="640" w:firstLineChars="200"/>
        <w:jc w:val="both"/>
        <w:textAlignment w:val="auto"/>
        <w:rPr>
          <w:rFonts w:hint="eastAsia" w:ascii="仿宋_GB2312" w:eastAsia="仿宋_GB2312" w:hAnsiTheme="minorEastAsia"/>
          <w:sz w:val="32"/>
          <w:szCs w:val="32"/>
        </w:rPr>
      </w:pPr>
      <w:r>
        <w:rPr>
          <w:rFonts w:hint="eastAsia" w:ascii="仿宋_GB2312" w:eastAsia="仿宋_GB2312" w:hAnsiTheme="minorEastAsia"/>
          <w:sz w:val="32"/>
          <w:szCs w:val="32"/>
          <w:lang w:val="en-US" w:eastAsia="zh-CN"/>
        </w:rPr>
        <w:t>1.</w:t>
      </w:r>
      <w:r>
        <w:rPr>
          <w:rFonts w:hint="eastAsia" w:ascii="仿宋_GB2312" w:eastAsia="仿宋_GB2312" w:hAnsiTheme="minorEastAsia"/>
          <w:sz w:val="32"/>
          <w:szCs w:val="32"/>
        </w:rPr>
        <w:t>财政预算执行情况</w:t>
      </w:r>
    </w:p>
    <w:p w14:paraId="492FDB68">
      <w:pPr>
        <w:pStyle w:val="9"/>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600" w:lineRule="atLeast"/>
        <w:ind w:left="0" w:firstLine="640" w:firstLineChars="200"/>
        <w:jc w:val="both"/>
        <w:textAlignment w:val="auto"/>
        <w:rPr>
          <w:rFonts w:hint="eastAsia" w:ascii="仿宋_GB2312" w:eastAsia="仿宋_GB2312" w:hAnsiTheme="minorEastAsia"/>
          <w:sz w:val="32"/>
          <w:szCs w:val="32"/>
        </w:rPr>
      </w:pPr>
      <w:r>
        <w:rPr>
          <w:rFonts w:hint="eastAsia" w:ascii="仿宋_GB2312" w:eastAsia="仿宋_GB2312" w:hAnsiTheme="minorEastAsia"/>
          <w:sz w:val="32"/>
          <w:szCs w:val="32"/>
          <w:lang w:eastAsia="zh-CN"/>
        </w:rPr>
        <w:t>（</w:t>
      </w:r>
      <w:r>
        <w:rPr>
          <w:rFonts w:hint="eastAsia" w:ascii="仿宋_GB2312" w:eastAsia="仿宋_GB2312" w:hAnsiTheme="minorEastAsia"/>
          <w:sz w:val="32"/>
          <w:szCs w:val="32"/>
          <w:lang w:val="en-US" w:eastAsia="zh-CN"/>
        </w:rPr>
        <w:t>1）</w:t>
      </w:r>
      <w:r>
        <w:rPr>
          <w:rFonts w:hint="eastAsia" w:ascii="仿宋_GB2312" w:eastAsia="仿宋_GB2312" w:hAnsiTheme="minorEastAsia"/>
          <w:sz w:val="32"/>
          <w:szCs w:val="32"/>
        </w:rPr>
        <w:t>一般公共预算完成情况</w:t>
      </w:r>
      <w:r>
        <w:rPr>
          <w:rFonts w:hint="eastAsia" w:ascii="仿宋_GB2312" w:eastAsia="仿宋_GB2312" w:hAnsiTheme="minorEastAsia"/>
          <w:sz w:val="32"/>
          <w:szCs w:val="32"/>
          <w:lang w:eastAsia="zh-CN"/>
        </w:rPr>
        <w:t>：</w:t>
      </w:r>
      <w:r>
        <w:rPr>
          <w:rFonts w:hint="eastAsia" w:ascii="仿宋_GB2312" w:eastAsia="仿宋_GB2312" w:hAnsiTheme="minorEastAsia"/>
          <w:sz w:val="32"/>
          <w:szCs w:val="32"/>
        </w:rPr>
        <w:t>202</w:t>
      </w:r>
      <w:r>
        <w:rPr>
          <w:rFonts w:hint="eastAsia" w:ascii="仿宋_GB2312" w:eastAsia="仿宋_GB2312" w:hAnsiTheme="minorEastAsia"/>
          <w:sz w:val="32"/>
          <w:szCs w:val="32"/>
          <w:lang w:val="en-US" w:eastAsia="zh-CN"/>
        </w:rPr>
        <w:t>1</w:t>
      </w:r>
      <w:r>
        <w:rPr>
          <w:rFonts w:hint="eastAsia" w:ascii="仿宋_GB2312" w:eastAsia="仿宋_GB2312" w:hAnsiTheme="minorEastAsia"/>
          <w:sz w:val="32"/>
          <w:szCs w:val="32"/>
        </w:rPr>
        <w:t>年全县全部财政收入完成1</w:t>
      </w:r>
      <w:r>
        <w:rPr>
          <w:rFonts w:hint="eastAsia" w:ascii="仿宋_GB2312" w:eastAsia="仿宋_GB2312" w:hAnsiTheme="minorEastAsia"/>
          <w:sz w:val="32"/>
          <w:szCs w:val="32"/>
          <w:lang w:val="en-US" w:eastAsia="zh-CN"/>
        </w:rPr>
        <w:t>23034</w:t>
      </w:r>
      <w:r>
        <w:rPr>
          <w:rFonts w:hint="eastAsia" w:ascii="仿宋_GB2312" w:eastAsia="仿宋_GB2312" w:hAnsiTheme="minorEastAsia"/>
          <w:sz w:val="32"/>
          <w:szCs w:val="32"/>
        </w:rPr>
        <w:t>万元，占预算的</w:t>
      </w:r>
      <w:r>
        <w:rPr>
          <w:rFonts w:hint="eastAsia" w:ascii="仿宋_GB2312" w:eastAsia="仿宋_GB2312" w:hAnsiTheme="minorEastAsia"/>
          <w:sz w:val="32"/>
          <w:szCs w:val="32"/>
          <w:lang w:val="en-US" w:eastAsia="zh-CN"/>
        </w:rPr>
        <w:t>96.4</w:t>
      </w:r>
      <w:r>
        <w:rPr>
          <w:rFonts w:hint="eastAsia" w:ascii="仿宋_GB2312" w:eastAsia="仿宋_GB2312" w:hAnsiTheme="minorEastAsia"/>
          <w:sz w:val="32"/>
          <w:szCs w:val="32"/>
        </w:rPr>
        <w:t>%，比上年增长（以下简称增长）</w:t>
      </w:r>
      <w:r>
        <w:rPr>
          <w:rFonts w:hint="eastAsia" w:ascii="仿宋_GB2312" w:eastAsia="仿宋_GB2312" w:hAnsiTheme="minorEastAsia"/>
          <w:sz w:val="32"/>
          <w:szCs w:val="32"/>
          <w:lang w:val="en-US" w:eastAsia="zh-CN"/>
        </w:rPr>
        <w:t>4.2</w:t>
      </w:r>
      <w:r>
        <w:rPr>
          <w:rFonts w:hint="eastAsia" w:ascii="仿宋_GB2312" w:eastAsia="仿宋_GB2312" w:hAnsiTheme="minorEastAsia"/>
          <w:sz w:val="32"/>
          <w:szCs w:val="32"/>
        </w:rPr>
        <w:t>%。公共财政预算收入完成</w:t>
      </w:r>
      <w:r>
        <w:rPr>
          <w:rFonts w:hint="eastAsia" w:ascii="仿宋_GB2312" w:eastAsia="仿宋_GB2312" w:hAnsiTheme="minorEastAsia"/>
          <w:sz w:val="32"/>
          <w:szCs w:val="32"/>
          <w:lang w:val="en-US" w:eastAsia="zh-CN"/>
        </w:rPr>
        <w:t>74002</w:t>
      </w:r>
      <w:r>
        <w:rPr>
          <w:rFonts w:hint="eastAsia" w:ascii="仿宋_GB2312" w:eastAsia="仿宋_GB2312" w:hAnsiTheme="minorEastAsia"/>
          <w:sz w:val="32"/>
          <w:szCs w:val="32"/>
        </w:rPr>
        <w:t>万元，占预算的107.</w:t>
      </w:r>
      <w:r>
        <w:rPr>
          <w:rFonts w:hint="eastAsia" w:ascii="仿宋_GB2312" w:eastAsia="仿宋_GB2312" w:hAnsiTheme="minorEastAsia"/>
          <w:sz w:val="32"/>
          <w:szCs w:val="32"/>
          <w:lang w:val="en-US" w:eastAsia="zh-CN"/>
        </w:rPr>
        <w:t>1</w:t>
      </w:r>
      <w:r>
        <w:rPr>
          <w:rFonts w:hint="eastAsia" w:ascii="仿宋_GB2312" w:eastAsia="仿宋_GB2312" w:hAnsiTheme="minorEastAsia"/>
          <w:sz w:val="32"/>
          <w:szCs w:val="32"/>
        </w:rPr>
        <w:t>%，增长1</w:t>
      </w:r>
      <w:r>
        <w:rPr>
          <w:rFonts w:hint="eastAsia" w:ascii="仿宋_GB2312" w:eastAsia="仿宋_GB2312" w:hAnsiTheme="minorEastAsia"/>
          <w:sz w:val="32"/>
          <w:szCs w:val="32"/>
          <w:lang w:val="en-US" w:eastAsia="zh-CN"/>
        </w:rPr>
        <w:t>7.8</w:t>
      </w:r>
      <w:r>
        <w:rPr>
          <w:rFonts w:hint="eastAsia" w:ascii="仿宋_GB2312" w:eastAsia="仿宋_GB2312" w:hAnsiTheme="minorEastAsia"/>
          <w:sz w:val="32"/>
          <w:szCs w:val="32"/>
        </w:rPr>
        <w:t>%。公共财政预算支出完成2</w:t>
      </w:r>
      <w:r>
        <w:rPr>
          <w:rFonts w:hint="eastAsia" w:ascii="仿宋_GB2312" w:eastAsia="仿宋_GB2312" w:hAnsiTheme="minorEastAsia"/>
          <w:sz w:val="32"/>
          <w:szCs w:val="32"/>
          <w:lang w:val="en-US" w:eastAsia="zh-CN"/>
        </w:rPr>
        <w:t>84594</w:t>
      </w:r>
      <w:r>
        <w:rPr>
          <w:rFonts w:hint="eastAsia" w:ascii="仿宋_GB2312" w:eastAsia="仿宋_GB2312" w:hAnsiTheme="minorEastAsia"/>
          <w:sz w:val="32"/>
          <w:szCs w:val="32"/>
        </w:rPr>
        <w:t>万元，占调整预算的</w:t>
      </w:r>
      <w:r>
        <w:rPr>
          <w:rFonts w:hint="eastAsia" w:ascii="仿宋_GB2312" w:eastAsia="仿宋_GB2312" w:hAnsiTheme="minorEastAsia"/>
          <w:sz w:val="32"/>
          <w:szCs w:val="32"/>
          <w:lang w:val="en-US" w:eastAsia="zh-CN"/>
        </w:rPr>
        <w:t>95</w:t>
      </w:r>
      <w:r>
        <w:rPr>
          <w:rFonts w:hint="eastAsia" w:ascii="仿宋_GB2312" w:eastAsia="仿宋_GB2312" w:hAnsiTheme="minorEastAsia"/>
          <w:sz w:val="32"/>
          <w:szCs w:val="32"/>
        </w:rPr>
        <w:t>%，增长</w:t>
      </w:r>
      <w:r>
        <w:rPr>
          <w:rFonts w:hint="eastAsia" w:ascii="仿宋_GB2312" w:eastAsia="仿宋_GB2312" w:hAnsiTheme="minorEastAsia"/>
          <w:sz w:val="32"/>
          <w:szCs w:val="32"/>
          <w:lang w:val="en-US" w:eastAsia="zh-CN"/>
        </w:rPr>
        <w:t>5.7</w:t>
      </w:r>
      <w:r>
        <w:rPr>
          <w:rFonts w:hint="eastAsia" w:ascii="仿宋_GB2312" w:eastAsia="仿宋_GB2312" w:hAnsiTheme="minorEastAsia"/>
          <w:sz w:val="32"/>
          <w:szCs w:val="32"/>
        </w:rPr>
        <w:t>%。</w:t>
      </w:r>
    </w:p>
    <w:p w14:paraId="0E24B18F">
      <w:pPr>
        <w:pStyle w:val="9"/>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600" w:lineRule="atLeast"/>
        <w:ind w:left="0" w:firstLine="640" w:firstLineChars="200"/>
        <w:jc w:val="both"/>
        <w:textAlignment w:val="auto"/>
        <w:rPr>
          <w:rFonts w:hint="eastAsia" w:ascii="仿宋_GB2312" w:eastAsia="仿宋_GB2312" w:hAnsiTheme="minorEastAsia"/>
          <w:sz w:val="32"/>
          <w:szCs w:val="32"/>
        </w:rPr>
      </w:pPr>
      <w:r>
        <w:rPr>
          <w:rFonts w:hint="eastAsia" w:ascii="仿宋_GB2312" w:eastAsia="仿宋_GB2312" w:hAnsiTheme="minorEastAsia"/>
          <w:sz w:val="32"/>
          <w:szCs w:val="32"/>
          <w:lang w:eastAsia="zh-CN"/>
        </w:rPr>
        <w:t>（</w:t>
      </w:r>
      <w:r>
        <w:rPr>
          <w:rFonts w:hint="eastAsia" w:ascii="仿宋_GB2312" w:eastAsia="仿宋_GB2312" w:hAnsiTheme="minorEastAsia"/>
          <w:sz w:val="32"/>
          <w:szCs w:val="32"/>
          <w:lang w:val="en-US" w:eastAsia="zh-CN"/>
        </w:rPr>
        <w:t>2）</w:t>
      </w:r>
      <w:r>
        <w:rPr>
          <w:rFonts w:hint="eastAsia" w:ascii="仿宋_GB2312" w:eastAsia="仿宋_GB2312" w:hAnsiTheme="minorEastAsia"/>
          <w:sz w:val="32"/>
          <w:szCs w:val="32"/>
        </w:rPr>
        <w:t>政府性基金预算完成情况</w:t>
      </w:r>
      <w:r>
        <w:rPr>
          <w:rFonts w:hint="eastAsia" w:ascii="仿宋_GB2312" w:eastAsia="仿宋_GB2312" w:hAnsiTheme="minorEastAsia"/>
          <w:sz w:val="32"/>
          <w:szCs w:val="32"/>
          <w:lang w:eastAsia="zh-CN"/>
        </w:rPr>
        <w:t>：</w:t>
      </w:r>
      <w:r>
        <w:rPr>
          <w:rFonts w:hint="eastAsia" w:ascii="仿宋_GB2312" w:eastAsia="仿宋_GB2312" w:hAnsiTheme="minorEastAsia"/>
          <w:sz w:val="32"/>
          <w:szCs w:val="32"/>
        </w:rPr>
        <w:t>收入累计完成</w:t>
      </w:r>
      <w:r>
        <w:rPr>
          <w:rFonts w:hint="eastAsia" w:ascii="仿宋_GB2312" w:eastAsia="仿宋_GB2312" w:hAnsiTheme="minorEastAsia"/>
          <w:sz w:val="32"/>
          <w:szCs w:val="32"/>
          <w:lang w:val="en-US" w:eastAsia="zh-CN"/>
        </w:rPr>
        <w:t>125953</w:t>
      </w:r>
      <w:r>
        <w:rPr>
          <w:rFonts w:hint="eastAsia" w:ascii="仿宋_GB2312" w:eastAsia="仿宋_GB2312" w:hAnsiTheme="minorEastAsia"/>
          <w:sz w:val="32"/>
          <w:szCs w:val="32"/>
        </w:rPr>
        <w:t>万元，占调整预算的</w:t>
      </w:r>
      <w:r>
        <w:rPr>
          <w:rFonts w:hint="eastAsia" w:ascii="仿宋_GB2312" w:eastAsia="仿宋_GB2312" w:hAnsiTheme="minorEastAsia"/>
          <w:sz w:val="32"/>
          <w:szCs w:val="32"/>
          <w:lang w:val="en-US" w:eastAsia="zh-CN"/>
        </w:rPr>
        <w:t>99.8</w:t>
      </w:r>
      <w:r>
        <w:rPr>
          <w:rFonts w:hint="eastAsia" w:ascii="仿宋_GB2312" w:eastAsia="仿宋_GB2312" w:hAnsiTheme="minorEastAsia"/>
          <w:sz w:val="32"/>
          <w:szCs w:val="32"/>
        </w:rPr>
        <w:t>%，增长</w:t>
      </w:r>
      <w:r>
        <w:rPr>
          <w:rFonts w:hint="eastAsia" w:ascii="仿宋_GB2312" w:eastAsia="仿宋_GB2312" w:hAnsiTheme="minorEastAsia"/>
          <w:sz w:val="32"/>
          <w:szCs w:val="32"/>
          <w:lang w:val="en-US" w:eastAsia="zh-CN"/>
        </w:rPr>
        <w:t>40.3</w:t>
      </w:r>
      <w:r>
        <w:rPr>
          <w:rFonts w:hint="eastAsia" w:ascii="仿宋_GB2312" w:eastAsia="仿宋_GB2312" w:hAnsiTheme="minorEastAsia"/>
          <w:sz w:val="32"/>
          <w:szCs w:val="32"/>
        </w:rPr>
        <w:t>%。支出完成</w:t>
      </w:r>
      <w:r>
        <w:rPr>
          <w:rFonts w:hint="eastAsia" w:ascii="仿宋_GB2312" w:eastAsia="仿宋_GB2312" w:hAnsiTheme="minorEastAsia"/>
          <w:sz w:val="32"/>
          <w:szCs w:val="32"/>
          <w:lang w:val="en-US" w:eastAsia="zh-CN"/>
        </w:rPr>
        <w:t>223771</w:t>
      </w:r>
      <w:r>
        <w:rPr>
          <w:rFonts w:hint="eastAsia" w:ascii="仿宋_GB2312" w:eastAsia="仿宋_GB2312" w:hAnsiTheme="minorEastAsia"/>
          <w:sz w:val="32"/>
          <w:szCs w:val="32"/>
        </w:rPr>
        <w:t>万元，占调整预算的</w:t>
      </w:r>
      <w:r>
        <w:rPr>
          <w:rFonts w:hint="eastAsia" w:ascii="仿宋_GB2312" w:eastAsia="仿宋_GB2312" w:hAnsiTheme="minorEastAsia"/>
          <w:sz w:val="32"/>
          <w:szCs w:val="32"/>
          <w:lang w:val="en-US" w:eastAsia="zh-CN"/>
        </w:rPr>
        <w:t>97.3</w:t>
      </w:r>
      <w:r>
        <w:rPr>
          <w:rFonts w:hint="eastAsia" w:ascii="仿宋_GB2312" w:eastAsia="仿宋_GB2312" w:hAnsiTheme="minorEastAsia"/>
          <w:sz w:val="32"/>
          <w:szCs w:val="32"/>
        </w:rPr>
        <w:t>%,增长</w:t>
      </w:r>
      <w:r>
        <w:rPr>
          <w:rFonts w:hint="eastAsia" w:ascii="仿宋_GB2312" w:eastAsia="仿宋_GB2312" w:hAnsiTheme="minorEastAsia"/>
          <w:sz w:val="32"/>
          <w:szCs w:val="32"/>
          <w:lang w:val="en-US" w:eastAsia="zh-CN"/>
        </w:rPr>
        <w:t>92.5</w:t>
      </w:r>
      <w:r>
        <w:rPr>
          <w:rFonts w:hint="eastAsia" w:ascii="仿宋_GB2312" w:eastAsia="仿宋_GB2312" w:hAnsiTheme="minorEastAsia"/>
          <w:sz w:val="32"/>
          <w:szCs w:val="32"/>
        </w:rPr>
        <w:t>%。</w:t>
      </w:r>
    </w:p>
    <w:p w14:paraId="3985EB5F">
      <w:pPr>
        <w:pStyle w:val="9"/>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600" w:lineRule="atLeast"/>
        <w:ind w:left="0" w:firstLine="640" w:firstLineChars="200"/>
        <w:jc w:val="both"/>
        <w:textAlignment w:val="auto"/>
        <w:rPr>
          <w:rFonts w:hint="eastAsia" w:ascii="仿宋_GB2312" w:eastAsia="仿宋_GB2312" w:hAnsiTheme="minorEastAsia"/>
          <w:sz w:val="32"/>
          <w:szCs w:val="32"/>
        </w:rPr>
      </w:pPr>
      <w:r>
        <w:rPr>
          <w:rFonts w:hint="eastAsia" w:ascii="仿宋_GB2312" w:eastAsia="仿宋_GB2312" w:hAnsiTheme="minorEastAsia"/>
          <w:sz w:val="32"/>
          <w:szCs w:val="32"/>
          <w:lang w:eastAsia="zh-CN"/>
        </w:rPr>
        <w:t>（</w:t>
      </w:r>
      <w:r>
        <w:rPr>
          <w:rFonts w:hint="eastAsia" w:ascii="仿宋_GB2312" w:eastAsia="仿宋_GB2312" w:hAnsiTheme="minorEastAsia"/>
          <w:sz w:val="32"/>
          <w:szCs w:val="32"/>
          <w:lang w:val="en-US" w:eastAsia="zh-CN"/>
        </w:rPr>
        <w:t>3）</w:t>
      </w:r>
      <w:r>
        <w:rPr>
          <w:rFonts w:hint="eastAsia" w:ascii="仿宋_GB2312" w:eastAsia="仿宋_GB2312" w:hAnsiTheme="minorEastAsia"/>
          <w:sz w:val="32"/>
          <w:szCs w:val="32"/>
        </w:rPr>
        <w:t>国有资本经营预算完成情况</w:t>
      </w:r>
      <w:r>
        <w:rPr>
          <w:rFonts w:hint="eastAsia" w:ascii="仿宋_GB2312" w:eastAsia="仿宋_GB2312" w:hAnsiTheme="minorEastAsia"/>
          <w:sz w:val="32"/>
          <w:szCs w:val="32"/>
          <w:lang w:eastAsia="zh-CN"/>
        </w:rPr>
        <w:t>：</w:t>
      </w:r>
      <w:r>
        <w:rPr>
          <w:rFonts w:hint="eastAsia" w:ascii="仿宋_GB2312" w:eastAsia="仿宋_GB2312" w:hAnsiTheme="minorEastAsia"/>
          <w:sz w:val="32"/>
          <w:szCs w:val="32"/>
        </w:rPr>
        <w:t>202</w:t>
      </w:r>
      <w:r>
        <w:rPr>
          <w:rFonts w:hint="eastAsia" w:ascii="仿宋_GB2312" w:eastAsia="仿宋_GB2312" w:hAnsiTheme="minorEastAsia"/>
          <w:sz w:val="32"/>
          <w:szCs w:val="32"/>
          <w:lang w:val="en-US" w:eastAsia="zh-CN"/>
        </w:rPr>
        <w:t>1</w:t>
      </w:r>
      <w:r>
        <w:rPr>
          <w:rFonts w:hint="eastAsia" w:ascii="仿宋_GB2312" w:eastAsia="仿宋_GB2312" w:hAnsiTheme="minorEastAsia"/>
          <w:sz w:val="32"/>
          <w:szCs w:val="32"/>
        </w:rPr>
        <w:t>年</w:t>
      </w:r>
      <w:r>
        <w:rPr>
          <w:rFonts w:hint="eastAsia" w:ascii="仿宋_GB2312" w:eastAsia="仿宋_GB2312" w:hAnsiTheme="minorEastAsia"/>
          <w:sz w:val="32"/>
          <w:szCs w:val="32"/>
          <w:lang w:eastAsia="zh-CN"/>
        </w:rPr>
        <w:t>上级下达</w:t>
      </w:r>
      <w:r>
        <w:rPr>
          <w:rFonts w:hint="eastAsia" w:ascii="仿宋_GB2312" w:eastAsia="仿宋_GB2312" w:hAnsiTheme="minorEastAsia"/>
          <w:sz w:val="32"/>
          <w:szCs w:val="32"/>
          <w:lang w:val="en-US" w:eastAsia="zh-CN"/>
        </w:rPr>
        <w:t>化解国有企业退休人员补贴12万元，支出2万元，结余10万元</w:t>
      </w:r>
      <w:r>
        <w:rPr>
          <w:rFonts w:hint="eastAsia" w:ascii="仿宋_GB2312" w:eastAsia="仿宋_GB2312" w:hAnsiTheme="minorEastAsia"/>
          <w:sz w:val="32"/>
          <w:szCs w:val="32"/>
        </w:rPr>
        <w:t>。</w:t>
      </w:r>
    </w:p>
    <w:p w14:paraId="31952034">
      <w:pPr>
        <w:pStyle w:val="9"/>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600" w:lineRule="atLeast"/>
        <w:ind w:left="0" w:firstLine="640" w:firstLineChars="200"/>
        <w:jc w:val="both"/>
        <w:textAlignment w:val="auto"/>
        <w:rPr>
          <w:rFonts w:hint="eastAsia" w:ascii="仿宋_GB2312" w:eastAsia="仿宋_GB2312" w:hAnsiTheme="minorEastAsia"/>
          <w:sz w:val="32"/>
          <w:szCs w:val="32"/>
        </w:rPr>
      </w:pPr>
      <w:r>
        <w:rPr>
          <w:rFonts w:hint="eastAsia" w:ascii="仿宋_GB2312" w:eastAsia="仿宋_GB2312" w:hAnsiTheme="minorEastAsia"/>
          <w:sz w:val="32"/>
          <w:szCs w:val="32"/>
          <w:lang w:eastAsia="zh-CN"/>
        </w:rPr>
        <w:t>（</w:t>
      </w:r>
      <w:r>
        <w:rPr>
          <w:rFonts w:hint="eastAsia" w:ascii="仿宋_GB2312" w:eastAsia="仿宋_GB2312" w:hAnsiTheme="minorEastAsia"/>
          <w:sz w:val="32"/>
          <w:szCs w:val="32"/>
          <w:lang w:val="en-US" w:eastAsia="zh-CN"/>
        </w:rPr>
        <w:t>4）</w:t>
      </w:r>
      <w:r>
        <w:rPr>
          <w:rFonts w:hint="eastAsia" w:ascii="仿宋_GB2312" w:eastAsia="仿宋_GB2312" w:hAnsiTheme="minorEastAsia"/>
          <w:sz w:val="32"/>
          <w:szCs w:val="32"/>
        </w:rPr>
        <w:t>社会保险基金预算完成情况</w:t>
      </w:r>
      <w:r>
        <w:rPr>
          <w:rFonts w:hint="eastAsia" w:ascii="仿宋_GB2312" w:eastAsia="仿宋_GB2312" w:hAnsiTheme="minorEastAsia"/>
          <w:sz w:val="32"/>
          <w:szCs w:val="32"/>
          <w:lang w:eastAsia="zh-CN"/>
        </w:rPr>
        <w:t>：</w:t>
      </w:r>
      <w:r>
        <w:rPr>
          <w:rFonts w:hint="eastAsia" w:ascii="仿宋_GB2312" w:eastAsia="仿宋_GB2312" w:hAnsiTheme="minorEastAsia"/>
          <w:sz w:val="32"/>
          <w:szCs w:val="32"/>
        </w:rPr>
        <w:t>收入累计完成</w:t>
      </w:r>
      <w:r>
        <w:rPr>
          <w:rFonts w:hint="eastAsia" w:ascii="仿宋_GB2312" w:eastAsia="仿宋_GB2312" w:hAnsiTheme="minorEastAsia"/>
          <w:sz w:val="32"/>
          <w:szCs w:val="32"/>
          <w:lang w:val="en-US" w:eastAsia="zh-CN"/>
        </w:rPr>
        <w:t>32887</w:t>
      </w:r>
      <w:r>
        <w:rPr>
          <w:rFonts w:hint="eastAsia" w:ascii="仿宋_GB2312" w:eastAsia="仿宋_GB2312" w:hAnsiTheme="minorEastAsia"/>
          <w:sz w:val="32"/>
          <w:szCs w:val="32"/>
        </w:rPr>
        <w:t>万元，增长</w:t>
      </w:r>
      <w:r>
        <w:rPr>
          <w:rFonts w:hint="eastAsia" w:ascii="仿宋_GB2312" w:eastAsia="仿宋_GB2312" w:hAnsiTheme="minorEastAsia"/>
          <w:sz w:val="32"/>
          <w:szCs w:val="32"/>
          <w:lang w:val="en-US" w:eastAsia="zh-CN"/>
        </w:rPr>
        <w:t>5.9</w:t>
      </w:r>
      <w:r>
        <w:rPr>
          <w:rFonts w:hint="eastAsia" w:ascii="仿宋_GB2312" w:eastAsia="仿宋_GB2312" w:hAnsiTheme="minorEastAsia"/>
          <w:sz w:val="32"/>
          <w:szCs w:val="32"/>
        </w:rPr>
        <w:t>%。支出完成</w:t>
      </w:r>
      <w:r>
        <w:rPr>
          <w:rFonts w:hint="eastAsia" w:ascii="仿宋_GB2312" w:eastAsia="仿宋_GB2312" w:hAnsiTheme="minorEastAsia"/>
          <w:sz w:val="32"/>
          <w:szCs w:val="32"/>
          <w:lang w:val="en-US" w:eastAsia="zh-CN"/>
        </w:rPr>
        <w:t>34527</w:t>
      </w:r>
      <w:r>
        <w:rPr>
          <w:rFonts w:hint="eastAsia" w:ascii="仿宋_GB2312" w:eastAsia="仿宋_GB2312" w:hAnsiTheme="minorEastAsia"/>
          <w:sz w:val="32"/>
          <w:szCs w:val="32"/>
        </w:rPr>
        <w:t>万元，增长</w:t>
      </w:r>
      <w:r>
        <w:rPr>
          <w:rFonts w:hint="eastAsia" w:ascii="仿宋_GB2312" w:eastAsia="仿宋_GB2312" w:hAnsiTheme="minorEastAsia"/>
          <w:sz w:val="32"/>
          <w:szCs w:val="32"/>
          <w:lang w:val="en-US" w:eastAsia="zh-CN"/>
        </w:rPr>
        <w:t>6.9</w:t>
      </w:r>
      <w:r>
        <w:rPr>
          <w:rFonts w:hint="eastAsia" w:ascii="仿宋_GB2312" w:eastAsia="仿宋_GB2312" w:hAnsiTheme="minorEastAsia"/>
          <w:sz w:val="32"/>
          <w:szCs w:val="32"/>
        </w:rPr>
        <w:t>%。</w:t>
      </w:r>
    </w:p>
    <w:p w14:paraId="44BAE548">
      <w:pPr>
        <w:pStyle w:val="9"/>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600" w:lineRule="atLeast"/>
        <w:ind w:left="0" w:firstLine="640" w:firstLineChars="200"/>
        <w:jc w:val="both"/>
        <w:textAlignment w:val="auto"/>
        <w:rPr>
          <w:rFonts w:hint="eastAsia" w:ascii="仿宋_GB2312" w:eastAsia="仿宋_GB2312" w:hAnsiTheme="minorEastAsia"/>
          <w:sz w:val="32"/>
          <w:szCs w:val="32"/>
        </w:rPr>
      </w:pPr>
      <w:r>
        <w:rPr>
          <w:rFonts w:hint="eastAsia" w:ascii="仿宋_GB2312" w:eastAsia="仿宋_GB2312" w:hAnsiTheme="minorEastAsia"/>
          <w:sz w:val="32"/>
          <w:szCs w:val="32"/>
          <w:lang w:val="en-US" w:eastAsia="zh-CN"/>
        </w:rPr>
        <w:t>2.</w:t>
      </w:r>
      <w:r>
        <w:rPr>
          <w:rFonts w:hint="eastAsia" w:ascii="仿宋_GB2312" w:eastAsia="仿宋_GB2312" w:hAnsiTheme="minorEastAsia"/>
          <w:sz w:val="32"/>
          <w:szCs w:val="32"/>
        </w:rPr>
        <w:t>重点工作</w:t>
      </w:r>
      <w:r>
        <w:rPr>
          <w:rFonts w:hint="eastAsia" w:ascii="仿宋_GB2312" w:eastAsia="仿宋_GB2312" w:hAnsiTheme="minorEastAsia"/>
          <w:sz w:val="32"/>
          <w:szCs w:val="32"/>
          <w:lang w:eastAsia="zh-CN"/>
        </w:rPr>
        <w:t>完成</w:t>
      </w:r>
      <w:r>
        <w:rPr>
          <w:rFonts w:hint="eastAsia" w:ascii="仿宋_GB2312" w:eastAsia="仿宋_GB2312" w:hAnsiTheme="minorEastAsia"/>
          <w:sz w:val="32"/>
          <w:szCs w:val="32"/>
        </w:rPr>
        <w:t>情况</w:t>
      </w:r>
    </w:p>
    <w:p w14:paraId="64206FB2">
      <w:pPr>
        <w:pStyle w:val="9"/>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600" w:lineRule="atLeast"/>
        <w:ind w:left="0" w:firstLine="640" w:firstLineChars="200"/>
        <w:jc w:val="both"/>
        <w:textAlignment w:val="auto"/>
        <w:rPr>
          <w:rFonts w:hint="eastAsia" w:ascii="仿宋_GB2312" w:eastAsia="仿宋_GB2312" w:hAnsiTheme="minorEastAsia"/>
          <w:sz w:val="32"/>
          <w:szCs w:val="32"/>
          <w:lang w:val="en-US" w:eastAsia="zh-CN"/>
        </w:rPr>
      </w:pPr>
      <w:r>
        <w:rPr>
          <w:rFonts w:hint="eastAsia" w:ascii="仿宋_GB2312" w:eastAsia="仿宋_GB2312" w:hAnsiTheme="minorEastAsia"/>
          <w:sz w:val="32"/>
          <w:szCs w:val="32"/>
          <w:lang w:val="en-US" w:eastAsia="zh-CN"/>
        </w:rPr>
        <w:t>（1）</w:t>
      </w:r>
      <w:r>
        <w:rPr>
          <w:rFonts w:hint="eastAsia" w:ascii="仿宋_GB2312" w:eastAsia="仿宋_GB2312" w:hAnsiTheme="minorEastAsia"/>
          <w:sz w:val="32"/>
          <w:szCs w:val="32"/>
          <w:lang w:eastAsia="zh-CN"/>
        </w:rPr>
        <w:t>综合可用财力持续增强。</w:t>
      </w:r>
      <w:r>
        <w:rPr>
          <w:rFonts w:hint="eastAsia" w:ascii="仿宋_GB2312" w:eastAsia="仿宋_GB2312" w:hAnsiTheme="minorEastAsia"/>
          <w:sz w:val="32"/>
          <w:szCs w:val="32"/>
        </w:rPr>
        <w:t>一是强化收入征管</w:t>
      </w:r>
      <w:r>
        <w:rPr>
          <w:rFonts w:hint="eastAsia" w:ascii="仿宋_GB2312" w:eastAsia="仿宋_GB2312" w:hAnsiTheme="minorEastAsia"/>
          <w:sz w:val="32"/>
          <w:szCs w:val="32"/>
          <w:lang w:val="en-US" w:eastAsia="zh-CN"/>
        </w:rPr>
        <w:t>，土地增值税、房产税增幅显著。</w:t>
      </w:r>
      <w:r>
        <w:rPr>
          <w:rFonts w:hint="eastAsia" w:ascii="仿宋_GB2312" w:eastAsia="仿宋_GB2312" w:hAnsiTheme="minorEastAsia"/>
          <w:sz w:val="32"/>
          <w:szCs w:val="32"/>
        </w:rPr>
        <w:t>二是</w:t>
      </w:r>
      <w:r>
        <w:rPr>
          <w:rFonts w:hint="eastAsia" w:ascii="仿宋_GB2312" w:eastAsia="仿宋_GB2312" w:hAnsiTheme="minorEastAsia"/>
          <w:sz w:val="32"/>
          <w:szCs w:val="32"/>
          <w:lang w:eastAsia="zh-CN"/>
        </w:rPr>
        <w:t>加大</w:t>
      </w:r>
      <w:r>
        <w:rPr>
          <w:rFonts w:hint="eastAsia" w:ascii="仿宋_GB2312" w:eastAsia="仿宋_GB2312" w:hAnsiTheme="minorEastAsia"/>
          <w:sz w:val="32"/>
          <w:szCs w:val="32"/>
        </w:rPr>
        <w:t>向上争取资金</w:t>
      </w:r>
      <w:r>
        <w:rPr>
          <w:rFonts w:hint="eastAsia" w:ascii="仿宋_GB2312" w:eastAsia="仿宋_GB2312" w:hAnsiTheme="minorEastAsia"/>
          <w:sz w:val="32"/>
          <w:szCs w:val="32"/>
          <w:lang w:eastAsia="zh-CN"/>
        </w:rPr>
        <w:t>力度，</w:t>
      </w:r>
      <w:r>
        <w:rPr>
          <w:rFonts w:hint="eastAsia" w:ascii="仿宋_GB2312" w:eastAsia="仿宋_GB2312" w:hAnsiTheme="minorEastAsia"/>
          <w:sz w:val="32"/>
          <w:szCs w:val="32"/>
          <w:lang w:val="en-US" w:eastAsia="zh-CN"/>
        </w:rPr>
        <w:t>全年向上争取资金31.56亿元。</w:t>
      </w:r>
      <w:r>
        <w:rPr>
          <w:rFonts w:hint="eastAsia" w:ascii="仿宋_GB2312" w:eastAsia="仿宋_GB2312" w:hAnsiTheme="minorEastAsia"/>
          <w:sz w:val="32"/>
          <w:szCs w:val="32"/>
        </w:rPr>
        <w:t>三是盘活财政存量资金</w:t>
      </w:r>
      <w:r>
        <w:rPr>
          <w:rFonts w:hint="eastAsia" w:ascii="仿宋_GB2312" w:eastAsia="仿宋_GB2312" w:hAnsiTheme="minorEastAsia"/>
          <w:sz w:val="32"/>
          <w:szCs w:val="32"/>
          <w:lang w:val="en-US" w:eastAsia="zh-CN"/>
        </w:rPr>
        <w:t>5152万元。</w:t>
      </w:r>
    </w:p>
    <w:p w14:paraId="5ACEA99C">
      <w:pPr>
        <w:pStyle w:val="9"/>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600" w:lineRule="atLeast"/>
        <w:ind w:left="0" w:firstLine="640" w:firstLineChars="200"/>
        <w:jc w:val="both"/>
        <w:textAlignment w:val="auto"/>
        <w:rPr>
          <w:rFonts w:hint="eastAsia" w:ascii="仿宋_GB2312" w:eastAsia="仿宋_GB2312" w:hAnsiTheme="minorEastAsia"/>
          <w:sz w:val="32"/>
          <w:szCs w:val="32"/>
          <w:lang w:val="en-US" w:eastAsia="zh-CN"/>
        </w:rPr>
      </w:pPr>
      <w:r>
        <w:rPr>
          <w:rFonts w:hint="eastAsia" w:ascii="仿宋_GB2312" w:eastAsia="仿宋_GB2312" w:hAnsiTheme="minorEastAsia"/>
          <w:sz w:val="32"/>
          <w:szCs w:val="32"/>
          <w:lang w:val="en-US" w:eastAsia="zh-CN"/>
        </w:rPr>
        <w:t>（2）</w:t>
      </w:r>
      <w:r>
        <w:rPr>
          <w:rFonts w:hint="eastAsia" w:ascii="仿宋_GB2312" w:eastAsia="仿宋_GB2312" w:hAnsiTheme="minorEastAsia"/>
          <w:sz w:val="32"/>
          <w:szCs w:val="32"/>
          <w:lang w:eastAsia="zh-CN"/>
        </w:rPr>
        <w:t>民生保障水平稳步提升。</w:t>
      </w:r>
      <w:r>
        <w:rPr>
          <w:rFonts w:hint="eastAsia" w:ascii="仿宋_GB2312" w:eastAsia="仿宋_GB2312" w:hAnsiTheme="minorEastAsia"/>
          <w:sz w:val="32"/>
          <w:szCs w:val="32"/>
        </w:rPr>
        <w:t>一是</w:t>
      </w:r>
      <w:r>
        <w:rPr>
          <w:rFonts w:hint="eastAsia" w:ascii="仿宋_GB2312" w:eastAsia="仿宋_GB2312" w:hAnsiTheme="minorEastAsia"/>
          <w:sz w:val="32"/>
          <w:szCs w:val="32"/>
          <w:lang w:eastAsia="zh-CN"/>
        </w:rPr>
        <w:t>推动</w:t>
      </w:r>
      <w:r>
        <w:rPr>
          <w:rFonts w:hint="eastAsia" w:ascii="仿宋_GB2312" w:eastAsia="仿宋_GB2312" w:hAnsiTheme="minorEastAsia"/>
          <w:sz w:val="32"/>
          <w:szCs w:val="32"/>
        </w:rPr>
        <w:t>教育均衡发展</w:t>
      </w:r>
      <w:r>
        <w:rPr>
          <w:rFonts w:hint="eastAsia" w:ascii="仿宋_GB2312" w:eastAsia="仿宋_GB2312" w:hAnsiTheme="minorEastAsia"/>
          <w:sz w:val="32"/>
          <w:szCs w:val="32"/>
          <w:lang w:eastAsia="zh-CN"/>
        </w:rPr>
        <w:t>，</w:t>
      </w:r>
      <w:r>
        <w:rPr>
          <w:rFonts w:hint="eastAsia" w:ascii="仿宋_GB2312" w:eastAsia="仿宋_GB2312" w:hAnsiTheme="minorEastAsia"/>
          <w:sz w:val="32"/>
          <w:szCs w:val="32"/>
          <w:lang w:val="en-US" w:eastAsia="zh-CN"/>
        </w:rPr>
        <w:t>加大教育基本建设投入，全年教育支出累计完成61973万元。</w:t>
      </w:r>
      <w:r>
        <w:rPr>
          <w:rFonts w:hint="eastAsia" w:ascii="仿宋_GB2312" w:eastAsia="仿宋_GB2312" w:hAnsiTheme="minorEastAsia"/>
          <w:sz w:val="32"/>
          <w:szCs w:val="32"/>
        </w:rPr>
        <w:t>二是</w:t>
      </w:r>
      <w:r>
        <w:rPr>
          <w:rFonts w:hint="eastAsia" w:ascii="仿宋_GB2312" w:eastAsia="仿宋_GB2312" w:hAnsiTheme="minorEastAsia"/>
          <w:sz w:val="32"/>
          <w:szCs w:val="32"/>
          <w:lang w:eastAsia="zh-CN"/>
        </w:rPr>
        <w:t>不断提升</w:t>
      </w:r>
      <w:r>
        <w:rPr>
          <w:rFonts w:hint="eastAsia" w:ascii="仿宋_GB2312" w:eastAsia="仿宋_GB2312" w:hAnsiTheme="minorEastAsia"/>
          <w:sz w:val="32"/>
          <w:szCs w:val="32"/>
        </w:rPr>
        <w:t>公共卫生</w:t>
      </w:r>
      <w:r>
        <w:rPr>
          <w:rFonts w:hint="eastAsia" w:ascii="仿宋_GB2312" w:eastAsia="仿宋_GB2312" w:hAnsiTheme="minorEastAsia"/>
          <w:sz w:val="32"/>
          <w:szCs w:val="32"/>
          <w:lang w:eastAsia="zh-CN"/>
        </w:rPr>
        <w:t>服务水平</w:t>
      </w:r>
      <w:r>
        <w:rPr>
          <w:rFonts w:hint="eastAsia" w:ascii="仿宋_GB2312" w:eastAsia="仿宋_GB2312" w:hAnsiTheme="minorEastAsia"/>
          <w:sz w:val="32"/>
          <w:szCs w:val="32"/>
        </w:rPr>
        <w:t>。</w:t>
      </w:r>
      <w:r>
        <w:rPr>
          <w:rFonts w:hint="eastAsia" w:ascii="仿宋_GB2312" w:eastAsia="仿宋_GB2312" w:hAnsiTheme="minorEastAsia"/>
          <w:sz w:val="32"/>
          <w:szCs w:val="32"/>
          <w:lang w:val="en-US" w:eastAsia="zh-CN"/>
        </w:rPr>
        <w:t>投入资金16172万元（含抗疫特别国债资金2817.63万元），全力保障疫情防控需要；县级投入5287.5万元，将城乡居民基本医疗保险政府补助标准由原来的每人每年550元提高到600元；县级投入831万元，将基本公共卫生服务经费政府补助标准从年人均74元提高到79元。</w:t>
      </w:r>
      <w:r>
        <w:rPr>
          <w:rFonts w:hint="eastAsia" w:ascii="仿宋_GB2312" w:eastAsia="仿宋_GB2312" w:hAnsiTheme="minorEastAsia"/>
          <w:sz w:val="32"/>
          <w:szCs w:val="32"/>
        </w:rPr>
        <w:t>三是</w:t>
      </w:r>
      <w:r>
        <w:rPr>
          <w:rFonts w:hint="eastAsia" w:ascii="仿宋_GB2312" w:eastAsia="仿宋_GB2312" w:hAnsiTheme="minorEastAsia"/>
          <w:sz w:val="32"/>
          <w:szCs w:val="32"/>
          <w:lang w:eastAsia="zh-CN"/>
        </w:rPr>
        <w:t>健全</w:t>
      </w:r>
      <w:r>
        <w:rPr>
          <w:rFonts w:hint="eastAsia" w:ascii="仿宋_GB2312" w:eastAsia="仿宋_GB2312" w:hAnsiTheme="minorEastAsia"/>
          <w:sz w:val="32"/>
          <w:szCs w:val="32"/>
        </w:rPr>
        <w:t>社会保障体系</w:t>
      </w:r>
      <w:r>
        <w:rPr>
          <w:rFonts w:hint="eastAsia" w:ascii="仿宋_GB2312" w:eastAsia="仿宋_GB2312" w:hAnsiTheme="minorEastAsia"/>
          <w:sz w:val="32"/>
          <w:szCs w:val="32"/>
          <w:lang w:eastAsia="zh-CN"/>
        </w:rPr>
        <w:t>，保障</w:t>
      </w:r>
      <w:r>
        <w:rPr>
          <w:rFonts w:hint="eastAsia" w:ascii="仿宋_GB2312" w:eastAsia="仿宋_GB2312" w:hAnsiTheme="minorEastAsia"/>
          <w:sz w:val="32"/>
          <w:szCs w:val="32"/>
          <w:lang w:val="en-US" w:eastAsia="zh-CN"/>
        </w:rPr>
        <w:t>机关事业单位、城乡居民基本养老保险金足额支付，保障各项社会福利救助，加大就业支持力度。</w:t>
      </w:r>
      <w:r>
        <w:rPr>
          <w:rFonts w:hint="eastAsia" w:ascii="仿宋_GB2312" w:eastAsia="仿宋_GB2312" w:hAnsiTheme="minorEastAsia"/>
          <w:sz w:val="32"/>
          <w:szCs w:val="32"/>
        </w:rPr>
        <w:t>四是</w:t>
      </w:r>
      <w:r>
        <w:rPr>
          <w:rFonts w:hint="eastAsia" w:ascii="仿宋_GB2312" w:eastAsia="仿宋_GB2312" w:hAnsiTheme="minorEastAsia"/>
          <w:sz w:val="32"/>
          <w:szCs w:val="32"/>
          <w:lang w:eastAsia="zh-CN"/>
        </w:rPr>
        <w:t>积极推动</w:t>
      </w:r>
      <w:r>
        <w:rPr>
          <w:rFonts w:hint="eastAsia" w:ascii="仿宋_GB2312" w:eastAsia="仿宋_GB2312" w:hAnsiTheme="minorEastAsia"/>
          <w:sz w:val="32"/>
          <w:szCs w:val="32"/>
        </w:rPr>
        <w:t>文化社会事业发展</w:t>
      </w:r>
      <w:r>
        <w:rPr>
          <w:rFonts w:hint="eastAsia" w:ascii="仿宋_GB2312" w:eastAsia="仿宋_GB2312" w:hAnsiTheme="minorEastAsia"/>
          <w:sz w:val="32"/>
          <w:szCs w:val="32"/>
          <w:lang w:eastAsia="zh-CN"/>
        </w:rPr>
        <w:t>，</w:t>
      </w:r>
      <w:r>
        <w:rPr>
          <w:rFonts w:hint="eastAsia" w:ascii="仿宋_GB2312" w:eastAsia="仿宋_GB2312" w:hAnsiTheme="minorEastAsia"/>
          <w:sz w:val="32"/>
          <w:szCs w:val="32"/>
          <w:lang w:val="en-US" w:eastAsia="zh-CN"/>
        </w:rPr>
        <w:t>投入资金2803万元，支持文化惠民工程。</w:t>
      </w:r>
      <w:r>
        <w:rPr>
          <w:rFonts w:hint="eastAsia" w:ascii="仿宋_GB2312" w:eastAsia="仿宋_GB2312" w:hAnsiTheme="minorEastAsia"/>
          <w:sz w:val="32"/>
          <w:szCs w:val="32"/>
        </w:rPr>
        <w:t>五是夯实城乡基础设施</w:t>
      </w:r>
      <w:r>
        <w:rPr>
          <w:rFonts w:hint="eastAsia" w:ascii="仿宋_GB2312" w:eastAsia="仿宋_GB2312" w:hAnsiTheme="minorEastAsia"/>
          <w:sz w:val="32"/>
          <w:szCs w:val="32"/>
          <w:lang w:eastAsia="zh-CN"/>
        </w:rPr>
        <w:t>建设</w:t>
      </w:r>
      <w:r>
        <w:rPr>
          <w:rFonts w:hint="eastAsia" w:ascii="仿宋_GB2312" w:eastAsia="仿宋_GB2312" w:hAnsiTheme="minorEastAsia"/>
          <w:sz w:val="32"/>
          <w:szCs w:val="32"/>
        </w:rPr>
        <w:t>。</w:t>
      </w:r>
      <w:r>
        <w:rPr>
          <w:rFonts w:hint="eastAsia" w:ascii="仿宋_GB2312" w:eastAsia="仿宋_GB2312" w:hAnsiTheme="minorEastAsia"/>
          <w:sz w:val="32"/>
          <w:szCs w:val="32"/>
          <w:lang w:val="en-US" w:eastAsia="zh-CN"/>
        </w:rPr>
        <w:t>积极筹措资金6927万元，支持我县重大基础设施建设。</w:t>
      </w:r>
      <w:r>
        <w:rPr>
          <w:rFonts w:hint="eastAsia" w:ascii="仿宋_GB2312" w:eastAsia="仿宋_GB2312" w:hAnsiTheme="minorEastAsia"/>
          <w:sz w:val="32"/>
          <w:szCs w:val="32"/>
          <w:lang w:eastAsia="zh-CN"/>
        </w:rPr>
        <w:t>六是落实强农惠农政策</w:t>
      </w:r>
      <w:r>
        <w:rPr>
          <w:rFonts w:hint="eastAsia" w:ascii="仿宋_GB2312" w:eastAsia="仿宋_GB2312" w:hAnsiTheme="minorEastAsia"/>
          <w:sz w:val="32"/>
          <w:szCs w:val="32"/>
          <w:lang w:val="en-US" w:eastAsia="zh-CN"/>
        </w:rPr>
        <w:t>，提高农民保障水平。</w:t>
      </w:r>
    </w:p>
    <w:p w14:paraId="4F31D214">
      <w:pPr>
        <w:pStyle w:val="9"/>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600" w:lineRule="atLeast"/>
        <w:ind w:left="0" w:firstLine="640" w:firstLineChars="200"/>
        <w:jc w:val="both"/>
        <w:textAlignment w:val="auto"/>
        <w:rPr>
          <w:rFonts w:hint="eastAsia" w:ascii="仿宋_GB2312" w:eastAsia="仿宋_GB2312" w:hAnsiTheme="minorEastAsia"/>
          <w:sz w:val="32"/>
          <w:szCs w:val="32"/>
          <w:lang w:val="en-US" w:eastAsia="zh-CN"/>
        </w:rPr>
      </w:pPr>
      <w:r>
        <w:rPr>
          <w:rFonts w:hint="eastAsia" w:ascii="仿宋_GB2312" w:eastAsia="仿宋_GB2312" w:hAnsiTheme="minorEastAsia"/>
          <w:sz w:val="32"/>
          <w:szCs w:val="32"/>
          <w:lang w:val="en-US" w:eastAsia="zh-CN"/>
        </w:rPr>
        <w:t>（3）</w:t>
      </w:r>
      <w:r>
        <w:rPr>
          <w:rFonts w:hint="eastAsia" w:ascii="仿宋_GB2312" w:eastAsia="仿宋_GB2312" w:hAnsiTheme="minorEastAsia"/>
          <w:sz w:val="32"/>
          <w:szCs w:val="32"/>
          <w:lang w:eastAsia="zh-CN"/>
        </w:rPr>
        <w:t>支持大事要事有力有效。</w:t>
      </w:r>
      <w:r>
        <w:rPr>
          <w:rFonts w:hint="eastAsia" w:ascii="仿宋_GB2312" w:eastAsia="仿宋_GB2312" w:hAnsiTheme="minorEastAsia"/>
          <w:sz w:val="32"/>
          <w:szCs w:val="32"/>
        </w:rPr>
        <w:t>一是防范化解重大风险</w:t>
      </w:r>
      <w:r>
        <w:rPr>
          <w:rFonts w:hint="eastAsia" w:ascii="仿宋_GB2312" w:eastAsia="仿宋_GB2312" w:hAnsiTheme="minorEastAsia"/>
          <w:sz w:val="32"/>
          <w:szCs w:val="32"/>
          <w:lang w:val="en-US" w:eastAsia="zh-CN"/>
        </w:rPr>
        <w:t>，</w:t>
      </w:r>
      <w:r>
        <w:rPr>
          <w:rFonts w:hint="eastAsia" w:ascii="仿宋_GB2312" w:eastAsia="仿宋_GB2312" w:hAnsiTheme="minorEastAsia"/>
          <w:sz w:val="32"/>
          <w:szCs w:val="32"/>
          <w:lang w:val="en" w:eastAsia="zh-CN"/>
        </w:rPr>
        <w:t>隐性债务化解率达到100%。</w:t>
      </w:r>
      <w:r>
        <w:rPr>
          <w:rFonts w:hint="eastAsia" w:ascii="仿宋_GB2312" w:eastAsia="仿宋_GB2312" w:hAnsiTheme="minorEastAsia"/>
          <w:sz w:val="32"/>
          <w:szCs w:val="32"/>
        </w:rPr>
        <w:t>二是大力支持脱贫攻坚</w:t>
      </w:r>
      <w:r>
        <w:rPr>
          <w:rFonts w:hint="eastAsia" w:ascii="仿宋_GB2312" w:eastAsia="仿宋_GB2312" w:hAnsiTheme="minorEastAsia"/>
          <w:sz w:val="32"/>
          <w:szCs w:val="32"/>
          <w:lang w:eastAsia="zh-CN"/>
        </w:rPr>
        <w:t>成果与乡村振兴有效衔接，</w:t>
      </w:r>
      <w:r>
        <w:rPr>
          <w:rFonts w:hint="eastAsia" w:ascii="仿宋_GB2312" w:eastAsia="仿宋_GB2312" w:hAnsiTheme="minorEastAsia"/>
          <w:sz w:val="32"/>
          <w:szCs w:val="32"/>
          <w:lang w:val="en-US" w:eastAsia="zh-CN"/>
        </w:rPr>
        <w:t>安排各级财政衔接推进乡村振兴补助资金5947万元，其中县本级资金投入4500万元，同比增加400万元。</w:t>
      </w:r>
      <w:r>
        <w:rPr>
          <w:rFonts w:hint="eastAsia" w:ascii="仿宋_GB2312" w:eastAsia="仿宋_GB2312" w:hAnsiTheme="minorEastAsia"/>
          <w:sz w:val="32"/>
          <w:szCs w:val="32"/>
        </w:rPr>
        <w:t>三是</w:t>
      </w:r>
      <w:r>
        <w:rPr>
          <w:rFonts w:hint="eastAsia" w:ascii="仿宋_GB2312" w:eastAsia="仿宋_GB2312" w:hAnsiTheme="minorEastAsia"/>
          <w:sz w:val="32"/>
          <w:szCs w:val="32"/>
          <w:lang w:val="en-US" w:eastAsia="zh-CN"/>
        </w:rPr>
        <w:t>投入环保资金26184万元，</w:t>
      </w:r>
      <w:r>
        <w:rPr>
          <w:rFonts w:hint="eastAsia" w:ascii="仿宋_GB2312" w:eastAsia="仿宋_GB2312" w:hAnsiTheme="minorEastAsia"/>
          <w:sz w:val="32"/>
          <w:szCs w:val="32"/>
        </w:rPr>
        <w:t>支持打赢污染防治攻坚战。</w:t>
      </w:r>
    </w:p>
    <w:p w14:paraId="6C1D5870">
      <w:pPr>
        <w:pStyle w:val="9"/>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600" w:lineRule="atLeast"/>
        <w:ind w:left="0" w:firstLine="640" w:firstLineChars="200"/>
        <w:jc w:val="both"/>
        <w:textAlignment w:val="auto"/>
        <w:rPr>
          <w:rFonts w:hint="eastAsia" w:ascii="仿宋_GB2312" w:eastAsia="仿宋_GB2312" w:hAnsiTheme="minorEastAsia"/>
          <w:sz w:val="32"/>
          <w:szCs w:val="32"/>
          <w:lang w:val="en-US" w:eastAsia="zh-CN"/>
        </w:rPr>
      </w:pPr>
      <w:r>
        <w:rPr>
          <w:rFonts w:hint="eastAsia" w:ascii="仿宋_GB2312" w:eastAsia="仿宋_GB2312" w:hAnsiTheme="minorEastAsia"/>
          <w:sz w:val="32"/>
          <w:szCs w:val="32"/>
          <w:lang w:val="en-US" w:eastAsia="zh-CN"/>
        </w:rPr>
        <w:t>（4）</w:t>
      </w:r>
      <w:r>
        <w:rPr>
          <w:rFonts w:hint="eastAsia" w:ascii="仿宋_GB2312" w:eastAsia="仿宋_GB2312" w:hAnsiTheme="minorEastAsia"/>
          <w:sz w:val="32"/>
          <w:szCs w:val="32"/>
          <w:lang w:eastAsia="zh-CN"/>
        </w:rPr>
        <w:t>积极财政政策全面落实。</w:t>
      </w:r>
      <w:r>
        <w:rPr>
          <w:rFonts w:hint="eastAsia" w:ascii="仿宋_GB2312" w:eastAsia="仿宋_GB2312" w:hAnsiTheme="minorEastAsia"/>
          <w:sz w:val="32"/>
          <w:szCs w:val="32"/>
        </w:rPr>
        <w:t>一是落实减税降费政策</w:t>
      </w:r>
      <w:r>
        <w:rPr>
          <w:rFonts w:hint="eastAsia" w:ascii="仿宋_GB2312" w:eastAsia="仿宋_GB2312" w:hAnsiTheme="minorEastAsia"/>
          <w:sz w:val="32"/>
          <w:szCs w:val="32"/>
          <w:lang w:val="en-US" w:eastAsia="zh-CN"/>
        </w:rPr>
        <w:t>，全年减税降费3.62亿元。</w:t>
      </w:r>
      <w:r>
        <w:rPr>
          <w:rFonts w:hint="eastAsia" w:ascii="仿宋_GB2312" w:eastAsia="仿宋_GB2312" w:hAnsiTheme="minorEastAsia"/>
          <w:sz w:val="32"/>
          <w:szCs w:val="32"/>
        </w:rPr>
        <w:t>二是兑现各类惠企政策。三是优化营商环境。</w:t>
      </w:r>
      <w:r>
        <w:rPr>
          <w:rFonts w:hint="eastAsia" w:ascii="仿宋_GB2312" w:eastAsia="仿宋_GB2312" w:hAnsiTheme="minorEastAsia"/>
          <w:sz w:val="32"/>
          <w:szCs w:val="32"/>
          <w:lang w:val="en-US" w:eastAsia="zh-CN"/>
        </w:rPr>
        <w:t>争取129400万元专项债券资金用于支持基础设施建设；实施“三乱”整治专项行动，切实维护市场主体合法权益，促进全县经济社会健康发展。</w:t>
      </w:r>
    </w:p>
    <w:p w14:paraId="64A22836">
      <w:pPr>
        <w:pStyle w:val="9"/>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600" w:lineRule="atLeast"/>
        <w:ind w:left="0" w:firstLine="640" w:firstLineChars="200"/>
        <w:jc w:val="both"/>
        <w:textAlignment w:val="auto"/>
        <w:rPr>
          <w:rFonts w:hint="eastAsia" w:ascii="仿宋_GB2312" w:eastAsia="仿宋_GB2312" w:hAnsiTheme="minorEastAsia"/>
          <w:sz w:val="32"/>
          <w:szCs w:val="32"/>
          <w:lang w:val="en-US" w:eastAsia="zh-CN"/>
        </w:rPr>
      </w:pPr>
      <w:r>
        <w:rPr>
          <w:rFonts w:hint="eastAsia" w:ascii="仿宋_GB2312" w:eastAsia="仿宋_GB2312" w:hAnsiTheme="minorEastAsia"/>
          <w:sz w:val="32"/>
          <w:szCs w:val="32"/>
          <w:lang w:val="en-US" w:eastAsia="zh-CN"/>
        </w:rPr>
        <w:t>（5）财政管理水平持续提升。深入推进预算绩效管理改革，全年共计开展事前绩效评估196项，通过148项，涉及资金19.8亿元，其中债券资金10.1亿元。筛选了13个社会关注度高的项目进行重点绩效评价，评价金额1182万元。</w:t>
      </w:r>
    </w:p>
    <w:p w14:paraId="2579D5E4">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（三）实施履职活动产生的效果或服务对象满意程度。</w:t>
      </w:r>
    </w:p>
    <w:p w14:paraId="58BE32B9">
      <w:pPr>
        <w:pStyle w:val="9"/>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600" w:lineRule="atLeast"/>
        <w:ind w:left="0" w:firstLine="640" w:firstLineChars="200"/>
        <w:jc w:val="both"/>
        <w:textAlignment w:val="auto"/>
        <w:rPr>
          <w:rFonts w:hint="eastAsia" w:ascii="仿宋_GB2312" w:eastAsia="仿宋_GB2312" w:hAnsiTheme="minorEastAsia"/>
          <w:sz w:val="32"/>
          <w:szCs w:val="32"/>
          <w:lang w:val="en-US" w:eastAsia="zh-CN"/>
        </w:rPr>
      </w:pPr>
      <w:r>
        <w:rPr>
          <w:rFonts w:hint="eastAsia" w:ascii="仿宋_GB2312" w:eastAsia="仿宋_GB2312" w:hAnsiTheme="minorEastAsia"/>
          <w:sz w:val="32"/>
          <w:szCs w:val="32"/>
          <w:lang w:val="en-US" w:eastAsia="zh-CN"/>
        </w:rPr>
        <w:t>1.财政工作综合考评连续五年被评为“全省优秀财政局”；政府债务管理评价连续四年获评全省债务管理优秀县；部门决算工作连续四年被评为全省先进县；成功申报涉农资金统筹整合县级示范县，获得奖补资金1000万元。</w:t>
      </w:r>
    </w:p>
    <w:p w14:paraId="62BD3259">
      <w:pPr>
        <w:pStyle w:val="9"/>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600" w:lineRule="atLeast"/>
        <w:ind w:left="0" w:firstLine="640" w:firstLineChars="200"/>
        <w:jc w:val="both"/>
        <w:textAlignment w:val="auto"/>
        <w:rPr>
          <w:rFonts w:hint="eastAsia" w:ascii="仿宋_GB2312" w:eastAsia="仿宋_GB2312" w:hAnsiTheme="minorEastAsia"/>
          <w:sz w:val="32"/>
          <w:szCs w:val="32"/>
          <w:lang w:val="en-US" w:eastAsia="zh-CN"/>
        </w:rPr>
      </w:pPr>
      <w:r>
        <w:rPr>
          <w:rFonts w:hint="eastAsia" w:ascii="仿宋_GB2312" w:eastAsia="仿宋_GB2312" w:hAnsiTheme="minorEastAsia"/>
          <w:sz w:val="32"/>
          <w:szCs w:val="32"/>
          <w:lang w:val="en-US" w:eastAsia="zh-CN"/>
        </w:rPr>
        <w:t>2.政府采购和投资评审提质增效。强化政府采购监管，完成采购预算28849.10万元，实际采购27730.44万元，节约资金1118.67万元，节支率达到3.88%。投资评审全年共完成审核建设项目71个,项目预算送审金额79993.28万元，审定金额74144.77万元，审减金额5848.51万元，综合审减率为7.31%。</w:t>
      </w:r>
    </w:p>
    <w:p w14:paraId="287C07FC">
      <w:pPr>
        <w:pStyle w:val="20"/>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textAlignment w:val="auto"/>
        <w:rPr>
          <w:rFonts w:ascii="黑体" w:hAnsi="黑体" w:eastAsia="黑体" w:cs="仿宋"/>
          <w:sz w:val="32"/>
          <w:szCs w:val="32"/>
        </w:rPr>
      </w:pPr>
      <w:r>
        <w:rPr>
          <w:rFonts w:hint="eastAsia" w:ascii="黑体" w:hAnsi="黑体" w:eastAsia="黑体" w:cs="仿宋"/>
          <w:sz w:val="32"/>
          <w:szCs w:val="32"/>
          <w:lang w:eastAsia="zh-CN"/>
        </w:rPr>
        <w:t>三、</w:t>
      </w:r>
      <w:r>
        <w:rPr>
          <w:rFonts w:hint="eastAsia" w:ascii="黑体" w:hAnsi="黑体" w:eastAsia="黑体" w:cs="仿宋"/>
          <w:sz w:val="32"/>
          <w:szCs w:val="32"/>
        </w:rPr>
        <w:t>绩效评价的组织实施情况</w:t>
      </w:r>
    </w:p>
    <w:p w14:paraId="0B18ACCB">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（一）评价对象绩效目标。</w:t>
      </w:r>
    </w:p>
    <w:p w14:paraId="1C22DA7A">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1.保证财政预算按计划执行。保证一般公共预算、政府性基金预算、国有资本经营预算、社会保险基金预算按计划执行。</w:t>
      </w:r>
    </w:p>
    <w:p w14:paraId="51FEE54B">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2.保障财政各项重点工作按期完成。保障综合可用财力持续增强，民生保障水平稳步提升，推进积极财政政策全面落实，财政管理水平持续提升。</w:t>
      </w:r>
    </w:p>
    <w:p w14:paraId="5598C8F8">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（二）绩效指标。</w:t>
      </w:r>
    </w:p>
    <w:p w14:paraId="35A4EE97">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1.产出指标：</w:t>
      </w:r>
    </w:p>
    <w:p w14:paraId="4B7A74D0">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数量指标：项目完成率（项目完成情况）≥80%</w:t>
      </w:r>
    </w:p>
    <w:p w14:paraId="748533B5">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质量指标：年度网络可用性（网络故障次数）≤6次</w:t>
      </w:r>
    </w:p>
    <w:p w14:paraId="3934D27D">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成本指标：按期完成率（工作按时间节点完成情况）≥95%</w:t>
      </w:r>
    </w:p>
    <w:p w14:paraId="1AEDD0C2">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时效指标：经费支出（经费支出占调整预算百分比）≤100%</w:t>
      </w:r>
    </w:p>
    <w:p w14:paraId="25D5E044">
      <w:pPr>
        <w:keepNext w:val="0"/>
        <w:keepLines w:val="0"/>
        <w:pageBreakBefore w:val="0"/>
        <w:widowControl w:val="0"/>
        <w:numPr>
          <w:ilvl w:val="0"/>
          <w:numId w:val="0"/>
        </w:numPr>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2.效益指标</w:t>
      </w:r>
    </w:p>
    <w:p w14:paraId="3D8B0506">
      <w:pPr>
        <w:keepNext w:val="0"/>
        <w:keepLines w:val="0"/>
        <w:pageBreakBefore w:val="0"/>
        <w:widowControl w:val="0"/>
        <w:numPr>
          <w:ilvl w:val="0"/>
          <w:numId w:val="0"/>
        </w:numPr>
        <w:kinsoku/>
        <w:wordWrap/>
        <w:overflowPunct/>
        <w:topLinePunct w:val="0"/>
        <w:autoSpaceDE/>
        <w:autoSpaceDN/>
        <w:bidi w:val="0"/>
        <w:adjustRightInd w:val="0"/>
        <w:snapToGrid/>
        <w:ind w:left="0"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经济效益指标：财政收入增长率（全年财政收入增长率）≥4.2%</w:t>
      </w:r>
    </w:p>
    <w:p w14:paraId="77D0672E">
      <w:pPr>
        <w:keepNext w:val="0"/>
        <w:keepLines w:val="0"/>
        <w:pageBreakBefore w:val="0"/>
        <w:widowControl w:val="0"/>
        <w:numPr>
          <w:ilvl w:val="0"/>
          <w:numId w:val="0"/>
        </w:numPr>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3.满意度指标：</w:t>
      </w:r>
    </w:p>
    <w:p w14:paraId="6419E1A6">
      <w:pPr>
        <w:keepNext w:val="0"/>
        <w:keepLines w:val="0"/>
        <w:pageBreakBefore w:val="0"/>
        <w:widowControl w:val="0"/>
        <w:numPr>
          <w:ilvl w:val="0"/>
          <w:numId w:val="0"/>
        </w:numPr>
        <w:kinsoku/>
        <w:wordWrap/>
        <w:overflowPunct/>
        <w:topLinePunct w:val="0"/>
        <w:autoSpaceDE/>
        <w:autoSpaceDN/>
        <w:bidi w:val="0"/>
        <w:adjustRightInd w:val="0"/>
        <w:snapToGrid/>
        <w:ind w:left="0"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服务对象满意度：服务对象满意度≥90%</w:t>
      </w:r>
    </w:p>
    <w:p w14:paraId="464355B3">
      <w:pPr>
        <w:keepNext w:val="0"/>
        <w:keepLines w:val="0"/>
        <w:pageBreakBefore w:val="0"/>
        <w:widowControl w:val="0"/>
        <w:kinsoku/>
        <w:wordWrap/>
        <w:overflowPunct/>
        <w:topLinePunct w:val="0"/>
        <w:autoSpaceDE/>
        <w:autoSpaceDN/>
        <w:bidi w:val="0"/>
        <w:adjustRightInd w:val="0"/>
        <w:snapToGrid/>
        <w:ind w:left="0"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（三）评价标准和评价方法。</w:t>
      </w:r>
    </w:p>
    <w:p w14:paraId="6CA4C03B">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1.评价标准：</w:t>
      </w:r>
    </w:p>
    <w:p w14:paraId="6E838F39">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依据所设置的定量和定性指标对项目绩效进行评价计分（百分制），根据评分结果评为优秀（90-100分）、良好（80-89分）、合格（60-79分）、不合格（60分以下）四个级别。</w:t>
      </w:r>
    </w:p>
    <w:p w14:paraId="6F0BBD12">
      <w:pPr>
        <w:pStyle w:val="9"/>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600" w:lineRule="atLeast"/>
        <w:ind w:left="0"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2.评价方法：</w:t>
      </w:r>
    </w:p>
    <w:p w14:paraId="123083E9">
      <w:pPr>
        <w:pStyle w:val="9"/>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600" w:lineRule="atLeast"/>
        <w:ind w:left="0" w:firstLine="640" w:firstLineChars="200"/>
        <w:jc w:val="both"/>
        <w:textAlignment w:val="auto"/>
        <w:rPr>
          <w:rFonts w:hint="eastAsia" w:ascii="仿宋_GB2312" w:eastAsia="仿宋_GB2312" w:hAnsiTheme="minorEastAsia"/>
          <w:sz w:val="32"/>
          <w:szCs w:val="32"/>
        </w:rPr>
      </w:pPr>
      <w:r>
        <w:rPr>
          <w:rFonts w:hint="eastAsia" w:ascii="仿宋" w:hAnsi="仿宋" w:eastAsia="仿宋" w:cs="仿宋"/>
          <w:sz w:val="32"/>
          <w:szCs w:val="32"/>
          <w:lang w:val="en-US" w:eastAsia="zh-CN"/>
        </w:rPr>
        <w:t>按照《隆尧县财政局绩效管理评价工作实施方案》，坚持“公开、公平、公正”原则，以自我评价为基础，由县财政局统一组织安排，项目股室分级实施。</w:t>
      </w:r>
    </w:p>
    <w:p w14:paraId="0126FCF3">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eastAsia" w:ascii="仿宋" w:hAnsi="仿宋" w:eastAsia="仿宋_GB2312" w:cs="仿宋"/>
          <w:sz w:val="32"/>
          <w:szCs w:val="32"/>
          <w:lang w:val="en-US" w:eastAsia="zh-CN"/>
        </w:rPr>
      </w:pPr>
      <w:r>
        <w:rPr>
          <w:rFonts w:hint="eastAsia" w:ascii="仿宋_GB2312" w:eastAsia="仿宋_GB2312" w:hAnsiTheme="minorEastAsia"/>
          <w:sz w:val="32"/>
          <w:szCs w:val="32"/>
          <w:lang w:eastAsia="zh-CN"/>
        </w:rPr>
        <w:t>评价内容包括：绩效目标设置（</w:t>
      </w:r>
      <w:r>
        <w:rPr>
          <w:rFonts w:hint="eastAsia" w:ascii="仿宋_GB2312" w:eastAsia="仿宋_GB2312" w:hAnsiTheme="minorEastAsia"/>
          <w:sz w:val="32"/>
          <w:szCs w:val="32"/>
        </w:rPr>
        <w:t>目标设立的明确性、合理性及细化程度，评价是否符合客观实际，是否清晰、细化、可衡量</w:t>
      </w:r>
      <w:r>
        <w:rPr>
          <w:rFonts w:hint="eastAsia" w:ascii="仿宋_GB2312" w:eastAsia="仿宋_GB2312" w:hAnsiTheme="minorEastAsia"/>
          <w:sz w:val="32"/>
          <w:szCs w:val="32"/>
          <w:lang w:eastAsia="zh-CN"/>
        </w:rPr>
        <w:t>）和完成情况（</w:t>
      </w:r>
      <w:r>
        <w:rPr>
          <w:rFonts w:hint="eastAsia" w:ascii="仿宋_GB2312" w:eastAsia="仿宋_GB2312" w:hAnsiTheme="minorEastAsia"/>
          <w:sz w:val="32"/>
          <w:szCs w:val="32"/>
        </w:rPr>
        <w:t>预算单位整体支出绩效完成情况、项目实施完成情况、产生的社会效益指标和经济效益指标</w:t>
      </w:r>
      <w:r>
        <w:rPr>
          <w:rFonts w:hint="eastAsia" w:ascii="仿宋_GB2312" w:eastAsia="仿宋_GB2312" w:hAnsiTheme="minorEastAsia"/>
          <w:sz w:val="32"/>
          <w:szCs w:val="32"/>
          <w:lang w:eastAsia="zh-CN"/>
        </w:rPr>
        <w:t>）；预算实施、资金使用和项目管理情况；执行财经纪律情况。</w:t>
      </w:r>
    </w:p>
    <w:p w14:paraId="164796CB">
      <w:pPr>
        <w:pStyle w:val="20"/>
        <w:keepNext w:val="0"/>
        <w:keepLines w:val="0"/>
        <w:pageBreakBefore w:val="0"/>
        <w:widowControl w:val="0"/>
        <w:numPr>
          <w:ilvl w:val="0"/>
          <w:numId w:val="0"/>
        </w:numPr>
        <w:kinsoku/>
        <w:wordWrap/>
        <w:overflowPunct/>
        <w:topLinePunct w:val="0"/>
        <w:autoSpaceDE/>
        <w:autoSpaceDN/>
        <w:bidi w:val="0"/>
        <w:snapToGrid/>
        <w:ind w:left="0" w:leftChars="0" w:firstLine="640" w:firstLineChars="200"/>
        <w:textAlignment w:val="auto"/>
        <w:rPr>
          <w:rFonts w:hint="eastAsia" w:ascii="黑体" w:hAnsi="黑体" w:eastAsia="黑体" w:cs="仿宋"/>
          <w:sz w:val="32"/>
          <w:szCs w:val="32"/>
        </w:rPr>
      </w:pPr>
      <w:r>
        <w:rPr>
          <w:rFonts w:hint="eastAsia" w:ascii="黑体" w:hAnsi="黑体" w:eastAsia="黑体" w:cs="仿宋"/>
          <w:sz w:val="32"/>
          <w:szCs w:val="32"/>
          <w:lang w:eastAsia="zh-CN"/>
        </w:rPr>
        <w:t>四、</w:t>
      </w:r>
      <w:r>
        <w:rPr>
          <w:rFonts w:hint="eastAsia" w:ascii="黑体" w:hAnsi="黑体" w:eastAsia="黑体" w:cs="仿宋"/>
          <w:sz w:val="32"/>
          <w:szCs w:val="32"/>
        </w:rPr>
        <w:t>各项绩效目标的实现程度及差异性原因分析。</w:t>
      </w:r>
    </w:p>
    <w:p w14:paraId="70066E19">
      <w:pPr>
        <w:ind w:firstLine="640" w:firstLineChars="200"/>
        <w:rPr>
          <w:rFonts w:hint="eastAsia" w:eastAsia="仿宋_GB2312"/>
          <w:sz w:val="32"/>
          <w:szCs w:val="32"/>
          <w:lang w:val="en-US" w:eastAsia="zh-CN"/>
        </w:rPr>
      </w:pPr>
      <w:r>
        <w:rPr>
          <w:rFonts w:hint="eastAsia" w:eastAsia="仿宋_GB2312"/>
          <w:sz w:val="32"/>
          <w:szCs w:val="32"/>
          <w:lang w:val="en-US" w:eastAsia="zh-CN"/>
        </w:rPr>
        <w:t>1.各项绩效目标的实现程度：</w:t>
      </w:r>
    </w:p>
    <w:p w14:paraId="5E8F543D">
      <w:pPr>
        <w:ind w:firstLine="640" w:firstLineChars="200"/>
        <w:rPr>
          <w:rFonts w:hint="eastAsia" w:eastAsia="仿宋_GB2312"/>
          <w:sz w:val="32"/>
          <w:szCs w:val="32"/>
          <w:lang w:eastAsia="zh-CN"/>
        </w:rPr>
      </w:pPr>
      <w:r>
        <w:rPr>
          <w:rFonts w:hint="eastAsia" w:ascii="仿宋" w:hAnsi="仿宋" w:eastAsia="仿宋" w:cs="仿宋"/>
          <w:sz w:val="32"/>
          <w:szCs w:val="32"/>
          <w:lang w:val="en-US" w:eastAsia="zh-CN"/>
        </w:rPr>
        <w:t>两个</w:t>
      </w:r>
      <w:r>
        <w:rPr>
          <w:rFonts w:hint="eastAsia" w:eastAsia="仿宋_GB2312"/>
          <w:sz w:val="32"/>
          <w:szCs w:val="32"/>
          <w:lang w:eastAsia="zh-CN"/>
        </w:rPr>
        <w:t>绩效目标实现程度均达到</w:t>
      </w:r>
      <w:r>
        <w:rPr>
          <w:rFonts w:hint="eastAsia" w:eastAsia="仿宋_GB2312"/>
          <w:sz w:val="32"/>
          <w:szCs w:val="32"/>
          <w:lang w:val="en-US" w:eastAsia="zh-CN"/>
        </w:rPr>
        <w:t>10</w:t>
      </w:r>
      <w:r>
        <w:rPr>
          <w:rFonts w:hint="eastAsia" w:eastAsia="仿宋_GB2312"/>
          <w:sz w:val="32"/>
          <w:szCs w:val="32"/>
          <w:lang w:eastAsia="zh-CN"/>
        </w:rPr>
        <w:t>0%。</w:t>
      </w:r>
    </w:p>
    <w:p w14:paraId="4DA7D2D8">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2.差异性原因分析：</w:t>
      </w:r>
    </w:p>
    <w:p w14:paraId="54D83ABA">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一是部分预算项目未能按时间节点及时推进，项目实施进度影响了资金使用进度。二是受外部环境影响，部分工作无法按计划开展。</w:t>
      </w:r>
    </w:p>
    <w:p w14:paraId="25D5C04F">
      <w:pPr>
        <w:pStyle w:val="20"/>
        <w:keepNext w:val="0"/>
        <w:keepLines w:val="0"/>
        <w:pageBreakBefore w:val="0"/>
        <w:widowControl w:val="0"/>
        <w:numPr>
          <w:ilvl w:val="0"/>
          <w:numId w:val="0"/>
        </w:numPr>
        <w:kinsoku/>
        <w:wordWrap/>
        <w:overflowPunct/>
        <w:topLinePunct w:val="0"/>
        <w:autoSpaceDE/>
        <w:autoSpaceDN/>
        <w:bidi w:val="0"/>
        <w:snapToGrid/>
        <w:ind w:left="0" w:leftChars="0" w:firstLine="640" w:firstLineChars="200"/>
        <w:textAlignment w:val="auto"/>
        <w:rPr>
          <w:rFonts w:hint="eastAsia" w:ascii="黑体" w:hAnsi="黑体" w:eastAsia="黑体" w:cs="仿宋"/>
          <w:sz w:val="32"/>
          <w:szCs w:val="32"/>
        </w:rPr>
      </w:pPr>
      <w:r>
        <w:rPr>
          <w:rFonts w:hint="eastAsia" w:ascii="黑体" w:hAnsi="黑体" w:eastAsia="黑体" w:cs="仿宋"/>
          <w:sz w:val="32"/>
          <w:szCs w:val="32"/>
          <w:lang w:eastAsia="zh-CN"/>
        </w:rPr>
        <w:t>五、</w:t>
      </w:r>
      <w:r>
        <w:rPr>
          <w:rFonts w:hint="eastAsia" w:ascii="黑体" w:hAnsi="黑体" w:eastAsia="黑体" w:cs="仿宋"/>
          <w:sz w:val="32"/>
          <w:szCs w:val="32"/>
        </w:rPr>
        <w:t>存在问题</w:t>
      </w:r>
    </w:p>
    <w:p w14:paraId="1307EE15">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1.项目绩效目标细化量化不够，无法有效监控绩效目标的实现程度，还有待进一步提升预算单位整体绩效管理理念。</w:t>
      </w:r>
    </w:p>
    <w:p w14:paraId="580289A1">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2.干部层次结构不优，部分干部能力、水平跟不上时代发展，与新要求不相适应，干部培养教育有差距。</w:t>
      </w:r>
    </w:p>
    <w:p w14:paraId="05F88D5A">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3.少数股室工作主动性、创造性不够，干部积极性调动不充分，协同工作效率不高。</w:t>
      </w:r>
    </w:p>
    <w:p w14:paraId="4D15F458">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4.财政管理还需进一步提升。在培植财源、提升收入质量、优化支出结构、防范化解隐性债务风险、专项资金管理、绩效评价结果运用等方面，要做的工作还很多。</w:t>
      </w:r>
    </w:p>
    <w:p w14:paraId="69A9984C">
      <w:pPr>
        <w:pStyle w:val="20"/>
        <w:keepNext w:val="0"/>
        <w:keepLines w:val="0"/>
        <w:pageBreakBefore w:val="0"/>
        <w:widowControl w:val="0"/>
        <w:numPr>
          <w:ilvl w:val="0"/>
          <w:numId w:val="0"/>
        </w:numPr>
        <w:kinsoku/>
        <w:wordWrap/>
        <w:overflowPunct/>
        <w:topLinePunct w:val="0"/>
        <w:autoSpaceDE/>
        <w:autoSpaceDN/>
        <w:bidi w:val="0"/>
        <w:adjustRightInd/>
        <w:snapToGrid/>
        <w:ind w:left="0" w:leftChars="0" w:firstLine="640" w:firstLineChars="200"/>
        <w:textAlignment w:val="auto"/>
        <w:rPr>
          <w:rFonts w:hint="eastAsia" w:ascii="黑体" w:hAnsi="黑体" w:eastAsia="黑体" w:cs="仿宋"/>
          <w:sz w:val="32"/>
          <w:szCs w:val="32"/>
        </w:rPr>
      </w:pPr>
      <w:r>
        <w:rPr>
          <w:rFonts w:hint="eastAsia" w:ascii="黑体" w:hAnsi="黑体" w:eastAsia="黑体" w:cs="仿宋"/>
          <w:sz w:val="32"/>
          <w:szCs w:val="32"/>
          <w:lang w:eastAsia="zh-CN"/>
        </w:rPr>
        <w:t>六、</w:t>
      </w:r>
      <w:r>
        <w:rPr>
          <w:rFonts w:hint="eastAsia" w:ascii="黑体" w:hAnsi="黑体" w:eastAsia="黑体" w:cs="仿宋"/>
          <w:sz w:val="32"/>
          <w:szCs w:val="32"/>
        </w:rPr>
        <w:t>采取的纠偏措施及改进绩效管理建议。</w:t>
      </w:r>
    </w:p>
    <w:p w14:paraId="644B75CC">
      <w:pPr>
        <w:ind w:firstLine="640" w:firstLineChars="200"/>
        <w:rPr>
          <w:rFonts w:hint="eastAsia" w:eastAsia="仿宋_GB2312"/>
          <w:sz w:val="32"/>
          <w:szCs w:val="32"/>
          <w:lang w:eastAsia="zh-CN"/>
        </w:rPr>
      </w:pPr>
      <w:r>
        <w:rPr>
          <w:rFonts w:hint="eastAsia" w:eastAsia="仿宋_GB2312"/>
          <w:sz w:val="32"/>
          <w:szCs w:val="32"/>
          <w:lang w:eastAsia="zh-CN"/>
        </w:rPr>
        <w:t>一是对偏离预算绩效目标的支出，及时采取有效措施予以纠正，进一步规范专项资金使用绩效。</w:t>
      </w:r>
    </w:p>
    <w:p w14:paraId="58B4A3D4">
      <w:pPr>
        <w:ind w:firstLine="640" w:firstLineChars="200"/>
        <w:rPr>
          <w:rFonts w:hint="eastAsia" w:ascii="Times New Roman" w:hAnsi="Times New Roman" w:eastAsia="方正仿宋_GBK" w:cs="Times New Roman"/>
          <w:sz w:val="32"/>
          <w:szCs w:val="32"/>
        </w:rPr>
      </w:pPr>
      <w:r>
        <w:rPr>
          <w:rFonts w:hint="eastAsia" w:eastAsia="仿宋_GB2312"/>
          <w:sz w:val="32"/>
          <w:szCs w:val="32"/>
          <w:lang w:eastAsia="zh-CN"/>
        </w:rPr>
        <w:t>二是加强财政资金使用效益结果应用，及时反馈资金绩效运行状况，对不能按进度支出的预算资金及时调整、缴回，加快资金支出进度，在编制预算时根据上年绩效评价结果积极调整预算安排计划。</w:t>
      </w:r>
    </w:p>
    <w:p w14:paraId="1CCCF734">
      <w:pPr>
        <w:pStyle w:val="20"/>
        <w:keepNext w:val="0"/>
        <w:keepLines w:val="0"/>
        <w:pageBreakBefore w:val="0"/>
        <w:widowControl w:val="0"/>
        <w:numPr>
          <w:ilvl w:val="0"/>
          <w:numId w:val="0"/>
        </w:numPr>
        <w:kinsoku/>
        <w:wordWrap/>
        <w:overflowPunct/>
        <w:topLinePunct w:val="0"/>
        <w:autoSpaceDE/>
        <w:autoSpaceDN/>
        <w:bidi w:val="0"/>
        <w:snapToGrid/>
        <w:ind w:left="709" w:leftChars="0" w:firstLine="640" w:firstLineChars="200"/>
        <w:textAlignment w:val="auto"/>
        <w:rPr>
          <w:rFonts w:hint="eastAsia" w:ascii="黑体" w:hAnsi="黑体" w:eastAsia="黑体" w:cs="仿宋"/>
          <w:sz w:val="32"/>
          <w:szCs w:val="32"/>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_GB2312">
    <w:altName w:val="Times New Roman"/>
    <w:panose1 w:val="00000000000000000000"/>
    <w:charset w:val="00"/>
    <w:family w:val="auto"/>
    <w:pitch w:val="default"/>
    <w:sig w:usb0="00000000" w:usb1="00000000" w:usb2="00000000" w:usb3="00000000" w:csb0="00000001" w:csb1="00000000"/>
  </w:font>
  <w:font w:name="创艺简标宋">
    <w:altName w:val="方正舒体"/>
    <w:panose1 w:val="00000000000000000000"/>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 w:name="楷体">
    <w:panose1 w:val="02010609060101010101"/>
    <w:charset w:val="86"/>
    <w:family w:val="modern"/>
    <w:pitch w:val="default"/>
    <w:sig w:usb0="800002BF" w:usb1="38CF7CFA" w:usb2="00000016" w:usb3="00000000" w:csb0="00040001" w:csb1="00000000"/>
  </w:font>
  <w:font w:name="方正仿宋_GBK">
    <w:altName w:val="Arial Unicode MS"/>
    <w:panose1 w:val="03000509000000000000"/>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04A497">
    <w:pPr>
      <w:pStyle w:val="7"/>
      <w:framePr w:wrap="around" w:vAnchor="text" w:hAnchor="margin" w:xAlign="outside" w:y="1"/>
      <w:rPr>
        <w:rStyle w:val="14"/>
        <w:rFonts w:ascii="宋体" w:hAnsi="宋体" w:eastAsia="宋体"/>
        <w:sz w:val="28"/>
        <w:szCs w:val="28"/>
      </w:rPr>
    </w:pPr>
    <w:r>
      <w:rPr>
        <w:rStyle w:val="14"/>
        <w:rFonts w:hint="eastAsia" w:ascii="宋体" w:hAnsi="宋体" w:eastAsia="宋体"/>
        <w:sz w:val="28"/>
        <w:szCs w:val="28"/>
      </w:rPr>
      <w:t>-</w:t>
    </w:r>
    <w:r>
      <w:rPr>
        <w:rStyle w:val="14"/>
        <w:rFonts w:ascii="宋体" w:hAnsi="宋体" w:eastAsia="宋体"/>
        <w:sz w:val="28"/>
        <w:szCs w:val="28"/>
      </w:rPr>
      <w:fldChar w:fldCharType="begin"/>
    </w:r>
    <w:r>
      <w:rPr>
        <w:rStyle w:val="14"/>
        <w:rFonts w:ascii="宋体" w:hAnsi="宋体" w:eastAsia="宋体"/>
        <w:sz w:val="28"/>
        <w:szCs w:val="28"/>
      </w:rPr>
      <w:instrText xml:space="preserve">PAGE  </w:instrText>
    </w:r>
    <w:r>
      <w:rPr>
        <w:rStyle w:val="14"/>
        <w:rFonts w:ascii="宋体" w:hAnsi="宋体" w:eastAsia="宋体"/>
        <w:sz w:val="28"/>
        <w:szCs w:val="28"/>
      </w:rPr>
      <w:fldChar w:fldCharType="separate"/>
    </w:r>
    <w:r>
      <w:rPr>
        <w:rStyle w:val="14"/>
        <w:rFonts w:ascii="宋体" w:hAnsi="宋体" w:eastAsia="宋体"/>
        <w:sz w:val="28"/>
        <w:szCs w:val="28"/>
      </w:rPr>
      <w:t>7</w:t>
    </w:r>
    <w:r>
      <w:rPr>
        <w:rStyle w:val="14"/>
        <w:rFonts w:ascii="宋体" w:hAnsi="宋体" w:eastAsia="宋体"/>
        <w:sz w:val="28"/>
        <w:szCs w:val="28"/>
      </w:rPr>
      <w:fldChar w:fldCharType="end"/>
    </w:r>
    <w:r>
      <w:rPr>
        <w:rStyle w:val="14"/>
        <w:rFonts w:hint="eastAsia" w:ascii="宋体" w:hAnsi="宋体" w:eastAsia="宋体"/>
        <w:sz w:val="28"/>
        <w:szCs w:val="28"/>
      </w:rPr>
      <w:t>-</w:t>
    </w:r>
  </w:p>
  <w:p w14:paraId="70E3796D">
    <w:pPr>
      <w:pStyle w:val="7"/>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0BBA11">
    <w:pPr>
      <w:pStyle w:val="7"/>
      <w:framePr w:wrap="around" w:vAnchor="text" w:hAnchor="margin" w:xAlign="outside" w:y="1"/>
      <w:rPr>
        <w:rStyle w:val="14"/>
      </w:rPr>
    </w:pPr>
    <w:r>
      <w:rPr>
        <w:rStyle w:val="14"/>
      </w:rPr>
      <w:fldChar w:fldCharType="begin"/>
    </w:r>
    <w:r>
      <w:rPr>
        <w:rStyle w:val="14"/>
      </w:rPr>
      <w:instrText xml:space="preserve">PAGE  </w:instrText>
    </w:r>
    <w:r>
      <w:rPr>
        <w:rStyle w:val="14"/>
      </w:rPr>
      <w:fldChar w:fldCharType="end"/>
    </w:r>
  </w:p>
  <w:p w14:paraId="135E958A">
    <w:pPr>
      <w:pStyle w:val="7"/>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zVjZjRjNmMxMjE1MDg4OTJhZmE0OTM3NDdkNjVhODEifQ=="/>
  </w:docVars>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71BC"/>
    <w:rsid w:val="00225AE6"/>
    <w:rsid w:val="002270EB"/>
    <w:rsid w:val="00235F0F"/>
    <w:rsid w:val="00255783"/>
    <w:rsid w:val="00290BA1"/>
    <w:rsid w:val="002A6AEA"/>
    <w:rsid w:val="002F07DF"/>
    <w:rsid w:val="002F2268"/>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F72E93"/>
    <w:rsid w:val="00F87A11"/>
    <w:rsid w:val="00FB2D24"/>
    <w:rsid w:val="00FB7E01"/>
    <w:rsid w:val="00FE5F4C"/>
    <w:rsid w:val="00FF39F6"/>
    <w:rsid w:val="05374814"/>
    <w:rsid w:val="0C8F0285"/>
    <w:rsid w:val="0F8F6BFC"/>
    <w:rsid w:val="107166F3"/>
    <w:rsid w:val="16EE4045"/>
    <w:rsid w:val="1C841DE7"/>
    <w:rsid w:val="3791647A"/>
    <w:rsid w:val="438026FB"/>
    <w:rsid w:val="455969D8"/>
    <w:rsid w:val="48725571"/>
    <w:rsid w:val="4BDB04ED"/>
    <w:rsid w:val="526A3656"/>
    <w:rsid w:val="53CD5365"/>
    <w:rsid w:val="5D643D56"/>
    <w:rsid w:val="64283056"/>
    <w:rsid w:val="69BD0A47"/>
    <w:rsid w:val="6EB402A0"/>
    <w:rsid w:val="6EF9118E"/>
    <w:rsid w:val="71A911C9"/>
    <w:rsid w:val="7793669D"/>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18"/>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2">
    <w:name w:val="Default Paragraph Font"/>
    <w:semiHidden/>
    <w:unhideWhenUsed/>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footnote text"/>
    <w:basedOn w:val="1"/>
    <w:unhideWhenUsed/>
    <w:qFormat/>
    <w:uiPriority w:val="99"/>
    <w:pPr>
      <w:snapToGrid w:val="0"/>
      <w:jc w:val="left"/>
    </w:pPr>
    <w:rPr>
      <w:sz w:val="18"/>
      <w:szCs w:val="18"/>
    </w:rPr>
  </w:style>
  <w:style w:type="paragraph" w:styleId="4">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5">
    <w:name w:val="Body Text Indent"/>
    <w:basedOn w:val="1"/>
    <w:qFormat/>
    <w:uiPriority w:val="99"/>
    <w:pPr>
      <w:widowControl/>
      <w:ind w:firstLine="680"/>
      <w:jc w:val="left"/>
    </w:pPr>
    <w:rPr>
      <w:rFonts w:ascii="??_GB2312" w:hAnsi="创艺简标宋" w:eastAsia="Times New Roman" w:cs="??_GB2312"/>
      <w:kern w:val="0"/>
      <w:sz w:val="32"/>
      <w:szCs w:val="32"/>
    </w:rPr>
  </w:style>
  <w:style w:type="paragraph" w:styleId="6">
    <w:name w:val="Plain Text"/>
    <w:basedOn w:val="1"/>
    <w:link w:val="17"/>
    <w:qFormat/>
    <w:uiPriority w:val="0"/>
    <w:rPr>
      <w:rFonts w:ascii="宋体" w:hAnsi="Courier New" w:eastAsia="宋体" w:cs="Courier New"/>
      <w:szCs w:val="21"/>
    </w:rPr>
  </w:style>
  <w:style w:type="paragraph" w:styleId="7">
    <w:name w:val="footer"/>
    <w:basedOn w:val="1"/>
    <w:link w:val="16"/>
    <w:unhideWhenUsed/>
    <w:qFormat/>
    <w:uiPriority w:val="99"/>
    <w:pPr>
      <w:tabs>
        <w:tab w:val="center" w:pos="4153"/>
        <w:tab w:val="right" w:pos="8306"/>
      </w:tabs>
      <w:snapToGrid w:val="0"/>
      <w:jc w:val="left"/>
    </w:pPr>
    <w:rPr>
      <w:sz w:val="18"/>
      <w:szCs w:val="18"/>
    </w:rPr>
  </w:style>
  <w:style w:type="paragraph" w:styleId="8">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2"/>
    <w:basedOn w:val="5"/>
    <w:qFormat/>
    <w:uiPriority w:val="99"/>
    <w:pPr>
      <w:ind w:firstLine="420" w:firstLineChars="200"/>
    </w:pPr>
  </w:style>
  <w:style w:type="character" w:styleId="13">
    <w:name w:val="Strong"/>
    <w:basedOn w:val="12"/>
    <w:qFormat/>
    <w:uiPriority w:val="22"/>
    <w:rPr>
      <w:b/>
      <w:bCs/>
    </w:rPr>
  </w:style>
  <w:style w:type="character" w:styleId="14">
    <w:name w:val="page number"/>
    <w:basedOn w:val="12"/>
    <w:semiHidden/>
    <w:unhideWhenUsed/>
    <w:qFormat/>
    <w:uiPriority w:val="99"/>
  </w:style>
  <w:style w:type="character" w:customStyle="1" w:styleId="15">
    <w:name w:val="页眉 Char"/>
    <w:basedOn w:val="12"/>
    <w:link w:val="8"/>
    <w:qFormat/>
    <w:uiPriority w:val="99"/>
    <w:rPr>
      <w:sz w:val="18"/>
      <w:szCs w:val="18"/>
    </w:rPr>
  </w:style>
  <w:style w:type="character" w:customStyle="1" w:styleId="16">
    <w:name w:val="页脚 Char"/>
    <w:basedOn w:val="12"/>
    <w:link w:val="7"/>
    <w:qFormat/>
    <w:uiPriority w:val="99"/>
    <w:rPr>
      <w:sz w:val="18"/>
      <w:szCs w:val="18"/>
    </w:rPr>
  </w:style>
  <w:style w:type="character" w:customStyle="1" w:styleId="17">
    <w:name w:val="纯文本 Char"/>
    <w:basedOn w:val="12"/>
    <w:link w:val="6"/>
    <w:qFormat/>
    <w:uiPriority w:val="0"/>
    <w:rPr>
      <w:rFonts w:ascii="宋体" w:hAnsi="Courier New" w:eastAsia="宋体" w:cs="Courier New"/>
      <w:szCs w:val="21"/>
    </w:rPr>
  </w:style>
  <w:style w:type="character" w:customStyle="1" w:styleId="18">
    <w:name w:val="标题 1 Char"/>
    <w:basedOn w:val="12"/>
    <w:link w:val="3"/>
    <w:qFormat/>
    <w:uiPriority w:val="9"/>
    <w:rPr>
      <w:rFonts w:ascii="宋体" w:hAnsi="宋体" w:eastAsia="宋体" w:cs="宋体"/>
      <w:b/>
      <w:kern w:val="44"/>
      <w:sz w:val="48"/>
      <w:szCs w:val="48"/>
    </w:rPr>
  </w:style>
  <w:style w:type="character" w:customStyle="1" w:styleId="19">
    <w:name w:val="font31"/>
    <w:basedOn w:val="12"/>
    <w:qFormat/>
    <w:uiPriority w:val="0"/>
    <w:rPr>
      <w:rFonts w:hint="eastAsia" w:ascii="宋体" w:hAnsi="宋体" w:eastAsia="宋体" w:cs="宋体"/>
      <w:b/>
      <w:color w:val="000000"/>
      <w:sz w:val="36"/>
      <w:szCs w:val="36"/>
      <w:u w:val="none"/>
    </w:rPr>
  </w:style>
  <w:style w:type="paragraph" w:styleId="20">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23</Pages>
  <Words>12227</Words>
  <Characters>12998</Characters>
  <Lines>40</Lines>
  <Paragraphs>11</Paragraphs>
  <TotalTime>1</TotalTime>
  <ScaleCrop>false</ScaleCrop>
  <LinksUpToDate>false</LinksUpToDate>
  <CharactersWithSpaces>13060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童话故事书</cp:lastModifiedBy>
  <cp:lastPrinted>2018-11-29T03:23:00Z</cp:lastPrinted>
  <dcterms:modified xsi:type="dcterms:W3CDTF">2025-06-09T00:50:30Z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2D9118EB1B22491D92BE531EB64F12C2_12</vt:lpwstr>
  </property>
  <property fmtid="{D5CDD505-2E9C-101B-9397-08002B2CF9AE}" pid="4" name="KSOTemplateDocerSaveRecord">
    <vt:lpwstr>eyJoZGlkIjoiMWVhMGMzMDRmYmEzODJjZGE1YzVkZGRhOTA0NWI3ZWEiLCJ1c2VySWQiOiIxMTQwNjY4OTQzIn0=</vt:lpwstr>
  </property>
</Properties>
</file>