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853ED2">
      <w:pPr>
        <w:widowControl/>
        <w:spacing w:line="400" w:lineRule="exact"/>
        <w:jc w:val="left"/>
        <w:rPr>
          <w:rFonts w:ascii="仿宋" w:hAnsi="仿宋" w:eastAsia="仿宋" w:cs="仿宋"/>
          <w:kern w:val="0"/>
          <w:sz w:val="32"/>
          <w:szCs w:val="32"/>
          <w:shd w:val="clear" w:color="auto" w:fill="FFFFFF"/>
          <w:lang w:bidi="ar"/>
        </w:rPr>
      </w:pPr>
      <w:bookmarkStart w:id="0" w:name="_GoBack"/>
      <w:bookmarkEnd w:id="0"/>
    </w:p>
    <w:p w14:paraId="15BF5D81">
      <w:pPr>
        <w:widowControl/>
        <w:spacing w:line="480" w:lineRule="exact"/>
        <w:jc w:val="left"/>
        <w:rPr>
          <w:rFonts w:ascii="宋体" w:hAnsi="宋体" w:eastAsia="宋体" w:cs="宋体"/>
          <w:b/>
          <w:color w:val="000000"/>
          <w:kern w:val="0"/>
          <w:sz w:val="44"/>
          <w:szCs w:val="44"/>
          <w:shd w:val="clear" w:color="auto" w:fill="FFFFFF"/>
          <w:lang w:bidi="ar"/>
        </w:rPr>
      </w:pPr>
      <w:r>
        <w:rPr>
          <w:rFonts w:hint="eastAsia" w:ascii="仿宋" w:hAnsi="仿宋" w:eastAsia="仿宋" w:cs="仿宋"/>
          <w:kern w:val="0"/>
          <w:sz w:val="32"/>
          <w:szCs w:val="32"/>
          <w:shd w:val="clear" w:color="auto" w:fill="FFFFFF"/>
          <w:lang w:bidi="ar"/>
        </w:rPr>
        <w:t>附件7：</w:t>
      </w:r>
    </w:p>
    <w:p w14:paraId="38494D84">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lang w:bidi="ar"/>
        </w:rPr>
        <w:t>指标体系评分表</w:t>
      </w:r>
    </w:p>
    <w:tbl>
      <w:tblPr>
        <w:tblStyle w:val="8"/>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14:paraId="50B0A4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525030FA">
            <w:pPr>
              <w:widowControl/>
              <w:spacing w:line="240" w:lineRule="exact"/>
              <w:jc w:val="center"/>
              <w:rPr>
                <w:b/>
              </w:rPr>
            </w:pPr>
            <w:r>
              <w:rPr>
                <w:rFonts w:ascii="仿宋_GB2312" w:hAnsi="新宋体" w:eastAsia="仿宋_GB2312" w:cs="仿宋_GB2312"/>
                <w:b/>
                <w:kern w:val="0"/>
                <w:sz w:val="24"/>
                <w:szCs w:val="24"/>
                <w:lang w:bidi="ar"/>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25A3FB26">
            <w:pPr>
              <w:widowControl/>
              <w:spacing w:line="240" w:lineRule="exact"/>
              <w:jc w:val="center"/>
              <w:rPr>
                <w:b/>
              </w:rPr>
            </w:pPr>
            <w:r>
              <w:rPr>
                <w:rFonts w:ascii="仿宋_GB2312" w:hAnsi="新宋体" w:eastAsia="仿宋_GB2312" w:cs="仿宋_GB2312"/>
                <w:b/>
                <w:kern w:val="0"/>
                <w:sz w:val="24"/>
                <w:szCs w:val="24"/>
                <w:lang w:bidi="ar"/>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14:paraId="7B3723BD">
            <w:pPr>
              <w:widowControl/>
              <w:spacing w:line="240" w:lineRule="exact"/>
              <w:jc w:val="center"/>
              <w:rPr>
                <w:b/>
              </w:rPr>
            </w:pPr>
            <w:r>
              <w:rPr>
                <w:rFonts w:ascii="仿宋_GB2312" w:hAnsi="新宋体" w:eastAsia="仿宋_GB2312" w:cs="仿宋_GB2312"/>
                <w:b/>
                <w:kern w:val="0"/>
                <w:sz w:val="24"/>
                <w:szCs w:val="24"/>
                <w:lang w:bidi="ar"/>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14:paraId="12AA37F2">
            <w:pPr>
              <w:widowControl/>
              <w:spacing w:line="240" w:lineRule="exact"/>
              <w:jc w:val="center"/>
              <w:rPr>
                <w:b/>
              </w:rPr>
            </w:pPr>
            <w:r>
              <w:rPr>
                <w:rFonts w:ascii="仿宋_GB2312" w:hAnsi="新宋体" w:eastAsia="仿宋_GB2312" w:cs="仿宋_GB2312"/>
                <w:b/>
                <w:kern w:val="0"/>
                <w:sz w:val="24"/>
                <w:szCs w:val="24"/>
                <w:lang w:bidi="ar"/>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14:paraId="73523255">
            <w:pPr>
              <w:widowControl/>
              <w:spacing w:line="240" w:lineRule="exact"/>
              <w:jc w:val="left"/>
              <w:rPr>
                <w:b/>
              </w:rPr>
            </w:pPr>
            <w:r>
              <w:rPr>
                <w:rFonts w:ascii="仿宋_GB2312" w:hAnsi="新宋体" w:eastAsia="仿宋_GB2312" w:cs="仿宋_GB2312"/>
                <w:b/>
                <w:kern w:val="0"/>
                <w:sz w:val="24"/>
                <w:szCs w:val="24"/>
                <w:lang w:bidi="ar"/>
              </w:rPr>
              <w:t>得分</w:t>
            </w:r>
          </w:p>
        </w:tc>
      </w:tr>
      <w:tr w14:paraId="2A6877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7299E50">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9A64311">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26B3134B">
            <w:pPr>
              <w:widowControl/>
              <w:spacing w:line="240" w:lineRule="exact"/>
              <w:jc w:val="center"/>
              <w:rPr>
                <w:b/>
              </w:rPr>
            </w:pPr>
            <w:r>
              <w:rPr>
                <w:rFonts w:ascii="仿宋_GB2312" w:hAnsi="新宋体" w:eastAsia="仿宋_GB2312" w:cs="仿宋_GB2312"/>
                <w:b/>
                <w:kern w:val="0"/>
                <w:sz w:val="24"/>
                <w:szCs w:val="24"/>
                <w:lang w:bidi="ar"/>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14:paraId="5CE3B276">
            <w:pPr>
              <w:widowControl/>
              <w:spacing w:line="240" w:lineRule="exact"/>
              <w:jc w:val="center"/>
              <w:rPr>
                <w:b/>
              </w:rPr>
            </w:pPr>
            <w:r>
              <w:rPr>
                <w:rFonts w:ascii="仿宋_GB2312" w:hAnsi="新宋体" w:eastAsia="仿宋_GB2312" w:cs="仿宋_GB2312"/>
                <w:b/>
                <w:kern w:val="0"/>
                <w:sz w:val="24"/>
                <w:szCs w:val="24"/>
                <w:lang w:bidi="ar"/>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14:paraId="58997E59">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14:paraId="54B3CBF5">
            <w:pPr>
              <w:rPr>
                <w:rFonts w:ascii="宋体"/>
                <w:szCs w:val="21"/>
              </w:rPr>
            </w:pPr>
          </w:p>
        </w:tc>
      </w:tr>
      <w:tr w14:paraId="6C4EAC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7DEEC75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41CD1C6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绩效目标设定情况</w:t>
            </w:r>
          </w:p>
          <w:p w14:paraId="77FAB771">
            <w:pPr>
              <w:widowControl/>
              <w:spacing w:line="240" w:lineRule="exact"/>
              <w:jc w:val="left"/>
              <w:rPr>
                <w:rFonts w:hint="eastAsia" w:ascii="仿宋_GB2312" w:hAnsi="仿宋_GB2312" w:eastAsia="仿宋_GB2312" w:cs="仿宋_GB2312"/>
                <w:color w:val="FF0000"/>
                <w:szCs w:val="21"/>
              </w:rPr>
            </w:pPr>
            <w:r>
              <w:rPr>
                <w:rFonts w:hint="eastAsia" w:ascii="仿宋_GB2312" w:hAnsi="仿宋_GB2312" w:eastAsia="仿宋_GB2312" w:cs="仿宋_GB2312"/>
                <w:kern w:val="0"/>
                <w:szCs w:val="21"/>
                <w:lang w:bidi="ar"/>
              </w:rPr>
              <w:t>（5分）</w:t>
            </w:r>
          </w:p>
        </w:tc>
        <w:tc>
          <w:tcPr>
            <w:tcW w:w="1275" w:type="dxa"/>
            <w:tcBorders>
              <w:top w:val="single" w:color="000000" w:sz="4" w:space="0"/>
              <w:left w:val="single" w:color="000000" w:sz="4" w:space="0"/>
              <w:bottom w:val="single" w:color="auto" w:sz="4" w:space="0"/>
              <w:right w:val="single" w:color="auto" w:sz="4" w:space="0"/>
            </w:tcBorders>
            <w:vAlign w:val="center"/>
          </w:tcPr>
          <w:p w14:paraId="2E88A96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14:paraId="67B5286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14:paraId="1F415C6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符合（1）；</w:t>
            </w:r>
          </w:p>
          <w:p w14:paraId="1240CC6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7CFE2AC2">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1B3A73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246328A">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01D70BF">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5C1A4E3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14:paraId="320763F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部门的活动是否在职责范围之内并符合部门中长期规划，用以反映和评价部门活动目标与部门履职、年度工作任务的相符性情况。</w:t>
            </w:r>
          </w:p>
          <w:p w14:paraId="578FA0C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165FDF2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1.部门活动的设定在部门所确定的职责范围之内；</w:t>
            </w:r>
          </w:p>
          <w:p w14:paraId="3051034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2.部门活动符合市委、市政府的发展规划及本部门的年度工作安排与发展规划。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14:paraId="6AE7C99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14:paraId="12B60B5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0CB49E19">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2D41D3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C7726D8">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7DB4412">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26D05CD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14:paraId="3B43431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部门所设立的活动是否明确合理、活动的关键性指标设置是否可衡量，用以反映和评价部门活动目标设定的合理性。</w:t>
            </w:r>
          </w:p>
          <w:p w14:paraId="457C4B1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03FB4F4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1.活动目标的设定是可量化的，可通过清晰、可衡量的关键指标值予以体现；</w:t>
            </w:r>
          </w:p>
          <w:p w14:paraId="4A85948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14:paraId="3F6A4DE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14:paraId="6D12581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0221CF52">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217FA4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BF7E27C">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right w:val="single" w:color="000000" w:sz="4" w:space="0"/>
            </w:tcBorders>
            <w:vAlign w:val="center"/>
          </w:tcPr>
          <w:p w14:paraId="6460122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预算配置情况(5分)</w:t>
            </w:r>
          </w:p>
        </w:tc>
        <w:tc>
          <w:tcPr>
            <w:tcW w:w="1275" w:type="dxa"/>
            <w:tcBorders>
              <w:top w:val="single" w:color="auto" w:sz="4" w:space="0"/>
              <w:left w:val="single" w:color="000000" w:sz="4" w:space="0"/>
              <w:right w:val="single" w:color="auto" w:sz="4" w:space="0"/>
            </w:tcBorders>
            <w:vAlign w:val="center"/>
          </w:tcPr>
          <w:p w14:paraId="450B690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在职人员控制率（1分）</w:t>
            </w:r>
          </w:p>
        </w:tc>
        <w:tc>
          <w:tcPr>
            <w:tcW w:w="3436" w:type="dxa"/>
            <w:tcBorders>
              <w:top w:val="single" w:color="auto" w:sz="4" w:space="0"/>
              <w:left w:val="single" w:color="auto" w:sz="4" w:space="0"/>
              <w:right w:val="single" w:color="auto" w:sz="4" w:space="0"/>
            </w:tcBorders>
            <w:vAlign w:val="center"/>
          </w:tcPr>
          <w:p w14:paraId="10CE867B">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部门本年度实际在职人员数与编制数的比率，用以反映和评价部门对人员成本的控制程度。</w:t>
            </w:r>
          </w:p>
          <w:p w14:paraId="0F239D3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在职人员控制率=（在职人员数/编制数）×100%。</w:t>
            </w:r>
          </w:p>
          <w:p w14:paraId="31E2A9E4">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在职人员数：部门实际在职人数，以财政部确定的部门决算编制口径为准，由编制部门和人劳部门批复同意的临聘人员除外。</w:t>
            </w:r>
          </w:p>
          <w:p w14:paraId="44938524">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14:paraId="2565919F">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1.在职人员控制率小于或等于100%的，得满分；</w:t>
            </w:r>
          </w:p>
          <w:p w14:paraId="55DCB94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2.在职人员控制率大于或等于115%的，得0分；</w:t>
            </w:r>
          </w:p>
          <w:p w14:paraId="7A71D78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3.在职人员控制率在100%-115%之间的，在0分和满分之间计算确定：</w:t>
            </w:r>
          </w:p>
          <w:p w14:paraId="1A04D7ED">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709553B7">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3D6308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14:paraId="227BDD6B">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14:paraId="544D1C3A">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14:paraId="039C819D">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“三公经费”变动率（2分）</w:t>
            </w:r>
          </w:p>
        </w:tc>
        <w:tc>
          <w:tcPr>
            <w:tcW w:w="3436" w:type="dxa"/>
            <w:tcBorders>
              <w:top w:val="single" w:color="auto" w:sz="4" w:space="0"/>
              <w:left w:val="single" w:color="auto" w:sz="4" w:space="0"/>
              <w:right w:val="single" w:color="auto" w:sz="4" w:space="0"/>
            </w:tcBorders>
            <w:vAlign w:val="center"/>
          </w:tcPr>
          <w:p w14:paraId="2B2935AA">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“三公经费”：年度预算安排的因公出国（境）费、公务车辆购置及运行费和公务招待费。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14:paraId="334F3CEB">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小于或等于-5%的，得满分；</w:t>
            </w:r>
          </w:p>
          <w:p w14:paraId="77AB1DE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大于或等于10%的，得0分；</w:t>
            </w:r>
          </w:p>
          <w:p w14:paraId="5FDEB772">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3.在职人员控制率在-5%-10%之间的，在0分和满分之间计算确定：</w:t>
            </w:r>
          </w:p>
          <w:p w14:paraId="3D4A510A">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得分=[max（</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60190A64">
            <w:pPr>
              <w:widowControl/>
              <w:spacing w:line="240" w:lineRule="exact"/>
              <w:jc w:val="left"/>
              <w:rPr>
                <w:rFonts w:hint="default" w:eastAsiaTheme="minorEastAsia"/>
                <w:szCs w:val="21"/>
                <w:lang w:val="en-US" w:eastAsia="zh-CN"/>
              </w:rPr>
            </w:pPr>
            <w:r>
              <w:rPr>
                <w:rFonts w:hint="eastAsia"/>
                <w:szCs w:val="21"/>
                <w:lang w:val="en-US" w:eastAsia="zh-CN"/>
              </w:rPr>
              <w:t>2</w:t>
            </w:r>
          </w:p>
        </w:tc>
      </w:tr>
      <w:tr w14:paraId="706BD1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14:paraId="1935A5F7">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bottom w:val="single" w:color="000000" w:sz="4" w:space="0"/>
              <w:right w:val="single" w:color="000000" w:sz="4" w:space="0"/>
            </w:tcBorders>
            <w:vAlign w:val="center"/>
          </w:tcPr>
          <w:p w14:paraId="6A65B7E3">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14:paraId="33425CC5">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重点支出安排率（2分）</w:t>
            </w:r>
          </w:p>
        </w:tc>
        <w:tc>
          <w:tcPr>
            <w:tcW w:w="3436" w:type="dxa"/>
            <w:tcBorders>
              <w:top w:val="single" w:color="auto" w:sz="4" w:space="0"/>
              <w:left w:val="single" w:color="auto" w:sz="4" w:space="0"/>
              <w:right w:val="single" w:color="auto" w:sz="4" w:space="0"/>
            </w:tcBorders>
            <w:vAlign w:val="center"/>
          </w:tcPr>
          <w:p w14:paraId="25FE642F">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14:paraId="4D5B8F88">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大于或等于95%的，得满分；</w:t>
            </w:r>
          </w:p>
          <w:p w14:paraId="417237BF">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小于或等于85%的，得0分；</w:t>
            </w:r>
          </w:p>
          <w:p w14:paraId="6CE3D81B">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在85%-95%之间的，在0分和满分之间计算确定：</w:t>
            </w:r>
          </w:p>
          <w:p w14:paraId="23FD3DF4">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得分=[某部门</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597C95B1">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64FF70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48F5A28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1A2FB59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14:paraId="1D5A118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14:paraId="66A7C28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通过对部门本年度预算完成数与预算数的比较，反映和评价部门预算的完成程度。</w:t>
            </w:r>
          </w:p>
          <w:p w14:paraId="63B2455E">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0EC3691B">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1.预算完成率大于或等于95%的，得满分；</w:t>
            </w:r>
          </w:p>
          <w:p w14:paraId="6297477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2.预算完成率小于或等于85%的，得0分；</w:t>
            </w:r>
          </w:p>
          <w:p w14:paraId="7D2082CF">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3.预算完成率在85%-95%之间的，在0分和满分之间计算确定：</w:t>
            </w:r>
          </w:p>
          <w:p w14:paraId="40C98CF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7D5763C8">
            <w:pPr>
              <w:widowControl/>
              <w:spacing w:line="240" w:lineRule="exact"/>
              <w:jc w:val="left"/>
              <w:rPr>
                <w:rFonts w:hint="default" w:eastAsiaTheme="minorEastAsia"/>
                <w:szCs w:val="21"/>
                <w:lang w:val="en-US" w:eastAsia="zh-CN"/>
              </w:rPr>
            </w:pPr>
            <w:r>
              <w:rPr>
                <w:rFonts w:hint="eastAsia"/>
                <w:szCs w:val="21"/>
                <w:lang w:val="en-US" w:eastAsia="zh-CN"/>
              </w:rPr>
              <w:t>5</w:t>
            </w:r>
          </w:p>
        </w:tc>
      </w:tr>
      <w:tr w14:paraId="1A76CA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F2420C3">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9FBD29B">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18470E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14:paraId="4832AF7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部门本年度预算调整数与预算数的比率，用以反映和评价部门预算的调整程度。</w:t>
            </w:r>
          </w:p>
          <w:p w14:paraId="605923E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5D277EA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1.预算调整率等于0的，得满分； </w:t>
            </w:r>
          </w:p>
          <w:p w14:paraId="25C41A6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2.预算调整率大于或等于10%的，得0分；</w:t>
            </w:r>
          </w:p>
          <w:p w14:paraId="7679D269">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3.预算调整率在0-10%之间的，在0分和满分之间确定：</w:t>
            </w:r>
          </w:p>
          <w:p w14:paraId="0F875601">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2743C3CF">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3469D0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D791FC4">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EE2CCB4">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0BA83F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支付进度率</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218BA21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部门年度支付数与年度任务数的比率，用以反映和评价部门预算执行的及时和均衡程度。</w:t>
            </w:r>
          </w:p>
          <w:p w14:paraId="45C296B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14:paraId="0860B00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按年度的执行情况进行打分。得分=年度支付数/年度任务数×该指标分值。</w:t>
            </w:r>
          </w:p>
          <w:p w14:paraId="3091301B">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14:paraId="29CFF6D0">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20277F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3DE58F8">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53C9D6D">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72595B7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33E16EE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通过对部门本年度结转结余总额与支出预算数的比较，反映和评价部门对本年度结转结余资金的实际控制程度。</w:t>
            </w:r>
          </w:p>
          <w:p w14:paraId="3306298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3CFD7584">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1.结转结余率等于0的，得满分；</w:t>
            </w:r>
          </w:p>
          <w:p w14:paraId="3EAAAB51">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2.结转结余率大于或等于50%的，得0分；</w:t>
            </w:r>
          </w:p>
          <w:p w14:paraId="5DC8A4D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3.结转结余率在0-50%之间的，在0和满分之间计算确定：</w:t>
            </w:r>
          </w:p>
          <w:p w14:paraId="2863A62F">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2C9B7ACD">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71FF80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931EB13">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CC3D210">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BD097D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63EB2011">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通过对部门本年度实际支出的公用经费总额与预算安排的公用经费总额的比率，反映和评价部门对机构运转成本的实际控制程度。</w:t>
            </w:r>
          </w:p>
          <w:p w14:paraId="587D2863">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14:paraId="1C619959">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1.公用经费控制率小于或等于100%的，得满分；</w:t>
            </w:r>
          </w:p>
          <w:p w14:paraId="75920D49">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2.公用经费控制率大于或等于105%的，得0分；</w:t>
            </w:r>
          </w:p>
          <w:p w14:paraId="79683018">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3.公用经费控制率在100%-105%之间的，在0和满分之间计算确定：</w:t>
            </w:r>
          </w:p>
          <w:p w14:paraId="070C62B7">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2EA0AE9D">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32CCF4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40F0C68">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702D84F">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383EC35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32C6663F">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通过对部门本年度实际政府采购预算项目个数与政府采购预算项目个数的比较，反映和评价部门政府采购预算执行情况。</w:t>
            </w:r>
          </w:p>
          <w:p w14:paraId="03E1422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政府采购执行率=（实际政府采购预算项目个数/政府采购预算项目个数）×100%。</w:t>
            </w:r>
          </w:p>
          <w:p w14:paraId="07B3021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14:paraId="61028600">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1.政府采购执行率等于100%的，得满分；</w:t>
            </w:r>
          </w:p>
          <w:p w14:paraId="7962DB1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2.政府采购执行率小于或等于90%的，0分；</w:t>
            </w:r>
          </w:p>
          <w:p w14:paraId="7C61269F">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3.政府采购执行率在90%-100%之间的，在0和满分之间计算确定：</w:t>
            </w:r>
          </w:p>
          <w:p w14:paraId="505DEFC3">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62FA4ADD">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469042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CE66530">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495E9B1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预算管理情况</w:t>
            </w:r>
          </w:p>
          <w:p w14:paraId="2FBBC7B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（15）</w:t>
            </w:r>
          </w:p>
        </w:tc>
        <w:tc>
          <w:tcPr>
            <w:tcW w:w="1275" w:type="dxa"/>
            <w:tcBorders>
              <w:top w:val="single" w:color="000000" w:sz="4" w:space="0"/>
              <w:left w:val="single" w:color="000000" w:sz="4" w:space="0"/>
              <w:bottom w:val="single" w:color="000000" w:sz="4" w:space="0"/>
              <w:right w:val="single" w:color="auto" w:sz="4" w:space="0"/>
            </w:tcBorders>
            <w:vAlign w:val="center"/>
          </w:tcPr>
          <w:p w14:paraId="5EB521D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14:paraId="6E0F8F1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部门使用预算资金是否符合相关的预算财务管理制度的规定，反映和评价部门预算资金的规范运行情况。</w:t>
            </w:r>
          </w:p>
          <w:p w14:paraId="768F21D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1DBE785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1.符合国家财经法规和财务管理制度规定以及有关部门资金管理办法的规定；</w:t>
            </w:r>
          </w:p>
          <w:p w14:paraId="1F41ACD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2.资金的拨付有完整的审批过程和手续；</w:t>
            </w:r>
          </w:p>
          <w:p w14:paraId="2FAED1C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3.项目的重大开支经过评估论证；</w:t>
            </w:r>
          </w:p>
          <w:p w14:paraId="1440BC0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4.符合部门预算批复的用途；</w:t>
            </w:r>
          </w:p>
          <w:p w14:paraId="598B8F6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5.不存在截留情况；</w:t>
            </w:r>
          </w:p>
          <w:p w14:paraId="51C2D9A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6.不存在挤占情况；</w:t>
            </w:r>
          </w:p>
          <w:p w14:paraId="530AC39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7.不存在挪用情况；</w:t>
            </w:r>
          </w:p>
          <w:p w14:paraId="10ADCE0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14:paraId="7857082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全部符合（8）；</w:t>
            </w:r>
          </w:p>
          <w:p w14:paraId="39B4555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符合其中七项（6）；</w:t>
            </w:r>
          </w:p>
          <w:p w14:paraId="49CDF97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符合其中六项（4）；</w:t>
            </w:r>
          </w:p>
          <w:p w14:paraId="2126DAA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符合其中五项（2）；</w:t>
            </w:r>
          </w:p>
          <w:p w14:paraId="5861691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4C30C29A">
            <w:pPr>
              <w:widowControl/>
              <w:spacing w:line="240" w:lineRule="exact"/>
              <w:jc w:val="left"/>
              <w:rPr>
                <w:rFonts w:hint="eastAsia" w:eastAsiaTheme="minorEastAsia"/>
                <w:szCs w:val="21"/>
                <w:lang w:val="en-US" w:eastAsia="zh-CN"/>
              </w:rPr>
            </w:pPr>
            <w:r>
              <w:rPr>
                <w:rFonts w:hint="eastAsia"/>
                <w:szCs w:val="21"/>
                <w:lang w:val="en-US" w:eastAsia="zh-CN"/>
              </w:rPr>
              <w:t>8</w:t>
            </w:r>
          </w:p>
        </w:tc>
      </w:tr>
      <w:tr w14:paraId="28A65A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A47EE70">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F7DF960">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5E18A5D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14:paraId="059F3E9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部门是否按照政府信息公开有关规定公开相关预决算信息，用以反映和评价部门预决算管理的公开透明情况。</w:t>
            </w:r>
          </w:p>
          <w:p w14:paraId="7FE08C9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预决算信息是指与部门预算、执行、决算、监督、绩效等管理相关的信息。</w:t>
            </w:r>
          </w:p>
          <w:p w14:paraId="6601721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48C0E02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1.公开预决算信息；</w:t>
            </w:r>
          </w:p>
          <w:p w14:paraId="3335CCE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2.按规定内容公开预决算信息；</w:t>
            </w:r>
          </w:p>
          <w:p w14:paraId="5EA0706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14:paraId="30F6711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全部符合（3）；</w:t>
            </w:r>
          </w:p>
          <w:p w14:paraId="30AC822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14:paraId="3051562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501136FB">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273E5E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EC72F1A">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B6C5657">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2143BC1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基础信息完善性</w:t>
            </w:r>
            <w:r>
              <w:rPr>
                <w:rFonts w:hint="eastAsia" w:ascii="仿宋_GB2312" w:hAnsi="仿宋_GB2312" w:eastAsia="仿宋_GB2312" w:cs="仿宋_GB2312"/>
                <w:kern w:val="0"/>
                <w:szCs w:val="21"/>
                <w:lang w:bidi="ar"/>
              </w:rPr>
              <w:t>（4分）</w:t>
            </w:r>
          </w:p>
        </w:tc>
        <w:tc>
          <w:tcPr>
            <w:tcW w:w="3436" w:type="dxa"/>
            <w:tcBorders>
              <w:top w:val="single" w:color="000000" w:sz="4" w:space="0"/>
              <w:left w:val="single" w:color="auto" w:sz="4" w:space="0"/>
              <w:bottom w:val="single" w:color="000000" w:sz="4" w:space="0"/>
              <w:right w:val="single" w:color="auto" w:sz="4" w:space="0"/>
            </w:tcBorders>
            <w:vAlign w:val="center"/>
          </w:tcPr>
          <w:p w14:paraId="44845CB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部门基础信息是否完善，用以反映和评价基础信息对预算管理工作的支撑情况。</w:t>
            </w:r>
          </w:p>
          <w:p w14:paraId="0E23B19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2FCB937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1.基本财务管理制度健全；</w:t>
            </w:r>
          </w:p>
          <w:p w14:paraId="1A13D6F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2.基础数据信息和会计信息资料真实；</w:t>
            </w:r>
          </w:p>
          <w:p w14:paraId="20AA6F2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3.基础数据信息和会计信息资料完整；</w:t>
            </w:r>
          </w:p>
          <w:p w14:paraId="26A2C3B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14:paraId="6E1BA3A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符合全部四项（4）；</w:t>
            </w:r>
          </w:p>
          <w:p w14:paraId="552F68E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符合其中三项（2）；</w:t>
            </w:r>
          </w:p>
          <w:p w14:paraId="2EC9FDF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符合其中两项（1）；</w:t>
            </w:r>
          </w:p>
          <w:p w14:paraId="4DB94BD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629E6B89">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2B606B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7BAA590">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0BFB60C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14:paraId="1EAD4FD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14:paraId="41F1BBE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部门的资产是否保存完整、使用合规、收入及时足额上缴，用以反映和评价部门资产运行情况。</w:t>
            </w:r>
          </w:p>
          <w:p w14:paraId="021B9F9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36B7D3B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1.资产保存完整；</w:t>
            </w:r>
          </w:p>
          <w:p w14:paraId="3107DC3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2.资产账务管理是否合规，帐实相符；</w:t>
            </w:r>
          </w:p>
          <w:p w14:paraId="5BAD743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14:paraId="2BF28A7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符合全部三项（3）；</w:t>
            </w:r>
          </w:p>
          <w:p w14:paraId="4B8D020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14:paraId="788A635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符合其中一项（1）；</w:t>
            </w:r>
          </w:p>
          <w:p w14:paraId="2F2B64F7">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14:paraId="5D44C6ED">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2BB2CA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2E3602D">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72FC6146">
            <w:pPr>
              <w:spacing w:line="240" w:lineRule="exact"/>
              <w:rPr>
                <w:rFonts w:hint="eastAsia" w:ascii="仿宋_GB2312" w:hAnsi="仿宋_GB2312" w:eastAsia="仿宋_GB2312" w:cs="仿宋_GB2312"/>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14:paraId="3E982A5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14:paraId="7C2A4C6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部门实际在用固定资产总额与所有固定资产总额的比率，用以反映和评价部门固定资产使用效率。</w:t>
            </w:r>
          </w:p>
          <w:p w14:paraId="59A482C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14:paraId="07ECB667">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1.固定资产利用率大于或等于95%的，得满分；</w:t>
            </w:r>
          </w:p>
          <w:p w14:paraId="2FE6C4BF">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2.固定资产利用率小于或等于85%的，得0分；</w:t>
            </w:r>
          </w:p>
          <w:p w14:paraId="191110E4">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3.固定资产利用率在85%-95%之间的，在0和满分之间计算确定：</w:t>
            </w:r>
          </w:p>
          <w:p w14:paraId="2F62AB11">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54C87D21">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603893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7F9186F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1F77149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14:paraId="7352A62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14:paraId="76735C6D">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根据年度主要任务分解表的具体任务，逐项评价任务量化指标完成情况、实施效果和责任制建立情况。用以反映和考核部门（单位）履职工作任务目标的完成情况。评价要点：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1.每项任务是否已制定了明确、具体、可量化、可衡量的绩效指标；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2.每项任务绩效指标的完成情况，是全部完成、基本完成、未完成，还是未实施；</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3.每项任务实施效果情况，是优秀、良好、一般，还是无效果；</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14:paraId="4E692542">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14:paraId="1C4B4CD8">
            <w:pPr>
              <w:widowControl/>
              <w:spacing w:line="240" w:lineRule="exact"/>
              <w:jc w:val="left"/>
              <w:rPr>
                <w:rFonts w:hint="default" w:eastAsiaTheme="minorEastAsia"/>
                <w:szCs w:val="21"/>
                <w:lang w:val="en-US" w:eastAsia="zh-CN"/>
              </w:rPr>
            </w:pPr>
            <w:r>
              <w:rPr>
                <w:rFonts w:hint="eastAsia"/>
                <w:szCs w:val="21"/>
                <w:lang w:val="en-US" w:eastAsia="zh-CN"/>
              </w:rPr>
              <w:t>10</w:t>
            </w:r>
          </w:p>
        </w:tc>
      </w:tr>
      <w:tr w14:paraId="313E5E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2A002D7">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7BD040F">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right w:val="single" w:color="auto" w:sz="4" w:space="0"/>
            </w:tcBorders>
            <w:vAlign w:val="center"/>
          </w:tcPr>
          <w:p w14:paraId="7348DB5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项目完成质量达标率（15）</w:t>
            </w:r>
          </w:p>
        </w:tc>
        <w:tc>
          <w:tcPr>
            <w:tcW w:w="3436" w:type="dxa"/>
            <w:tcBorders>
              <w:top w:val="single" w:color="000000" w:sz="4" w:space="0"/>
              <w:left w:val="single" w:color="auto" w:sz="4" w:space="0"/>
              <w:right w:val="single" w:color="auto" w:sz="4" w:space="0"/>
            </w:tcBorders>
            <w:vAlign w:val="center"/>
          </w:tcPr>
          <w:p w14:paraId="166EED6F">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部门已完成项目中质量达标项目个数占已完成项目个数的比率,用以反映和评价部门履职质量目标的实现程度。</w:t>
            </w:r>
          </w:p>
          <w:p w14:paraId="32AAB03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项目质量达标率=（已完成项目中质量达标项目个数/已完成项目个数）×100%。</w:t>
            </w:r>
          </w:p>
          <w:p w14:paraId="2FB224D2">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项目质量达标是指项目决算验收合格。</w:t>
            </w:r>
          </w:p>
        </w:tc>
        <w:tc>
          <w:tcPr>
            <w:tcW w:w="2373" w:type="dxa"/>
            <w:tcBorders>
              <w:top w:val="single" w:color="000000" w:sz="4" w:space="0"/>
              <w:left w:val="single" w:color="auto" w:sz="4" w:space="0"/>
              <w:right w:val="single" w:color="auto" w:sz="4" w:space="0"/>
            </w:tcBorders>
            <w:vAlign w:val="center"/>
          </w:tcPr>
          <w:p w14:paraId="6D0C0E1D">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1.项目质量达标率等于100%的，得满分；</w:t>
            </w:r>
          </w:p>
          <w:p w14:paraId="4AF7F884">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2.项目质量达标率小于或等于99%的，得0分；</w:t>
            </w:r>
          </w:p>
          <w:p w14:paraId="09D2BE73">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3.项目质量达标率在99%-100%之间的，在0和满分之间计算确定： </w:t>
            </w:r>
          </w:p>
          <w:p w14:paraId="0E09F944">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14:paraId="11BB5B73">
            <w:pPr>
              <w:widowControl/>
              <w:spacing w:line="240" w:lineRule="exact"/>
              <w:jc w:val="left"/>
              <w:rPr>
                <w:rFonts w:hint="default" w:eastAsiaTheme="minorEastAsia"/>
                <w:szCs w:val="21"/>
                <w:lang w:val="en-US" w:eastAsia="zh-CN"/>
              </w:rPr>
            </w:pPr>
            <w:r>
              <w:rPr>
                <w:rFonts w:hint="eastAsia"/>
                <w:szCs w:val="21"/>
                <w:lang w:val="en-US" w:eastAsia="zh-CN"/>
              </w:rPr>
              <w:t>15</w:t>
            </w:r>
          </w:p>
        </w:tc>
      </w:tr>
      <w:tr w14:paraId="581D5D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31BF688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效果（20分）</w:t>
            </w:r>
          </w:p>
        </w:tc>
        <w:tc>
          <w:tcPr>
            <w:tcW w:w="743" w:type="dxa"/>
            <w:vMerge w:val="restart"/>
            <w:tcBorders>
              <w:top w:val="single" w:color="auto" w:sz="4" w:space="0"/>
              <w:left w:val="single" w:color="000000" w:sz="4" w:space="0"/>
              <w:right w:val="single" w:color="000000" w:sz="4" w:space="0"/>
            </w:tcBorders>
            <w:vAlign w:val="center"/>
          </w:tcPr>
          <w:p w14:paraId="1DC0D188">
            <w:pPr>
              <w:widowControl/>
              <w:spacing w:line="240" w:lineRule="exact"/>
              <w:jc w:val="left"/>
              <w:rPr>
                <w:rFonts w:hint="eastAsia" w:ascii="仿宋_GB2312" w:hAnsi="仿宋_GB2312" w:eastAsia="仿宋_GB2312" w:cs="仿宋_GB2312"/>
                <w:kern w:val="0"/>
                <w:szCs w:val="21"/>
                <w:lang w:bidi="ar"/>
              </w:rPr>
            </w:pPr>
          </w:p>
          <w:p w14:paraId="39694198">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履职效益情况</w:t>
            </w:r>
          </w:p>
          <w:p w14:paraId="2C9FCDD6">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14:paraId="2A90B3B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经济效益</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1F22446D">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部门及所属二级单位通过履行职责和预算安排支出项目的实施，对我市带来的经济影响。</w:t>
            </w:r>
          </w:p>
          <w:p w14:paraId="342FE039">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1.通过部门所属企事业单位改革，促进了企事业单位效益增长情况；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2.通过预算支出项目的实施，促进了行业生产能力增长，从而带动行业经济效益增长；</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3.通过预算支出项目的实施，有效提高劳动效率，节约成本费用；</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4.通过预算支出项目的实施，降低了损耗，从而提高了生产效益；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14:paraId="2ACA1246">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53387736">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01DEC6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5C484AD5">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14:paraId="401E7627">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3A1DB99F">
            <w:pPr>
              <w:widowControl/>
              <w:spacing w:line="240" w:lineRule="exac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30D8A595">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部门及所属二级单位履行职责对社会发展所带来的直接或间接影响。</w:t>
            </w:r>
          </w:p>
          <w:p w14:paraId="2B8AB4FA">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2.通过预算支出项目的实施，是否明显促进了行业精神文明建设；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14:paraId="17B7E19E">
            <w:pPr>
              <w:widowControl/>
              <w:spacing w:line="240" w:lineRule="exac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3AAE4876">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71A2F2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0F90E29E">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14:paraId="776F9F0B">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9119185">
            <w:pPr>
              <w:widowControl/>
              <w:spacing w:line="240" w:lineRule="exact"/>
              <w:jc w:val="lef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50D83B0F">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部门及所属二级单位履行职责对生态环境所带来的直接或间接影响。</w:t>
            </w:r>
          </w:p>
          <w:p w14:paraId="40CB8D3D">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3.通过预算支出项目的实施，是否达到减少污染物排放；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14:paraId="6B2140A1">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014400F3">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7126EE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F40A6CF">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bottom w:val="single" w:color="auto" w:sz="4" w:space="0"/>
              <w:right w:val="single" w:color="000000" w:sz="4" w:space="0"/>
            </w:tcBorders>
            <w:vAlign w:val="center"/>
          </w:tcPr>
          <w:p w14:paraId="619CA323">
            <w:pPr>
              <w:widowControl/>
              <w:spacing w:line="240" w:lineRule="exact"/>
              <w:jc w:val="lef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5F4A98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14:paraId="162FD015">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14:paraId="6E29EDC0">
            <w:pPr>
              <w:widowControl/>
              <w:spacing w:line="240" w:lineRule="exact"/>
              <w:rPr>
                <w:rFonts w:hint="eastAsia"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14:paraId="4CA559E7">
            <w:pPr>
              <w:widowControl/>
              <w:spacing w:line="240" w:lineRule="exact"/>
              <w:rPr>
                <w:rFonts w:hint="eastAsia"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14:paraId="4FBC0E54">
            <w:pPr>
              <w:widowControl/>
              <w:spacing w:line="240" w:lineRule="exact"/>
              <w:jc w:val="left"/>
              <w:rPr>
                <w:rFonts w:hint="eastAsia" w:eastAsiaTheme="minorEastAsia"/>
                <w:szCs w:val="21"/>
                <w:lang w:val="en-US" w:eastAsia="zh-CN"/>
              </w:rPr>
            </w:pPr>
            <w:r>
              <w:rPr>
                <w:rFonts w:hint="eastAsia"/>
                <w:szCs w:val="21"/>
                <w:lang w:val="en-US" w:eastAsia="zh-CN"/>
              </w:rPr>
              <w:t>5</w:t>
            </w:r>
          </w:p>
        </w:tc>
      </w:tr>
    </w:tbl>
    <w:p w14:paraId="2A06B4D7">
      <w:pPr>
        <w:spacing w:line="240" w:lineRule="exact"/>
        <w:rPr>
          <w:rFonts w:ascii="仿宋" w:hAnsi="仿宋" w:eastAsia="仿宋" w:cs="仿宋"/>
          <w:sz w:val="32"/>
          <w:szCs w:val="32"/>
        </w:rPr>
      </w:pPr>
    </w:p>
    <w:p w14:paraId="24ADE74C">
      <w:pPr>
        <w:spacing w:line="240" w:lineRule="exact"/>
        <w:rPr>
          <w:rFonts w:ascii="仿宋" w:hAnsi="仿宋" w:eastAsia="仿宋" w:cs="仿宋"/>
          <w:sz w:val="32"/>
          <w:szCs w:val="32"/>
        </w:rPr>
      </w:pPr>
    </w:p>
    <w:p w14:paraId="3B7FFBBA">
      <w:pPr>
        <w:spacing w:line="240" w:lineRule="exact"/>
        <w:rPr>
          <w:rFonts w:ascii="仿宋" w:hAnsi="仿宋" w:eastAsia="仿宋" w:cs="仿宋"/>
          <w:sz w:val="32"/>
          <w:szCs w:val="32"/>
        </w:rPr>
      </w:pPr>
    </w:p>
    <w:p w14:paraId="5E08A61A">
      <w:pPr>
        <w:spacing w:line="240" w:lineRule="auto"/>
        <w:rPr>
          <w:rFonts w:hint="eastAsia" w:ascii="仿宋" w:hAnsi="仿宋" w:eastAsia="仿宋" w:cs="仿宋"/>
          <w:b/>
          <w:bCs/>
          <w:sz w:val="30"/>
          <w:szCs w:val="30"/>
          <w:lang w:val="en-US" w:eastAsia="zh-CN"/>
        </w:rPr>
      </w:pPr>
    </w:p>
    <w:p w14:paraId="2750C4D0">
      <w:pPr>
        <w:spacing w:line="240" w:lineRule="auto"/>
        <w:rPr>
          <w:rFonts w:hint="eastAsia" w:ascii="仿宋" w:hAnsi="仿宋" w:eastAsia="仿宋" w:cs="仿宋"/>
          <w:b/>
          <w:bCs/>
          <w:sz w:val="30"/>
          <w:szCs w:val="30"/>
          <w:lang w:val="en-US" w:eastAsia="zh-CN"/>
        </w:rPr>
      </w:pPr>
    </w:p>
    <w:p w14:paraId="094DD3E7">
      <w:pPr>
        <w:spacing w:line="240" w:lineRule="auto"/>
        <w:rPr>
          <w:rFonts w:hint="eastAsia" w:ascii="仿宋" w:hAnsi="仿宋" w:eastAsia="仿宋" w:cs="仿宋"/>
          <w:b/>
          <w:bCs/>
          <w:sz w:val="30"/>
          <w:szCs w:val="30"/>
          <w:lang w:val="en-US" w:eastAsia="zh-CN"/>
        </w:rPr>
      </w:pPr>
    </w:p>
    <w:p w14:paraId="589BBD33">
      <w:pPr>
        <w:spacing w:line="240" w:lineRule="auto"/>
        <w:rPr>
          <w:rFonts w:hint="eastAsia" w:ascii="仿宋" w:hAnsi="仿宋" w:eastAsia="仿宋" w:cs="仿宋"/>
          <w:b/>
          <w:bCs/>
          <w:sz w:val="30"/>
          <w:szCs w:val="30"/>
          <w:lang w:val="en-US" w:eastAsia="zh-CN"/>
        </w:rPr>
      </w:pPr>
    </w:p>
    <w:p w14:paraId="4CBE4FF7">
      <w:pPr>
        <w:spacing w:line="240" w:lineRule="auto"/>
        <w:rPr>
          <w:rFonts w:hint="eastAsia" w:ascii="仿宋" w:hAnsi="仿宋" w:eastAsia="仿宋" w:cs="仿宋"/>
          <w:b/>
          <w:bCs/>
          <w:sz w:val="30"/>
          <w:szCs w:val="30"/>
          <w:lang w:val="en-US" w:eastAsia="zh-CN"/>
        </w:rPr>
      </w:pPr>
    </w:p>
    <w:p w14:paraId="5039F98E">
      <w:pPr>
        <w:spacing w:line="240" w:lineRule="auto"/>
        <w:rPr>
          <w:rFonts w:hint="eastAsia" w:ascii="仿宋" w:hAnsi="仿宋" w:eastAsia="仿宋" w:cs="仿宋"/>
          <w:b/>
          <w:bCs/>
          <w:sz w:val="30"/>
          <w:szCs w:val="30"/>
          <w:lang w:val="en-US" w:eastAsia="zh-CN"/>
        </w:rPr>
      </w:pPr>
    </w:p>
    <w:p w14:paraId="770221A3">
      <w:pPr>
        <w:spacing w:line="240" w:lineRule="auto"/>
        <w:rPr>
          <w:rFonts w:hint="eastAsia" w:ascii="仿宋" w:hAnsi="仿宋" w:eastAsia="仿宋" w:cs="仿宋"/>
          <w:b/>
          <w:bCs/>
          <w:sz w:val="30"/>
          <w:szCs w:val="30"/>
          <w:lang w:val="en-US" w:eastAsia="zh-CN"/>
        </w:rPr>
      </w:pPr>
    </w:p>
    <w:p w14:paraId="359E501D">
      <w:pPr>
        <w:spacing w:line="240" w:lineRule="auto"/>
        <w:rPr>
          <w:rFonts w:hint="eastAsia" w:ascii="仿宋" w:hAnsi="仿宋" w:eastAsia="仿宋" w:cs="仿宋"/>
          <w:b/>
          <w:bCs/>
          <w:sz w:val="30"/>
          <w:szCs w:val="30"/>
          <w:lang w:val="en-US" w:eastAsia="zh-CN"/>
        </w:rPr>
      </w:pPr>
    </w:p>
    <w:p w14:paraId="50F9CD91">
      <w:pPr>
        <w:spacing w:line="240" w:lineRule="auto"/>
        <w:rPr>
          <w:rFonts w:hint="eastAsia" w:ascii="仿宋" w:hAnsi="仿宋" w:eastAsia="仿宋" w:cs="仿宋"/>
          <w:b/>
          <w:bCs/>
          <w:sz w:val="30"/>
          <w:szCs w:val="30"/>
          <w:lang w:val="en-US" w:eastAsia="zh-CN"/>
        </w:rPr>
      </w:pPr>
    </w:p>
    <w:p w14:paraId="5EAD60A7">
      <w:pPr>
        <w:spacing w:line="240" w:lineRule="auto"/>
        <w:rPr>
          <w:rFonts w:hint="eastAsia" w:ascii="仿宋" w:hAnsi="仿宋" w:eastAsia="仿宋" w:cs="仿宋"/>
          <w:b/>
          <w:bCs/>
          <w:sz w:val="30"/>
          <w:szCs w:val="30"/>
          <w:lang w:val="en-US" w:eastAsia="zh-CN"/>
        </w:rPr>
      </w:pPr>
    </w:p>
    <w:p w14:paraId="695DEF81">
      <w:pPr>
        <w:spacing w:line="240" w:lineRule="auto"/>
        <w:jc w:val="center"/>
        <w:rPr>
          <w:rFonts w:hint="eastAsia" w:ascii="仿宋" w:hAnsi="仿宋" w:eastAsia="仿宋" w:cs="仿宋"/>
          <w:b/>
          <w:bCs/>
          <w:sz w:val="36"/>
          <w:szCs w:val="36"/>
          <w:lang w:val="en-US" w:eastAsia="zh-CN"/>
        </w:rPr>
      </w:pPr>
      <w:r>
        <w:rPr>
          <w:rFonts w:hint="eastAsia" w:ascii="仿宋" w:hAnsi="仿宋" w:eastAsia="仿宋" w:cs="仿宋"/>
          <w:b/>
          <w:bCs/>
          <w:sz w:val="36"/>
          <w:szCs w:val="36"/>
          <w:lang w:val="en-US" w:eastAsia="zh-CN"/>
        </w:rPr>
        <w:t>隆尧县人大整体支出绩效评价报告</w:t>
      </w:r>
    </w:p>
    <w:p w14:paraId="18F41161">
      <w:pPr>
        <w:keepNext w:val="0"/>
        <w:keepLines w:val="0"/>
        <w:pageBreakBefore w:val="0"/>
        <w:numPr>
          <w:ilvl w:val="0"/>
          <w:numId w:val="0"/>
        </w:numPr>
        <w:kinsoku/>
        <w:wordWrap/>
        <w:overflowPunct/>
        <w:topLinePunct w:val="0"/>
        <w:autoSpaceDE/>
        <w:autoSpaceDN/>
        <w:bidi w:val="0"/>
        <w:adjustRightInd/>
        <w:snapToGrid/>
        <w:spacing w:line="360" w:lineRule="auto"/>
        <w:textAlignment w:val="auto"/>
        <w:rPr>
          <w:rFonts w:hint="eastAsia" w:ascii="仿宋" w:hAnsi="仿宋" w:eastAsia="仿宋" w:cs="仿宋"/>
          <w:sz w:val="32"/>
          <w:szCs w:val="32"/>
          <w:lang w:val="en-US" w:eastAsia="zh-CN"/>
        </w:rPr>
      </w:pPr>
    </w:p>
    <w:p w14:paraId="6D86B233">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hint="eastAsia" w:ascii="仿宋" w:hAnsi="仿宋" w:eastAsia="仿宋"/>
          <w:sz w:val="32"/>
          <w:lang w:eastAsia="zh-CN"/>
        </w:rPr>
      </w:pPr>
      <w:r>
        <w:rPr>
          <w:rFonts w:hint="eastAsia" w:ascii="仿宋" w:hAnsi="仿宋" w:eastAsia="仿宋"/>
          <w:sz w:val="32"/>
          <w:lang w:eastAsia="zh-CN"/>
        </w:rPr>
        <w:t>一、总体绩效目标</w:t>
      </w:r>
    </w:p>
    <w:p w14:paraId="2F6A11BC">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县人大常委会在县委坚强领导下，深入学习贯彻习近平新时代中国特色社会主义思想和党的十九届四中全会精神，扎实开展“不忘初心、牢记使命”主题教育，心系隆尧发展，牢记为民职责，担当作为、开拓进取，主动融入全县中心工作，依法行使法律赋予职权，为推进全县高质量发展作出了新贡献。</w:t>
      </w:r>
    </w:p>
    <w:p w14:paraId="67BCE895">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1、深入开展“隆尧发展、人大尽责”主题活动。常委会牢固树立作为意识，积极践行“隆尧发展、人大尽责”理念，以开展主题实践活动为抓手，自觉把工作放在全县大局中谋划推进、让人大干部到干事创业一线接受锻炼，运用多种方式、加大监督力度，主动融入、参与支持全县中心工作，先后听取审议“一府两院”及发改、财政等18个部门关于重点项目建设、国有资产管理等24项专项报告，作出决议决定和审议意见22项，任免国家机关干部18人次，有效促进了县委部署落实和发展问题解决，主要做法在全省人大工作推进会上作了书面典型发言。</w:t>
      </w:r>
    </w:p>
    <w:p w14:paraId="07BCB6B7">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2、扎实开展“三项联动监督”活动。根据省市人大部署，组织275名省市县乡四级人大代表，围绕扶贫脱贫攻坚、大气污染防治、优化营商环境领域工作，深入各职能部门、12个乡镇和重点企业开展调研视察，对自然资源、市场监管等7部门履行相关职责情况评议测评，汇总扶贫政策落实、洁净煤推广、行政审批等九方面32个问题转交县政府整改落实，对全县如期完成脱贫任务、改善大气质量、深化审批制度改革发挥了应有作用。</w:t>
      </w:r>
    </w:p>
    <w:p w14:paraId="6C507C7C">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3、认真开展大气治理专项监督活动。加强生态保护既是一项重要战略部署，又是一项重大民生工程，常委会作为年度监督重点，针对控污、抑尘、清煤等大气污染防治有关工作，在第二十次常委会会议上听取县政府年度环境目标完成情况报告，在增开的第四次人代会上做出《关于生态环境保护工作决议》，特别是组织代表对生态环境分局等8个成员单位进行专题询问，通过专项监督、持续监督，推动支持政府坚决打赢“蓝天保卫战”。</w:t>
      </w:r>
    </w:p>
    <w:p w14:paraId="6883BDF1">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4、加强计划预算审查监督。常委会着眼复杂形势下经济稳中有进目标，对项目建设、企业经营、产业升级等重点工作，深入园区和企业调研，听取计划预算执行情况报告，分析面临机遇挑战，提出创新招商机制、破解占地难题、开展企业帮扶等审议意见，支持县政府全力抓经济上项目提效益，保障了经济健康运行和主要指标的完成。一年来，常委会还先后3次做出决定，批准县政府将省级债券纳入预算使用，为加快全县建设提供了资金保障；听取审计查出问题整改报告，要求从严查纠违规行为，确保财政资金安全，维护预算严肃性；在人大机关建成“预算联网监督室”，与财政局预算系统连接，实现了在线监督。</w:t>
      </w:r>
    </w:p>
    <w:p w14:paraId="69BC12C6">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5、加强执法检查监督。常委会立足“法治隆尧”建设，采取人大检查与部门自查相结合方式，深入城乡开展《民办教育促进法》执法检查，针对宣传、监管、师资等方面问题，督促教育部门加大民办教育宣传力度，严格民办学校审批监管，保障民办学校教师待遇，对民办教育健康发展起到了推动作用；开展《</w:t>
      </w:r>
      <w:r>
        <w:rPr>
          <w:rFonts w:hint="eastAsia" w:ascii="仿宋" w:hAnsi="仿宋" w:eastAsia="仿宋"/>
          <w:sz w:val="32"/>
        </w:rPr>
        <w:t>中华人民共和国税收征收管理法</w:t>
      </w:r>
      <w:r>
        <w:rPr>
          <w:rFonts w:ascii="仿宋" w:hAnsi="仿宋" w:eastAsia="仿宋"/>
          <w:sz w:val="32"/>
        </w:rPr>
        <w:t>》执法检查，针对综合治税、智能办税、企业降税等方面问题，督促税务部门健全税收执法责任制，推广“互联网+税务”新模式，落实“减税降费”政策，推进了全县依法治税进程；开展《水污染防治法》执法检查，针对饮水安全、河水治污、污水处理方面，督促水务部门划定饮用水源地保护区，实行县乡村三级河长制，加大污水处理设施投入，推动了全县“碧水”保卫战的实施。</w:t>
      </w:r>
    </w:p>
    <w:p w14:paraId="15DB3924">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6、加强专项工作评议监督。常委会围绕部门依法履职，开展全链条式专项评议监督，针对社会关注的公益诉讼、预算审计、不动产登记、地方道路建设、农村土地确权等工作，组织代表深入实际调查，在常委会会议上按照“满意、基本满意、不满意”三个档次无记名投票测评，要求部门依据《人大评议意见书》在15日内提交整改方案、6个月完成问题整改，并对整改结果审议票决，做到监督既讲程序又重实效、既提建议又要结果。相关部门高度重视，认真落实评议意见，自觉接受人大监督，如检察院积极履行公益诉讼职责，针对桥梁年久失修等37个问题向有关单位、乡镇发出检察建议，维护了社会公众利益；审计局针对一些问题屡审屡犯，建立整改责任制，开展整改“回头看”，充分发挥“审计卫士”作用；交运局投资6.35亿元对交通基础设施改扩建，使全县交通运输环境明显改善。</w:t>
      </w:r>
    </w:p>
    <w:p w14:paraId="39A5B4C6">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7、丰富代表履职活动。常委会立足代表履职常态化，一年来先后邀请26名代表列席常委会会议、86名代表参加执法检查、专项评议、专题调查等监督活动，特别是于6月、12月，两次共组织115名代表围绕县政府年度目标任务落实情况进行集中视察，使代表及时了解全县经济社会发展情况，积极参与全县重点工作开展。期间，代表们认真履职，提出建议意见90余条，这些建议意见站位高、针对性强，反映了发展实际，回应了群众关切，支持了部门工作，展现了代表担当。</w:t>
      </w:r>
    </w:p>
    <w:p w14:paraId="227B3957">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8、督办代表建议意见。常委会采取清单式管理、台账式问效，对县十五届人大三次会议提出的63件代表建议逐一明确承办目标、单位和时限，通过专题视察、上门走访等方式跟踪督办，选取洁净煤监管、基层医疗服务等6项重点民生建议在主任会议上听取办理汇报，对整体承办情况在常委会会议上依法进行审查，确保事要解决、代表满意。截至会前63件建议已全部办结，具体办理情况作为备案材料已印发会议，请代表们审阅。</w:t>
      </w:r>
    </w:p>
    <w:p w14:paraId="42EE291B">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9、规范代表家站建设。常委会把加强“家”、“站”建设作为发挥代表作用的重要抓手，建立机关委室包联制度，开展对标提升行动，指导各“家”、“站”围绕县乡中心工作，积极打造履职亮点，认真组织代表开展学习培训、调研视察、接待选民等履职活动，特别是依托“家”、“站”组织6名市人大代表、36名县人大代表、136名乡镇人大代表向选民述职，不断增强影响力和拓展职能空间，努力成为代表依法履职的主阵地、联系选民的直通车、服务发展的大平台。</w:t>
      </w:r>
    </w:p>
    <w:p w14:paraId="33F1005C">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10、专题调研民生工作。常委会围绕与民生息息相关的医疗保障、城区教育、农网改造、退役军人事务管理等工作，深入基层调研，了解群众所想所盼，形成有情况、有分析、有建议的调研报告，交由部门研究办理，积极回应群众关切。在调研医疗保障工作中，就群众反映的大病保险、慢性病参保、异地报销等方面问题，建议加强政策宣传、简化办事程序和增强服务能力，推动医保部门提升大病保险政策透明度，建立慢性病常态化鉴定机制，推行异地就医网上或电话备案，方便了群众就医参保。</w:t>
      </w:r>
    </w:p>
    <w:p w14:paraId="2F75C111">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11、认真督办民生工程。常委会始终关注群众冷暖，针对县城集中供热、城乡统一供水、洁净煤推广、农村人居环境整治、泜河生态涵养等民生工程，专题视察、专项审议，确保把实事办实、好事办好。如围绕城乡统一供水，听取水务部门汇报，针对部分农村供水站供水能力低、设施老化问题，要求加快研究解决，保障群众饮水安全。水务局高度重视，积极争取地下水综合治理专项资金1亿多元，谋划实施农村生活用水置换工程，以最大限度满足群众饮水需求。</w:t>
      </w:r>
    </w:p>
    <w:p w14:paraId="2D804FC6">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hint="eastAsia" w:ascii="仿宋" w:hAnsi="仿宋" w:eastAsia="仿宋" w:cs="仿宋"/>
          <w:sz w:val="32"/>
          <w:szCs w:val="32"/>
          <w:lang w:val="en-US" w:eastAsia="zh-CN"/>
        </w:rPr>
      </w:pPr>
      <w:r>
        <w:rPr>
          <w:rFonts w:ascii="仿宋" w:hAnsi="仿宋" w:eastAsia="仿宋"/>
          <w:sz w:val="32"/>
        </w:rPr>
        <w:t>12、创新推动民生实事。民生连着民心，为促进政府民生实事民主化、法治化，常委会根据省市人大部署，报请县委同意，审议通过了《隆尧县重点</w:t>
      </w:r>
      <w:r>
        <w:rPr>
          <w:rFonts w:hint="eastAsia" w:ascii="仿宋" w:hAnsi="仿宋" w:eastAsia="仿宋"/>
          <w:sz w:val="32"/>
          <w:lang w:eastAsia="zh-CN"/>
        </w:rPr>
        <w:t>民生实事</w:t>
      </w:r>
      <w:r>
        <w:rPr>
          <w:rFonts w:ascii="仿宋" w:hAnsi="仿宋" w:eastAsia="仿宋"/>
          <w:sz w:val="32"/>
        </w:rPr>
        <w:t>项目人大代表票决制实施办法》，规范了政府重点民生实事项目征集、初审、票决、办理、报告等程序，从今年起县政府办理的民生实事都将在人代会上由代表票决通过。为做好首次民生实事项目代表票决工作，县政府通过“政府网站”、“隆尧发布”等渠道面向社会广泛征集项目，县人大依托代表“家”、“站”充分征求各级代表意见建议，第二十二次常委会会议对初选项目进行了认真审查，形成了提请大会票决的候选项目。希望各位代表以高度负责精神，依法行使民主</w:t>
      </w:r>
      <w:r>
        <w:rPr>
          <w:rFonts w:hint="eastAsia" w:ascii="仿宋" w:hAnsi="仿宋" w:eastAsia="仿宋"/>
          <w:sz w:val="32"/>
          <w:lang w:eastAsia="zh-CN"/>
        </w:rPr>
        <w:t>权利</w:t>
      </w:r>
      <w:r>
        <w:rPr>
          <w:rFonts w:ascii="仿宋" w:hAnsi="仿宋" w:eastAsia="仿宋"/>
          <w:sz w:val="32"/>
        </w:rPr>
        <w:t>，使通过的民生实事项目更加切合民情、反映民意。</w:t>
      </w:r>
    </w:p>
    <w:p w14:paraId="54F2FDB9">
      <w:pPr>
        <w:numPr>
          <w:ilvl w:val="0"/>
          <w:numId w:val="0"/>
        </w:numPr>
        <w:spacing w:line="240" w:lineRule="auto"/>
        <w:ind w:firstLine="640" w:firstLineChars="200"/>
        <w:rPr>
          <w:rFonts w:hint="eastAsia" w:ascii="仿宋_GB2312" w:hAnsi="仿宋_GB2312" w:eastAsia="仿宋_GB2312" w:cs="仿宋_GB2312"/>
          <w:color w:val="FF0000"/>
          <w:sz w:val="32"/>
          <w:szCs w:val="32"/>
          <w:lang w:val="en-US" w:eastAsia="zh-CN"/>
        </w:rPr>
      </w:pPr>
      <w:r>
        <w:rPr>
          <w:rFonts w:hint="eastAsia" w:ascii="仿宋_GB2312" w:hAnsi="仿宋_GB2312" w:eastAsia="仿宋_GB2312" w:cs="仿宋_GB2312"/>
          <w:color w:val="auto"/>
          <w:sz w:val="32"/>
          <w:szCs w:val="32"/>
          <w:lang w:val="en-US" w:eastAsia="zh-CN"/>
        </w:rPr>
        <w:t>二、预算绩效管理开展及整体绩效实现情况</w:t>
      </w:r>
    </w:p>
    <w:p w14:paraId="3081B620">
      <w:pPr>
        <w:numPr>
          <w:ilvl w:val="0"/>
          <w:numId w:val="0"/>
        </w:numPr>
        <w:spacing w:line="240" w:lineRule="auto"/>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（一）预算绩效管理开展情况</w:t>
      </w:r>
    </w:p>
    <w:p w14:paraId="4207E87B">
      <w:pPr>
        <w:numPr>
          <w:ilvl w:val="0"/>
          <w:numId w:val="0"/>
        </w:numPr>
        <w:spacing w:line="240" w:lineRule="auto"/>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为全面实施预算项目绩效管理，我单位一是加强预算编制绩效管理，每年对单位申报预算项目进行全面梳理、加强审核、合理保障，所有项目有明细的资金预算；二是完善项目绩效管理责任，财政局批复下达年度预算时，通过规范格式同步下达绩效目标，我单位明确预算执行主体，负责实现项目绩效目标，对未如期完成或绩效目标结果差的，在编制下年度预算时适当调减项目资金额度；三是，积极推进项目绩效评价，在加强预算编制环节的基础上，加强预算执行监管和执行结果评价，将财务监督渗透到预算管理的事前、事中、事后各个环节。</w:t>
      </w:r>
    </w:p>
    <w:p w14:paraId="7FD922DB">
      <w:pPr>
        <w:numPr>
          <w:ilvl w:val="0"/>
          <w:numId w:val="0"/>
        </w:numPr>
        <w:spacing w:line="240" w:lineRule="auto"/>
        <w:ind w:firstLine="640" w:firstLineChars="200"/>
        <w:rPr>
          <w:rFonts w:hint="eastAsia" w:ascii="仿宋_GB2312" w:hAnsi="仿宋_GB2312" w:eastAsia="仿宋_GB2312" w:cs="仿宋_GB2312"/>
          <w:color w:val="FF0000"/>
          <w:sz w:val="32"/>
          <w:szCs w:val="32"/>
          <w:lang w:val="en-US" w:eastAsia="zh-CN"/>
        </w:rPr>
      </w:pPr>
      <w:r>
        <w:rPr>
          <w:rFonts w:hint="eastAsia" w:ascii="仿宋_GB2312" w:hAnsi="仿宋_GB2312" w:eastAsia="仿宋_GB2312" w:cs="仿宋_GB2312"/>
          <w:color w:val="auto"/>
          <w:sz w:val="32"/>
          <w:szCs w:val="32"/>
          <w:lang w:val="en-US" w:eastAsia="zh-CN"/>
        </w:rPr>
        <w:t>（二）整体绩效实现情况</w:t>
      </w:r>
    </w:p>
    <w:p w14:paraId="2CD06043">
      <w:pPr>
        <w:adjustRightInd w:val="0"/>
        <w:spacing w:line="600" w:lineRule="exact"/>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隆尧县人大</w:t>
      </w:r>
      <w:r>
        <w:rPr>
          <w:rFonts w:hint="eastAsia" w:ascii="仿宋_GB2312" w:hAnsi="仿宋_GB2312" w:eastAsia="仿宋_GB2312" w:cs="仿宋_GB2312"/>
          <w:sz w:val="32"/>
          <w:szCs w:val="32"/>
        </w:rPr>
        <w:t>各种会议及大型会议如期成功举行；</w:t>
      </w:r>
      <w:r>
        <w:rPr>
          <w:rFonts w:hint="eastAsia" w:ascii="仿宋_GB2312" w:hAnsi="仿宋_GB2312" w:eastAsia="仿宋_GB2312" w:cs="仿宋_GB2312"/>
          <w:sz w:val="32"/>
          <w:szCs w:val="32"/>
          <w:lang w:eastAsia="zh-CN"/>
        </w:rPr>
        <w:t>人大事务有序完成。</w:t>
      </w:r>
    </w:p>
    <w:p w14:paraId="42A77107">
      <w:pPr>
        <w:numPr>
          <w:ilvl w:val="0"/>
          <w:numId w:val="1"/>
        </w:numPr>
        <w:spacing w:line="240" w:lineRule="auto"/>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绩效评价的组织实施情况</w:t>
      </w:r>
    </w:p>
    <w:p w14:paraId="1A8C9D08">
      <w:pPr>
        <w:widowControl w:val="0"/>
        <w:numPr>
          <w:ilvl w:val="0"/>
          <w:numId w:val="0"/>
        </w:numPr>
        <w:spacing w:line="240" w:lineRule="auto"/>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color w:val="auto"/>
          <w:sz w:val="32"/>
          <w:szCs w:val="32"/>
          <w:lang w:eastAsia="zh-CN"/>
        </w:rPr>
        <w:t>成立了由办公室主任担任组长的</w:t>
      </w:r>
      <w:r>
        <w:rPr>
          <w:rFonts w:hint="eastAsia" w:ascii="仿宋_GB2312" w:hAnsi="仿宋_GB2312" w:eastAsia="仿宋_GB2312" w:cs="仿宋_GB2312"/>
          <w:color w:val="auto"/>
          <w:sz w:val="32"/>
          <w:szCs w:val="32"/>
          <w:lang w:val="en-US" w:eastAsia="zh-CN"/>
        </w:rPr>
        <w:t>部门</w:t>
      </w:r>
      <w:r>
        <w:rPr>
          <w:rFonts w:hint="eastAsia" w:ascii="仿宋_GB2312" w:hAnsi="仿宋_GB2312" w:eastAsia="仿宋_GB2312" w:cs="仿宋_GB2312"/>
          <w:color w:val="auto"/>
          <w:sz w:val="32"/>
          <w:szCs w:val="32"/>
          <w:lang w:eastAsia="zh-CN"/>
        </w:rPr>
        <w:t>整体支出绩效</w:t>
      </w:r>
      <w:r>
        <w:rPr>
          <w:rFonts w:hint="eastAsia" w:ascii="仿宋_GB2312" w:hAnsi="仿宋_GB2312" w:eastAsia="仿宋_GB2312" w:cs="仿宋_GB2312"/>
          <w:color w:val="auto"/>
          <w:sz w:val="32"/>
          <w:szCs w:val="32"/>
        </w:rPr>
        <w:t>自评</w:t>
      </w:r>
      <w:r>
        <w:rPr>
          <w:rFonts w:hint="eastAsia" w:ascii="仿宋_GB2312" w:hAnsi="仿宋_GB2312" w:eastAsia="仿宋_GB2312" w:cs="仿宋_GB2312"/>
          <w:color w:val="auto"/>
          <w:sz w:val="32"/>
          <w:szCs w:val="32"/>
          <w:lang w:eastAsia="zh-CN"/>
        </w:rPr>
        <w:t>小组，</w:t>
      </w:r>
      <w:r>
        <w:rPr>
          <w:rFonts w:hint="eastAsia" w:ascii="仿宋_GB2312" w:hAnsi="仿宋_GB2312" w:eastAsia="仿宋_GB2312" w:cs="仿宋_GB2312"/>
          <w:color w:val="auto"/>
          <w:sz w:val="32"/>
          <w:szCs w:val="32"/>
          <w:lang w:val="en-US" w:eastAsia="zh-CN"/>
        </w:rPr>
        <w:t>遵循客观公正，操作简便高效，尊重客观实际，实事求是的原则，</w:t>
      </w:r>
      <w:r>
        <w:rPr>
          <w:rFonts w:hint="eastAsia" w:ascii="仿宋_GB2312" w:hAnsi="仿宋_GB2312" w:eastAsia="仿宋_GB2312" w:cs="仿宋_GB2312"/>
          <w:sz w:val="32"/>
          <w:szCs w:val="32"/>
          <w:lang w:eastAsia="zh-CN"/>
        </w:rPr>
        <w:t>负责本单位整体绩效自评工作。</w:t>
      </w:r>
    </w:p>
    <w:p w14:paraId="205A66A1">
      <w:pPr>
        <w:widowControl w:val="0"/>
        <w:numPr>
          <w:ilvl w:val="0"/>
          <w:numId w:val="0"/>
        </w:numPr>
        <w:spacing w:line="240" w:lineRule="auto"/>
        <w:ind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整体支出绩效评价体系：指标体系包括共性指标和个性指标两部分，主要参照财政部门制定的《部门整体支出绩效评价指标体系》的相关内容，根据单位具体情况对个性指标进行了调整细化。</w:t>
      </w:r>
    </w:p>
    <w:p w14:paraId="2BFEAF6B">
      <w:pPr>
        <w:widowControl w:val="0"/>
        <w:numPr>
          <w:ilvl w:val="0"/>
          <w:numId w:val="0"/>
        </w:numPr>
        <w:spacing w:line="240" w:lineRule="auto"/>
        <w:ind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整体支出绩效评价方法：主要采用因素分析法、比较法等方法。</w:t>
      </w:r>
    </w:p>
    <w:p w14:paraId="64CF500A">
      <w:pPr>
        <w:numPr>
          <w:ilvl w:val="0"/>
          <w:numId w:val="2"/>
        </w:numPr>
        <w:spacing w:line="240" w:lineRule="auto"/>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各项绩效目标的实现程度及差异性原因分析</w:t>
      </w:r>
    </w:p>
    <w:p w14:paraId="2DDC7C6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auto"/>
          <w:sz w:val="32"/>
          <w:szCs w:val="32"/>
          <w:lang w:val="en-US" w:eastAsia="zh-CN"/>
        </w:rPr>
        <w:t xml:space="preserve"> 我单位各个项目绩效目标均已完成。</w:t>
      </w:r>
    </w:p>
    <w:p w14:paraId="7282231C">
      <w:pPr>
        <w:numPr>
          <w:ilvl w:val="0"/>
          <w:numId w:val="2"/>
        </w:numPr>
        <w:spacing w:line="240" w:lineRule="auto"/>
        <w:ind w:left="0" w:leftChars="0"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存在问题、采取的纠偏措施及改进绩效管理建议。</w:t>
      </w:r>
    </w:p>
    <w:p w14:paraId="5D1C1850">
      <w:pPr>
        <w:widowControl w:val="0"/>
        <w:numPr>
          <w:ilvl w:val="0"/>
          <w:numId w:val="0"/>
        </w:numPr>
        <w:spacing w:line="240" w:lineRule="auto"/>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   （一）注重抓贯彻，忽视抓典型。对上级要求的各项工作，我们很重视，但思想停留在“完成”二字上，少有创新举措，忽视对典型的挖掘和推介。</w:t>
      </w:r>
    </w:p>
    <w:p w14:paraId="4A2C6756">
      <w:pPr>
        <w:widowControl w:val="0"/>
        <w:numPr>
          <w:ilvl w:val="0"/>
          <w:numId w:val="0"/>
        </w:numPr>
        <w:spacing w:line="240" w:lineRule="auto"/>
        <w:ind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（二）注重按时，忽视评估效果。对于各项工作任务，我们一般提前谋划，但对完成的效果以及影响力的评估，我们少有探究，联系实际、服务群众做的不够。</w:t>
      </w:r>
    </w:p>
    <w:p w14:paraId="4F612F9F">
      <w:pPr>
        <w:widowControl w:val="0"/>
        <w:numPr>
          <w:ilvl w:val="0"/>
          <w:numId w:val="0"/>
        </w:numPr>
        <w:spacing w:line="240" w:lineRule="auto"/>
        <w:ind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五、改进措施和有关建议</w:t>
      </w:r>
    </w:p>
    <w:p w14:paraId="6E547A65">
      <w:pPr>
        <w:widowControl w:val="0"/>
        <w:numPr>
          <w:ilvl w:val="0"/>
          <w:numId w:val="0"/>
        </w:numPr>
        <w:spacing w:line="240" w:lineRule="auto"/>
        <w:ind w:firstLine="640" w:firstLineChars="200"/>
        <w:jc w:val="both"/>
        <w:rPr>
          <w:rFonts w:hint="eastAsia" w:ascii="仿宋_GB2312" w:hAnsi="仿宋_GB2312" w:eastAsia="仿宋_GB2312" w:cs="仿宋_GB2312"/>
          <w:color w:val="FF0000"/>
          <w:sz w:val="32"/>
          <w:szCs w:val="32"/>
          <w:lang w:val="en-US" w:eastAsia="zh-CN"/>
        </w:rPr>
      </w:pPr>
      <w:r>
        <w:rPr>
          <w:rFonts w:hint="eastAsia" w:ascii="仿宋_GB2312" w:hAnsi="仿宋_GB2312" w:eastAsia="仿宋_GB2312" w:cs="仿宋_GB2312"/>
          <w:color w:val="auto"/>
          <w:sz w:val="32"/>
          <w:szCs w:val="32"/>
          <w:lang w:val="en-US" w:eastAsia="zh-CN"/>
        </w:rPr>
        <w:t>进一步规范财务管理，对本单位当年度的各项工作开展做到心中有数，统筹安排，合理配置。在以后工作中，坚持做到合理安排预算资金，不断完善支出结构，优化资金使用率，进一步完善预算管理体制。</w:t>
      </w:r>
    </w:p>
    <w:p w14:paraId="66D5F7FD">
      <w:pPr>
        <w:adjustRightInd w:val="0"/>
        <w:spacing w:line="600" w:lineRule="exact"/>
        <w:ind w:left="319" w:leftChars="152" w:firstLine="320" w:firstLineChars="100"/>
        <w:jc w:val="both"/>
        <w:rPr>
          <w:rFonts w:hint="eastAsia" w:ascii="仿宋_GB2312" w:hAnsi="仿宋_GB2312" w:eastAsia="仿宋_GB2312" w:cs="仿宋_GB2312"/>
          <w:sz w:val="32"/>
          <w:szCs w:val="32"/>
          <w:lang w:val="en-US" w:eastAsia="zh-CN"/>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085843">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6</w:t>
    </w:r>
    <w:r>
      <w:rPr>
        <w:rStyle w:val="11"/>
        <w:rFonts w:ascii="宋体" w:hAnsi="宋体" w:eastAsia="宋体"/>
        <w:sz w:val="28"/>
        <w:szCs w:val="28"/>
      </w:rPr>
      <w:fldChar w:fldCharType="end"/>
    </w:r>
    <w:r>
      <w:rPr>
        <w:rStyle w:val="11"/>
        <w:rFonts w:hint="eastAsia" w:ascii="宋体" w:hAnsi="宋体" w:eastAsia="宋体"/>
        <w:sz w:val="28"/>
        <w:szCs w:val="28"/>
      </w:rPr>
      <w:t>-</w:t>
    </w:r>
  </w:p>
  <w:p w14:paraId="0C022614">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D36B2F">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6CFC2803">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0122E0F"/>
    <w:multiLevelType w:val="singleLevel"/>
    <w:tmpl w:val="F0122E0F"/>
    <w:lvl w:ilvl="0" w:tentative="0">
      <w:start w:val="4"/>
      <w:numFmt w:val="chineseCounting"/>
      <w:suff w:val="nothing"/>
      <w:lvlText w:val="%1、"/>
      <w:lvlJc w:val="left"/>
      <w:rPr>
        <w:rFonts w:hint="eastAsia"/>
      </w:rPr>
    </w:lvl>
  </w:abstractNum>
  <w:abstractNum w:abstractNumId="1">
    <w:nsid w:val="3C32C34E"/>
    <w:multiLevelType w:val="singleLevel"/>
    <w:tmpl w:val="3C32C34E"/>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NlNmVlNzY3YzQ3ZDVhZTcyYmM5YTk4OTYzYjUxZjYifQ=="/>
  </w:docVars>
  <w:rsids>
    <w:rsidRoot w:val="00042933"/>
    <w:rsid w:val="00002F2C"/>
    <w:rsid w:val="000070A8"/>
    <w:rsid w:val="00016CA4"/>
    <w:rsid w:val="000324AE"/>
    <w:rsid w:val="00042933"/>
    <w:rsid w:val="0008033E"/>
    <w:rsid w:val="0008759D"/>
    <w:rsid w:val="00094F2B"/>
    <w:rsid w:val="000B0A83"/>
    <w:rsid w:val="000B6322"/>
    <w:rsid w:val="000C2CC1"/>
    <w:rsid w:val="000E4A5A"/>
    <w:rsid w:val="00103547"/>
    <w:rsid w:val="0017068B"/>
    <w:rsid w:val="00185A3C"/>
    <w:rsid w:val="00192D5A"/>
    <w:rsid w:val="001C59B3"/>
    <w:rsid w:val="001E0886"/>
    <w:rsid w:val="001F7E31"/>
    <w:rsid w:val="002071BC"/>
    <w:rsid w:val="00225AE6"/>
    <w:rsid w:val="00235F0F"/>
    <w:rsid w:val="00255783"/>
    <w:rsid w:val="00290BA1"/>
    <w:rsid w:val="002A6AEA"/>
    <w:rsid w:val="002F2268"/>
    <w:rsid w:val="003C50C2"/>
    <w:rsid w:val="0041099F"/>
    <w:rsid w:val="00436A1D"/>
    <w:rsid w:val="004379D7"/>
    <w:rsid w:val="004A68B1"/>
    <w:rsid w:val="004B64F3"/>
    <w:rsid w:val="004E3B64"/>
    <w:rsid w:val="005020C5"/>
    <w:rsid w:val="00567FE6"/>
    <w:rsid w:val="0058162A"/>
    <w:rsid w:val="005B3616"/>
    <w:rsid w:val="005E12FA"/>
    <w:rsid w:val="00683167"/>
    <w:rsid w:val="006A5056"/>
    <w:rsid w:val="006E64C9"/>
    <w:rsid w:val="007048FF"/>
    <w:rsid w:val="00712100"/>
    <w:rsid w:val="0071700D"/>
    <w:rsid w:val="00742652"/>
    <w:rsid w:val="00772600"/>
    <w:rsid w:val="007D5D41"/>
    <w:rsid w:val="007F01F9"/>
    <w:rsid w:val="00856BA1"/>
    <w:rsid w:val="00867620"/>
    <w:rsid w:val="008709E0"/>
    <w:rsid w:val="008A6A10"/>
    <w:rsid w:val="008A6A31"/>
    <w:rsid w:val="00904AF4"/>
    <w:rsid w:val="00905542"/>
    <w:rsid w:val="00917700"/>
    <w:rsid w:val="00956F74"/>
    <w:rsid w:val="009B0B5F"/>
    <w:rsid w:val="009C04DA"/>
    <w:rsid w:val="009C4C62"/>
    <w:rsid w:val="009E3627"/>
    <w:rsid w:val="009F53E7"/>
    <w:rsid w:val="00A11BF8"/>
    <w:rsid w:val="00A14A33"/>
    <w:rsid w:val="00A6449D"/>
    <w:rsid w:val="00A768DB"/>
    <w:rsid w:val="00AA09C8"/>
    <w:rsid w:val="00AD5F30"/>
    <w:rsid w:val="00B0681D"/>
    <w:rsid w:val="00B9023F"/>
    <w:rsid w:val="00BC1FDC"/>
    <w:rsid w:val="00BD0FD8"/>
    <w:rsid w:val="00C44804"/>
    <w:rsid w:val="00C6362A"/>
    <w:rsid w:val="00C81363"/>
    <w:rsid w:val="00CB27A5"/>
    <w:rsid w:val="00CD55ED"/>
    <w:rsid w:val="00CD63C0"/>
    <w:rsid w:val="00CE62A0"/>
    <w:rsid w:val="00D21F0C"/>
    <w:rsid w:val="00D366C1"/>
    <w:rsid w:val="00D877F7"/>
    <w:rsid w:val="00DB2D43"/>
    <w:rsid w:val="00E266F1"/>
    <w:rsid w:val="00EB16A8"/>
    <w:rsid w:val="00EC7904"/>
    <w:rsid w:val="00F72E93"/>
    <w:rsid w:val="00F87A11"/>
    <w:rsid w:val="00FB7E01"/>
    <w:rsid w:val="00FE5F4C"/>
    <w:rsid w:val="00FF39F6"/>
    <w:rsid w:val="01012402"/>
    <w:rsid w:val="05374814"/>
    <w:rsid w:val="07C53E3C"/>
    <w:rsid w:val="0AC46995"/>
    <w:rsid w:val="0EA84F51"/>
    <w:rsid w:val="0EB8678F"/>
    <w:rsid w:val="0F8F6BFC"/>
    <w:rsid w:val="14286DC1"/>
    <w:rsid w:val="176220D5"/>
    <w:rsid w:val="1C0E763D"/>
    <w:rsid w:val="1D307A84"/>
    <w:rsid w:val="26731869"/>
    <w:rsid w:val="2A9943F4"/>
    <w:rsid w:val="31BB7F8C"/>
    <w:rsid w:val="327424A6"/>
    <w:rsid w:val="33F73043"/>
    <w:rsid w:val="340B732F"/>
    <w:rsid w:val="3791647A"/>
    <w:rsid w:val="3FCD39CB"/>
    <w:rsid w:val="43115E87"/>
    <w:rsid w:val="43682A24"/>
    <w:rsid w:val="455969D8"/>
    <w:rsid w:val="4B0620C4"/>
    <w:rsid w:val="526A3656"/>
    <w:rsid w:val="57E254E9"/>
    <w:rsid w:val="595D5B6B"/>
    <w:rsid w:val="5AAB48D5"/>
    <w:rsid w:val="5D643D56"/>
    <w:rsid w:val="69BD0A47"/>
    <w:rsid w:val="71A911C9"/>
    <w:rsid w:val="7235538D"/>
    <w:rsid w:val="72BC66B1"/>
    <w:rsid w:val="77A86A4F"/>
    <w:rsid w:val="788D4270"/>
    <w:rsid w:val="7C70631E"/>
    <w:rsid w:val="7CCC213E"/>
    <w:rsid w:val="7E087E18"/>
    <w:rsid w:val="FBFB597B"/>
    <w:rsid w:val="FEFDCF8A"/>
    <w:rsid w:val="FFBFBD5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customStyle="1" w:styleId="17">
    <w:name w:val="[Normal]"/>
    <w:qFormat/>
    <w:uiPriority w:val="6"/>
    <w:rPr>
      <w:rFonts w:ascii="宋体" w:hAnsi="宋体" w:eastAsia="宋体" w:cstheme="minorBidi"/>
      <w:color w:val="auto"/>
      <w:position w:val="0"/>
      <w:sz w:val="24"/>
      <w:u w:val="none"/>
      <w:shd w:val="clear" w:color="auto" w:fill="auto"/>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14</Pages>
  <Words>8574</Words>
  <Characters>8918</Characters>
  <Lines>37</Lines>
  <Paragraphs>10</Paragraphs>
  <TotalTime>4</TotalTime>
  <ScaleCrop>false</ScaleCrop>
  <LinksUpToDate>false</LinksUpToDate>
  <CharactersWithSpaces>8956</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2016-02-22T23:07:00Z</dcterms:created>
  <dc:creator>Administrator</dc:creator>
  <cp:lastModifiedBy>企业用户_437037521</cp:lastModifiedBy>
  <cp:lastPrinted>2018-11-29T19:23:00Z</cp:lastPrinted>
  <dcterms:modified xsi:type="dcterms:W3CDTF">2025-05-30T08:48:15Z</dcterms:modified>
  <cp:revision>72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6327A55A2939D25883112A667C0266BF</vt:lpwstr>
  </property>
  <property fmtid="{D5CDD505-2E9C-101B-9397-08002B2CF9AE}" pid="4" name="KSOTemplateDocerSaveRecord">
    <vt:lpwstr>eyJoZGlkIjoiM2YzMDEyZDJmYzJmMDZhMmJkMjQ5YjZjYzY0ZjJjOTAiLCJ1c2VySWQiOiIxNTg3NDU5NzEyIn0=</vt:lpwstr>
  </property>
</Properties>
</file>