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3503FB">
      <w:pPr>
        <w:pStyle w:val="2"/>
        <w:keepNext/>
        <w:keepLines/>
        <w:pageBreakBefore w:val="0"/>
        <w:widowControl w:val="0"/>
        <w:kinsoku/>
        <w:wordWrap/>
        <w:overflowPunct/>
        <w:topLinePunct w:val="0"/>
        <w:autoSpaceDE/>
        <w:autoSpaceDN/>
        <w:bidi w:val="0"/>
        <w:adjustRightInd/>
        <w:snapToGrid/>
        <w:spacing w:before="0" w:after="0" w:line="600" w:lineRule="exact"/>
        <w:textAlignment w:val="auto"/>
        <w:rPr>
          <w:rFonts w:hint="eastAsia" w:ascii="Times New Roman" w:hAnsi="Times New Roman" w:cs="Times New Roman"/>
          <w:lang w:val="en-US" w:eastAsia="zh-CN"/>
        </w:rPr>
      </w:pPr>
      <w:bookmarkStart w:id="0" w:name="_Toc18853"/>
      <w:r>
        <w:rPr>
          <w:rFonts w:hint="eastAsia" w:ascii="Times New Roman" w:hAnsi="Times New Roman" w:cs="Times New Roman"/>
          <w:lang w:val="en-US" w:eastAsia="zh-CN"/>
        </w:rPr>
        <w:t>河北隆尧经济开发区2022年工作要点</w:t>
      </w:r>
      <w:bookmarkEnd w:id="0"/>
    </w:p>
    <w:p w14:paraId="5AE7584D">
      <w:pPr>
        <w:spacing w:line="560" w:lineRule="exact"/>
        <w:ind w:firstLine="627" w:firstLineChars="196"/>
        <w:rPr>
          <w:rFonts w:ascii="仿宋" w:hAnsi="仿宋" w:eastAsia="仿宋" w:cs="仿宋"/>
          <w:color w:val="000000"/>
          <w:sz w:val="32"/>
          <w:szCs w:val="32"/>
        </w:rPr>
      </w:pPr>
    </w:p>
    <w:p w14:paraId="6C85716C">
      <w:pPr>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2022年，开发区管委会将继续以习近平新时代中国特色社会主义思想为指引，围绕我县“15546”发展思路，以项目建设为抓手，以服务企业为宗旨，全力推进开发区经济发展稳中有进。</w:t>
      </w:r>
    </w:p>
    <w:p w14:paraId="3A84D1C4">
      <w:pPr>
        <w:spacing w:line="600" w:lineRule="exact"/>
        <w:ind w:firstLine="640" w:firstLineChars="200"/>
        <w:rPr>
          <w:rFonts w:hint="eastAsia" w:ascii="黑体" w:hAnsi="黑体" w:eastAsia="黑体" w:cs="黑体"/>
          <w:b w:val="0"/>
          <w:bCs/>
          <w:spacing w:val="8"/>
          <w:sz w:val="32"/>
          <w:szCs w:val="32"/>
        </w:rPr>
      </w:pPr>
      <w:r>
        <w:rPr>
          <w:rFonts w:hint="eastAsia" w:ascii="黑体" w:hAnsi="黑体" w:eastAsia="黑体" w:cs="黑体"/>
          <w:b w:val="0"/>
          <w:bCs/>
          <w:sz w:val="32"/>
          <w:szCs w:val="32"/>
          <w:lang w:val="en-US" w:eastAsia="zh-CN"/>
        </w:rPr>
        <w:t>一、</w:t>
      </w:r>
      <w:r>
        <w:rPr>
          <w:rFonts w:hint="eastAsia" w:ascii="黑体" w:hAnsi="黑体" w:eastAsia="黑体" w:cs="黑体"/>
          <w:b w:val="0"/>
          <w:bCs/>
          <w:sz w:val="32"/>
          <w:szCs w:val="32"/>
        </w:rPr>
        <w:t>总体</w:t>
      </w:r>
      <w:r>
        <w:rPr>
          <w:rFonts w:hint="eastAsia" w:ascii="黑体" w:hAnsi="黑体" w:eastAsia="黑体" w:cs="黑体"/>
          <w:b w:val="0"/>
          <w:bCs/>
          <w:spacing w:val="8"/>
          <w:sz w:val="32"/>
          <w:szCs w:val="32"/>
        </w:rPr>
        <w:t>发展思路</w:t>
      </w:r>
    </w:p>
    <w:p w14:paraId="627B65F6">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楷体_GB2312" w:cs="Times New Roman"/>
          <w:color w:val="000000"/>
          <w:sz w:val="32"/>
          <w:szCs w:val="32"/>
        </w:rPr>
      </w:pPr>
      <w:r>
        <w:rPr>
          <w:rFonts w:hint="default" w:ascii="Times New Roman" w:hAnsi="Times New Roman" w:eastAsia="仿宋_GB2312" w:cs="Times New Roman"/>
          <w:sz w:val="32"/>
          <w:szCs w:val="32"/>
        </w:rPr>
        <w:t>以开发区的产业发展推进县城建设，以县城建设促进开发区产业发展，走以产兴城、产城融合的发展道路。在招商引资上，聚焦</w:t>
      </w:r>
      <w:r>
        <w:rPr>
          <w:rFonts w:hint="default" w:ascii="Times New Roman" w:hAnsi="Times New Roman" w:eastAsia="仿宋_GB2312" w:cs="Times New Roman"/>
          <w:color w:val="000000"/>
          <w:sz w:val="32"/>
          <w:szCs w:val="32"/>
        </w:rPr>
        <w:t>先进装备制造产业、铸铁炊具产业和新材料</w:t>
      </w:r>
      <w:r>
        <w:rPr>
          <w:rFonts w:hint="default" w:ascii="Times New Roman" w:hAnsi="Times New Roman" w:eastAsia="仿宋_GB2312" w:cs="Times New Roman"/>
          <w:sz w:val="32"/>
          <w:szCs w:val="32"/>
        </w:rPr>
        <w:t>3个主导产业</w:t>
      </w:r>
      <w:r>
        <w:rPr>
          <w:rFonts w:hint="default" w:ascii="Times New Roman" w:hAnsi="Times New Roman" w:eastAsia="仿宋_GB2312" w:cs="Times New Roman"/>
          <w:bCs/>
          <w:color w:val="000000"/>
          <w:spacing w:val="6"/>
          <w:sz w:val="32"/>
          <w:szCs w:val="32"/>
          <w:shd w:val="clear" w:color="auto" w:fill="FFFFFF"/>
        </w:rPr>
        <w:t>，</w:t>
      </w:r>
      <w:r>
        <w:rPr>
          <w:rFonts w:hint="default" w:ascii="Times New Roman" w:hAnsi="Times New Roman" w:eastAsia="仿宋_GB2312" w:cs="Times New Roman"/>
          <w:sz w:val="32"/>
          <w:szCs w:val="32"/>
        </w:rPr>
        <w:t>做好内培和外引两篇文章，</w:t>
      </w:r>
      <w:r>
        <w:rPr>
          <w:rFonts w:hint="default" w:ascii="Times New Roman" w:hAnsi="Times New Roman" w:eastAsia="仿宋_GB2312" w:cs="Times New Roman"/>
          <w:color w:val="000000"/>
          <w:sz w:val="32"/>
          <w:szCs w:val="32"/>
        </w:rPr>
        <w:t>做大做强主导产业和特色产业集群</w:t>
      </w:r>
      <w:r>
        <w:rPr>
          <w:rFonts w:hint="default" w:ascii="Times New Roman" w:hAnsi="Times New Roman" w:eastAsia="仿宋_GB2312" w:cs="Times New Roman"/>
          <w:sz w:val="32"/>
          <w:szCs w:val="32"/>
        </w:rPr>
        <w:t>。在产业发展上做好两个基地建设，</w:t>
      </w:r>
      <w:r>
        <w:rPr>
          <w:rFonts w:hint="default" w:ascii="Times New Roman" w:hAnsi="Times New Roman" w:eastAsia="仿宋_GB2312" w:cs="Times New Roman"/>
          <w:color w:val="000000"/>
          <w:kern w:val="0"/>
          <w:sz w:val="32"/>
          <w:szCs w:val="32"/>
          <w:lang w:val="zh-CN"/>
        </w:rPr>
        <w:t>以龙头企业三厦厨具为主体，</w:t>
      </w:r>
      <w:r>
        <w:rPr>
          <w:rFonts w:hint="default" w:ascii="Times New Roman" w:hAnsi="Times New Roman" w:eastAsia="仿宋_GB2312" w:cs="Times New Roman"/>
          <w:color w:val="000000"/>
          <w:kern w:val="0"/>
          <w:sz w:val="32"/>
          <w:szCs w:val="32"/>
        </w:rPr>
        <w:t>打造“世界铸铁炊具生产基地”；以远大阀门为依托，打造“亚洲阀门研发制造基地”。</w:t>
      </w:r>
      <w:r>
        <w:rPr>
          <w:rFonts w:hint="default" w:ascii="Times New Roman" w:hAnsi="Times New Roman" w:eastAsia="楷体_GB2312" w:cs="Times New Roman"/>
          <w:color w:val="000000"/>
          <w:sz w:val="32"/>
          <w:szCs w:val="32"/>
        </w:rPr>
        <w:t xml:space="preserve"> </w:t>
      </w:r>
      <w:r>
        <w:rPr>
          <w:rFonts w:hint="default" w:ascii="Times New Roman" w:hAnsi="Times New Roman" w:eastAsia="仿宋_GB2312" w:cs="Times New Roman"/>
          <w:sz w:val="32"/>
          <w:szCs w:val="32"/>
        </w:rPr>
        <w:t>在园区建设上，</w:t>
      </w:r>
      <w:r>
        <w:rPr>
          <w:rFonts w:hint="default" w:ascii="Times New Roman" w:hAnsi="Times New Roman" w:eastAsia="仿宋_GB2312" w:cs="Times New Roman"/>
          <w:color w:val="000000"/>
          <w:sz w:val="32"/>
          <w:szCs w:val="32"/>
        </w:rPr>
        <w:t>增强优质资源要素吸引力和承载力</w:t>
      </w:r>
      <w:r>
        <w:rPr>
          <w:rFonts w:hint="default" w:ascii="Times New Roman" w:hAnsi="Times New Roman" w:eastAsia="仿宋_GB2312" w:cs="Times New Roman"/>
          <w:sz w:val="32"/>
          <w:szCs w:val="32"/>
        </w:rPr>
        <w:t>，加速各种生产要素和政策保障机制对托管区域的辐射和覆盖，实现“一区三园”协调发展。在规划执行上，推进唐尧新区规划和开发区规划的融合对接，并用大开发区的理念，推动唐尧新区和开发区融合发展。在行政审批上，推进网上审批服务，实现企业办理事项 “最多跑一次”的目标，着力建设一流营商环境。</w:t>
      </w:r>
    </w:p>
    <w:p w14:paraId="1C81DE3A">
      <w:pPr>
        <w:pBdr>
          <w:bottom w:val="none" w:color="auto" w:sz="0" w:space="23"/>
        </w:pBdr>
        <w:tabs>
          <w:tab w:val="left" w:pos="0"/>
        </w:tabs>
        <w:snapToGrid w:val="0"/>
        <w:spacing w:line="580" w:lineRule="exact"/>
        <w:ind w:firstLine="672" w:firstLineChars="200"/>
        <w:textAlignment w:val="baseline"/>
        <w:rPr>
          <w:rFonts w:hint="eastAsia" w:ascii="黑体" w:hAnsi="黑体" w:eastAsia="黑体" w:cs="黑体"/>
          <w:b w:val="0"/>
          <w:bCs/>
          <w:spacing w:val="8"/>
          <w:sz w:val="32"/>
          <w:szCs w:val="32"/>
        </w:rPr>
      </w:pPr>
      <w:r>
        <w:rPr>
          <w:rFonts w:hint="eastAsia" w:ascii="黑体" w:hAnsi="黑体" w:eastAsia="黑体" w:cs="黑体"/>
          <w:b w:val="0"/>
          <w:bCs/>
          <w:spacing w:val="8"/>
          <w:sz w:val="32"/>
          <w:szCs w:val="32"/>
          <w:lang w:val="en-US" w:eastAsia="zh-CN"/>
        </w:rPr>
        <w:t>二、</w:t>
      </w:r>
      <w:r>
        <w:rPr>
          <w:rFonts w:hint="eastAsia" w:ascii="黑体" w:hAnsi="黑体" w:eastAsia="黑体" w:cs="黑体"/>
          <w:b w:val="0"/>
          <w:bCs/>
          <w:spacing w:val="8"/>
          <w:sz w:val="32"/>
          <w:szCs w:val="32"/>
          <w:lang w:eastAsia="zh-CN"/>
        </w:rPr>
        <w:t>多措并举</w:t>
      </w:r>
      <w:r>
        <w:rPr>
          <w:rFonts w:hint="eastAsia" w:ascii="黑体" w:hAnsi="黑体" w:eastAsia="黑体" w:cs="黑体"/>
          <w:b w:val="0"/>
          <w:bCs/>
          <w:spacing w:val="8"/>
          <w:sz w:val="32"/>
          <w:szCs w:val="32"/>
        </w:rPr>
        <w:t>，推进招商引资取得新成绩</w:t>
      </w:r>
    </w:p>
    <w:p w14:paraId="5188A001">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紧密结合我省战略性新兴产业规划，以开发区主导产业发展方向为指引，内培外引并重，积极对接京津项目转移。2022年，计划招引亿元以上项目10个。一是</w:t>
      </w:r>
      <w:r>
        <w:rPr>
          <w:rFonts w:hint="default" w:ascii="Times New Roman" w:hAnsi="Times New Roman" w:eastAsia="仿宋_GB2312" w:cs="Times New Roman"/>
          <w:sz w:val="32"/>
          <w:szCs w:val="32"/>
          <w:lang w:eastAsia="zh-CN"/>
        </w:rPr>
        <w:t>推进中介招商。</w:t>
      </w:r>
      <w:r>
        <w:rPr>
          <w:rFonts w:hint="default" w:ascii="Times New Roman" w:hAnsi="Times New Roman" w:eastAsia="仿宋_GB2312" w:cs="Times New Roman"/>
          <w:sz w:val="32"/>
          <w:szCs w:val="32"/>
        </w:rPr>
        <w:t>加强与有实力的中介机构的合作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如东方龙商务公司和天津谷川联行有限公司，属于行业内龙头企业，</w:t>
      </w:r>
      <w:r>
        <w:rPr>
          <w:rFonts w:hint="default" w:ascii="Times New Roman" w:hAnsi="Times New Roman" w:eastAsia="仿宋_GB2312" w:cs="Times New Roman"/>
          <w:sz w:val="32"/>
          <w:szCs w:val="32"/>
          <w:lang w:eastAsia="zh-CN"/>
        </w:rPr>
        <w:t>促成合作协议的签订，</w:t>
      </w:r>
      <w:r>
        <w:rPr>
          <w:rFonts w:hint="default" w:ascii="Times New Roman" w:hAnsi="Times New Roman" w:eastAsia="仿宋_GB2312" w:cs="Times New Roman"/>
          <w:sz w:val="32"/>
          <w:szCs w:val="32"/>
        </w:rPr>
        <w:t>利用他们大数据和市场化的手段搜集有效的招商线索，</w:t>
      </w:r>
      <w:r>
        <w:rPr>
          <w:rFonts w:hint="default" w:ascii="Times New Roman" w:hAnsi="Times New Roman" w:eastAsia="仿宋_GB2312" w:cs="Times New Roman"/>
          <w:sz w:val="32"/>
          <w:szCs w:val="32"/>
          <w:lang w:eastAsia="zh-CN"/>
        </w:rPr>
        <w:t>并</w:t>
      </w:r>
      <w:r>
        <w:rPr>
          <w:rFonts w:hint="default" w:ascii="Times New Roman" w:hAnsi="Times New Roman" w:eastAsia="仿宋_GB2312" w:cs="Times New Roman"/>
          <w:sz w:val="32"/>
          <w:szCs w:val="32"/>
        </w:rPr>
        <w:t>加大跟进力度，确保有更多的项目落地</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二是</w:t>
      </w:r>
      <w:r>
        <w:rPr>
          <w:rFonts w:hint="default" w:ascii="Times New Roman" w:hAnsi="Times New Roman" w:eastAsia="仿宋_GB2312" w:cs="Times New Roman"/>
          <w:sz w:val="32"/>
          <w:szCs w:val="32"/>
          <w:lang w:eastAsia="zh-CN"/>
        </w:rPr>
        <w:t>推进亲情招商。</w:t>
      </w:r>
      <w:r>
        <w:rPr>
          <w:rFonts w:hint="default" w:ascii="Times New Roman" w:hAnsi="Times New Roman" w:eastAsia="仿宋_GB2312" w:cs="Times New Roman"/>
          <w:sz w:val="32"/>
          <w:szCs w:val="32"/>
        </w:rPr>
        <w:t>加强与隆尧籍老乡的联络，发动各乡镇、各部门的力量，加大宣传力度，让每个在外的优秀成功人士都了解我们的招商政策和我们的招商优势，进而成为源源不断的线索提供者</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三是</w:t>
      </w:r>
      <w:r>
        <w:rPr>
          <w:rFonts w:hint="default" w:ascii="Times New Roman" w:hAnsi="Times New Roman" w:eastAsia="仿宋_GB2312" w:cs="Times New Roman"/>
          <w:sz w:val="32"/>
          <w:szCs w:val="32"/>
          <w:lang w:eastAsia="zh-CN"/>
        </w:rPr>
        <w:t>推进</w:t>
      </w:r>
      <w:r>
        <w:rPr>
          <w:rFonts w:hint="default" w:ascii="Times New Roman" w:hAnsi="Times New Roman" w:eastAsia="仿宋_GB2312" w:cs="Times New Roman"/>
          <w:sz w:val="32"/>
          <w:szCs w:val="32"/>
        </w:rPr>
        <w:t>产业链招商。以三厦、远大、华翱、华尖、瀚驰、百龙等本地企业为依托，深挖灰铸铁炊具、阀门制造、五金制品、新材料等产业链项目。四</w:t>
      </w:r>
      <w:r>
        <w:rPr>
          <w:rFonts w:hint="default" w:ascii="Times New Roman" w:hAnsi="Times New Roman" w:eastAsia="仿宋_GB2312" w:cs="Times New Roman"/>
          <w:sz w:val="32"/>
          <w:szCs w:val="32"/>
          <w:lang w:eastAsia="zh-CN"/>
        </w:rPr>
        <w:t>推进</w:t>
      </w:r>
      <w:r>
        <w:rPr>
          <w:rFonts w:hint="default" w:ascii="Times New Roman" w:hAnsi="Times New Roman" w:eastAsia="仿宋_GB2312" w:cs="Times New Roman"/>
          <w:sz w:val="32"/>
          <w:szCs w:val="32"/>
        </w:rPr>
        <w:t>行业协会招商。如灰铸铁协会、铸造协会、汽车零部件制造协会、洁净行业协会等，通过与专业的行业协会建立长效的沟通机制，丰富我们的招商线索来源。</w:t>
      </w:r>
    </w:p>
    <w:p w14:paraId="45B900D4">
      <w:pPr>
        <w:numPr>
          <w:ilvl w:val="0"/>
          <w:numId w:val="0"/>
        </w:numPr>
        <w:pBdr>
          <w:bottom w:val="none" w:color="auto" w:sz="0" w:space="23"/>
        </w:pBdr>
        <w:tabs>
          <w:tab w:val="left" w:pos="0"/>
        </w:tabs>
        <w:snapToGrid w:val="0"/>
        <w:spacing w:line="580" w:lineRule="exact"/>
        <w:ind w:firstLine="640" w:firstLineChars="200"/>
        <w:textAlignment w:val="baseline"/>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三、</w:t>
      </w:r>
      <w:r>
        <w:rPr>
          <w:rFonts w:hint="eastAsia" w:ascii="黑体" w:hAnsi="黑体" w:eastAsia="黑体" w:cs="黑体"/>
          <w:b w:val="0"/>
          <w:bCs/>
          <w:sz w:val="32"/>
          <w:szCs w:val="32"/>
        </w:rPr>
        <w:t>做优做强，推进经济</w:t>
      </w:r>
      <w:r>
        <w:rPr>
          <w:rFonts w:hint="eastAsia" w:ascii="黑体" w:hAnsi="黑体" w:eastAsia="黑体" w:cs="黑体"/>
          <w:b w:val="0"/>
          <w:bCs/>
          <w:sz w:val="32"/>
          <w:szCs w:val="32"/>
          <w:lang w:eastAsia="zh-CN"/>
        </w:rPr>
        <w:t>发展再提速</w:t>
      </w:r>
    </w:p>
    <w:p w14:paraId="4D976A49">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投产项目抓质量，加强融资、营销、技改等帮扶力度，推进企业规模做大、实力做强，质量提高。2022年计划实现营收增速15%以上、培育3家以上企业升级为规上企业；二是在建项目促投产，主要推动总投资2.6亿元的河北三厦厨具科技有限公司植物油锅项目年内竣工。三是落地项目促进度，实行项目化、清单化、节点化管理方法，落实责任，倒排工期，推动总投资20亿元的河北量子智能科技有限公司镁合金模板爬架设备和汽车配件项目、总投资1.35亿元的宽衍公司轨道交通智能综合检测装备项目、总投资1.25亿元的熔炼中心项目及总投资1.2亿元的科创园项目前期手续办理进度，按时间节点完成投资进度。2022年预计实现工业投资增长10%以上，年终考核中，力争在农业主产区序列中较上一年度再进1</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2个位次。</w:t>
      </w:r>
    </w:p>
    <w:p w14:paraId="7954E1BF">
      <w:pPr>
        <w:numPr>
          <w:ilvl w:val="0"/>
          <w:numId w:val="0"/>
        </w:numPr>
        <w:pBdr>
          <w:bottom w:val="none" w:color="auto" w:sz="0" w:space="23"/>
        </w:pBdr>
        <w:tabs>
          <w:tab w:val="left" w:pos="0"/>
        </w:tabs>
        <w:snapToGrid w:val="0"/>
        <w:spacing w:line="580" w:lineRule="exact"/>
        <w:ind w:firstLine="672" w:firstLineChars="200"/>
        <w:textAlignment w:val="baseline"/>
        <w:rPr>
          <w:rFonts w:hint="eastAsia" w:ascii="黑体" w:hAnsi="黑体" w:eastAsia="黑体" w:cs="黑体"/>
          <w:b w:val="0"/>
          <w:bCs/>
          <w:spacing w:val="8"/>
          <w:sz w:val="32"/>
          <w:szCs w:val="32"/>
          <w:lang w:eastAsia="zh-CN"/>
        </w:rPr>
      </w:pPr>
      <w:r>
        <w:rPr>
          <w:rFonts w:hint="eastAsia" w:ascii="黑体" w:hAnsi="黑体" w:eastAsia="黑体" w:cs="黑体"/>
          <w:b w:val="0"/>
          <w:bCs/>
          <w:spacing w:val="8"/>
          <w:sz w:val="32"/>
          <w:szCs w:val="32"/>
          <w:lang w:eastAsia="zh-CN"/>
        </w:rPr>
        <w:t>四、</w:t>
      </w:r>
      <w:r>
        <w:rPr>
          <w:rFonts w:hint="eastAsia" w:ascii="黑体" w:hAnsi="黑体" w:eastAsia="黑体" w:cs="黑体"/>
          <w:b w:val="0"/>
          <w:bCs/>
          <w:spacing w:val="8"/>
          <w:sz w:val="32"/>
          <w:szCs w:val="32"/>
        </w:rPr>
        <w:t>加强基建，推动园区承载能力再</w:t>
      </w:r>
      <w:r>
        <w:rPr>
          <w:rFonts w:hint="eastAsia" w:ascii="黑体" w:hAnsi="黑体" w:eastAsia="黑体" w:cs="黑体"/>
          <w:b w:val="0"/>
          <w:bCs/>
          <w:spacing w:val="8"/>
          <w:sz w:val="32"/>
          <w:szCs w:val="32"/>
          <w:lang w:eastAsia="zh-CN"/>
        </w:rPr>
        <w:t>提升</w:t>
      </w:r>
    </w:p>
    <w:p w14:paraId="4C5286C7">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大力推进熔炼中心和装备制造科创园的建设，有效降低企业的研发支出和生产成本，实现土地的集约使用。目前熔炼中心项目已完成文明施工，正在做规划方案设计，已完成专家评审，计划11月30日前完成县规委会审批， 2022年1月15日完成施工许可证办理，进场施工，2022年12月31日竣工。目前</w:t>
      </w:r>
      <w:r>
        <w:rPr>
          <w:rFonts w:hint="default" w:ascii="Times New Roman" w:hAnsi="Times New Roman" w:eastAsia="仿宋_GB2312" w:cs="Times New Roman"/>
          <w:sz w:val="32"/>
          <w:szCs w:val="32"/>
          <w:lang w:eastAsia="zh-CN"/>
        </w:rPr>
        <w:t>，正在</w:t>
      </w:r>
      <w:r>
        <w:rPr>
          <w:rFonts w:hint="default" w:ascii="Times New Roman" w:hAnsi="Times New Roman" w:eastAsia="仿宋_GB2312" w:cs="Times New Roman"/>
          <w:sz w:val="32"/>
          <w:szCs w:val="32"/>
        </w:rPr>
        <w:t>准备科创园项目工程勘察设计招投标，计划2022年3月15日完成施工许可证办理，进场施工，2022年1</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月竣工。</w:t>
      </w:r>
    </w:p>
    <w:p w14:paraId="5FF31F1A">
      <w:pPr>
        <w:numPr>
          <w:ilvl w:val="0"/>
          <w:numId w:val="0"/>
        </w:numPr>
        <w:pBdr>
          <w:bottom w:val="none" w:color="auto" w:sz="0" w:space="23"/>
        </w:pBdr>
        <w:tabs>
          <w:tab w:val="left" w:pos="0"/>
        </w:tabs>
        <w:snapToGrid w:val="0"/>
        <w:spacing w:line="580" w:lineRule="exact"/>
        <w:ind w:firstLine="672" w:firstLineChars="200"/>
        <w:textAlignment w:val="baseline"/>
        <w:rPr>
          <w:rFonts w:hint="eastAsia" w:ascii="黑体" w:hAnsi="黑体" w:eastAsia="黑体" w:cs="黑体"/>
          <w:b w:val="0"/>
          <w:bCs/>
          <w:sz w:val="32"/>
          <w:szCs w:val="32"/>
        </w:rPr>
      </w:pPr>
      <w:r>
        <w:rPr>
          <w:rFonts w:hint="eastAsia" w:ascii="黑体" w:hAnsi="黑体" w:eastAsia="黑体" w:cs="黑体"/>
          <w:b w:val="0"/>
          <w:bCs/>
          <w:spacing w:val="8"/>
          <w:sz w:val="32"/>
          <w:szCs w:val="32"/>
          <w:lang w:eastAsia="zh-CN"/>
        </w:rPr>
        <w:t>五、</w:t>
      </w:r>
      <w:r>
        <w:rPr>
          <w:rFonts w:hint="eastAsia" w:ascii="黑体" w:hAnsi="黑体" w:eastAsia="黑体" w:cs="黑体"/>
          <w:b w:val="0"/>
          <w:bCs/>
          <w:spacing w:val="8"/>
          <w:sz w:val="32"/>
          <w:szCs w:val="32"/>
        </w:rPr>
        <w:t>加大力度，</w:t>
      </w:r>
      <w:r>
        <w:rPr>
          <w:rFonts w:hint="eastAsia" w:ascii="黑体" w:hAnsi="黑体" w:eastAsia="黑体" w:cs="黑体"/>
          <w:b w:val="0"/>
          <w:bCs/>
          <w:sz w:val="32"/>
          <w:szCs w:val="32"/>
        </w:rPr>
        <w:t>推进万亩千亿大平台建设</w:t>
      </w:r>
    </w:p>
    <w:p w14:paraId="5AA17101">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加快推进万亩千亿大平台各项政策措施落地，强化政策保障，激发发展动力活力；明晰产业发展导向，以新兴产业和重大标志性项目、行业龙头项目建设为突破，促进开发区集聚、集约、集中高质量赶超进位发展；强化重大项目建设，聚焦“大好高优”项目招引，拉高项目引进标尺，提升大平台发展质量。</w:t>
      </w:r>
    </w:p>
    <w:p w14:paraId="4D4A8584">
      <w:pPr>
        <w:numPr>
          <w:ilvl w:val="0"/>
          <w:numId w:val="0"/>
        </w:numPr>
        <w:pBdr>
          <w:bottom w:val="none" w:color="auto" w:sz="0" w:space="23"/>
        </w:pBdr>
        <w:tabs>
          <w:tab w:val="left" w:pos="0"/>
        </w:tabs>
        <w:snapToGrid w:val="0"/>
        <w:spacing w:line="580" w:lineRule="exact"/>
        <w:ind w:firstLine="672" w:firstLineChars="200"/>
        <w:textAlignment w:val="baseline"/>
        <w:rPr>
          <w:rFonts w:hint="default" w:ascii="Times New Roman" w:hAnsi="Times New Roman" w:eastAsia="楷体" w:cs="Times New Roman"/>
          <w:b/>
          <w:spacing w:val="8"/>
          <w:sz w:val="32"/>
          <w:szCs w:val="32"/>
        </w:rPr>
      </w:pPr>
      <w:r>
        <w:rPr>
          <w:rFonts w:hint="eastAsia" w:ascii="黑体" w:hAnsi="黑体" w:eastAsia="黑体" w:cs="黑体"/>
          <w:b w:val="0"/>
          <w:bCs/>
          <w:spacing w:val="8"/>
          <w:sz w:val="32"/>
          <w:szCs w:val="32"/>
          <w:lang w:eastAsia="zh-CN"/>
        </w:rPr>
        <w:t>六、严管和帮扶相结合</w:t>
      </w:r>
      <w:r>
        <w:rPr>
          <w:rFonts w:hint="eastAsia" w:ascii="黑体" w:hAnsi="黑体" w:eastAsia="黑体" w:cs="黑体"/>
          <w:b w:val="0"/>
          <w:bCs/>
          <w:spacing w:val="8"/>
          <w:sz w:val="32"/>
          <w:szCs w:val="32"/>
        </w:rPr>
        <w:t>，</w:t>
      </w:r>
      <w:r>
        <w:rPr>
          <w:rFonts w:hint="eastAsia" w:ascii="黑体" w:hAnsi="黑体" w:eastAsia="黑体" w:cs="黑体"/>
          <w:b w:val="0"/>
          <w:bCs/>
          <w:spacing w:val="8"/>
          <w:sz w:val="32"/>
          <w:szCs w:val="32"/>
          <w:lang w:eastAsia="zh-CN"/>
        </w:rPr>
        <w:t>推进</w:t>
      </w:r>
      <w:r>
        <w:rPr>
          <w:rFonts w:hint="eastAsia" w:ascii="黑体" w:hAnsi="黑体" w:eastAsia="黑体" w:cs="黑体"/>
          <w:b w:val="0"/>
          <w:bCs/>
          <w:spacing w:val="8"/>
          <w:sz w:val="32"/>
          <w:szCs w:val="32"/>
        </w:rPr>
        <w:t>安全环保工作取得新成效</w:t>
      </w:r>
    </w:p>
    <w:p w14:paraId="10E59249">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加强组织领导，严格落实网格化监管责任体系，全员分包企业，层层落实，确保不留死角。二是编制大气污染治理“一园一策”方案，推进工业园区大气污染治理精细化管理，有效削减大气污染物排放，不断提高工业园区大气环境管理水平，强化落实企业主体责任、行业主管责任和属地监管责任。三是建设安全生产可视化平台，实现对安全生产重大风险分级管控、动态监测、精准执法。</w:t>
      </w:r>
    </w:p>
    <w:p w14:paraId="56D30DAB">
      <w:pPr>
        <w:numPr>
          <w:ilvl w:val="0"/>
          <w:numId w:val="0"/>
        </w:numPr>
        <w:pBdr>
          <w:bottom w:val="none" w:color="auto" w:sz="0" w:space="23"/>
        </w:pBdr>
        <w:tabs>
          <w:tab w:val="left" w:pos="0"/>
        </w:tabs>
        <w:snapToGrid w:val="0"/>
        <w:spacing w:line="580" w:lineRule="exact"/>
        <w:ind w:firstLine="672" w:firstLineChars="200"/>
        <w:textAlignment w:val="baseline"/>
        <w:rPr>
          <w:rFonts w:hint="eastAsia" w:ascii="黑体" w:hAnsi="黑体" w:eastAsia="黑体" w:cs="黑体"/>
          <w:b w:val="0"/>
          <w:bCs/>
          <w:spacing w:val="8"/>
          <w:sz w:val="32"/>
          <w:szCs w:val="32"/>
        </w:rPr>
      </w:pPr>
      <w:r>
        <w:rPr>
          <w:rFonts w:hint="eastAsia" w:ascii="黑体" w:hAnsi="黑体" w:eastAsia="黑体" w:cs="黑体"/>
          <w:b w:val="0"/>
          <w:bCs/>
          <w:spacing w:val="8"/>
          <w:sz w:val="32"/>
          <w:szCs w:val="32"/>
          <w:lang w:eastAsia="zh-CN"/>
        </w:rPr>
        <w:t>七、</w:t>
      </w:r>
      <w:r>
        <w:rPr>
          <w:rFonts w:hint="eastAsia" w:ascii="黑体" w:hAnsi="黑体" w:eastAsia="黑体" w:cs="黑体"/>
          <w:b w:val="0"/>
          <w:bCs/>
          <w:spacing w:val="8"/>
          <w:sz w:val="32"/>
          <w:szCs w:val="32"/>
        </w:rPr>
        <w:t>提高站位，推进基层党建工作再上新台阶</w:t>
      </w:r>
    </w:p>
    <w:p w14:paraId="2B6F2959">
      <w:pPr>
        <w:pBdr>
          <w:bottom w:val="none" w:color="auto" w:sz="0" w:space="23"/>
        </w:pBdr>
        <w:tabs>
          <w:tab w:val="left" w:pos="0"/>
        </w:tabs>
        <w:snapToGrid w:val="0"/>
        <w:spacing w:line="580" w:lineRule="exact"/>
        <w:ind w:firstLine="640"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加强党群活动服务中心建设，坚持“服务党员、服务职工、服务群众、服务民生、服务改革、服务发展”的宗旨，组织丰富多样的党群活动，进一步拉近党群、干群关系，加大红色工业圈建设。二是加强意识形态建设，引导各支部学习党的精神，方针政策，贯彻落实“三会一课”、民主生活会等各项制度，加大以宝信党支部、珈奥党支部为例，培树亮点，打造优秀非公党建阵地。三是加强党的宣传工作，鼓励广大企业职工积极踊跃入党，大力开展“双育工程”，吸收企业出资人、业务骨干等优秀人才加入党组织，2022年计划发展积极分子40余人，发展预备党员15名。</w:t>
      </w:r>
    </w:p>
    <w:p w14:paraId="28BAC575">
      <w:pPr>
        <w:keepNext w:val="0"/>
        <w:keepLines w:val="0"/>
        <w:pageBreakBefore w:val="0"/>
        <w:widowControl w:val="0"/>
        <w:numPr>
          <w:ilvl w:val="0"/>
          <w:numId w:val="0"/>
        </w:numPr>
        <w:pBdr>
          <w:bottom w:val="none" w:color="auto" w:sz="0" w:space="23"/>
        </w:pBdr>
        <w:tabs>
          <w:tab w:val="left" w:pos="0"/>
        </w:tabs>
        <w:kinsoku/>
        <w:wordWrap/>
        <w:overflowPunct/>
        <w:topLinePunct w:val="0"/>
        <w:autoSpaceDE/>
        <w:autoSpaceDN/>
        <w:bidi w:val="0"/>
        <w:adjustRightInd/>
        <w:snapToGrid w:val="0"/>
        <w:spacing w:line="580" w:lineRule="exact"/>
        <w:ind w:firstLine="672" w:firstLineChars="200"/>
        <w:textAlignment w:val="baseline"/>
        <w:rPr>
          <w:rFonts w:hint="eastAsia" w:ascii="黑体" w:hAnsi="黑体" w:eastAsia="黑体" w:cs="黑体"/>
          <w:b w:val="0"/>
          <w:bCs/>
          <w:spacing w:val="8"/>
          <w:sz w:val="32"/>
          <w:szCs w:val="32"/>
        </w:rPr>
      </w:pPr>
      <w:r>
        <w:rPr>
          <w:rFonts w:hint="eastAsia" w:ascii="黑体" w:hAnsi="黑体" w:eastAsia="黑体" w:cs="黑体"/>
          <w:b w:val="0"/>
          <w:bCs/>
          <w:spacing w:val="8"/>
          <w:sz w:val="32"/>
          <w:szCs w:val="32"/>
          <w:lang w:eastAsia="zh-CN"/>
        </w:rPr>
        <w:t>八、</w:t>
      </w:r>
      <w:r>
        <w:rPr>
          <w:rFonts w:hint="eastAsia" w:ascii="黑体" w:hAnsi="黑体" w:eastAsia="黑体" w:cs="黑体"/>
          <w:b w:val="0"/>
          <w:bCs/>
          <w:spacing w:val="8"/>
          <w:sz w:val="32"/>
          <w:szCs w:val="32"/>
        </w:rPr>
        <w:t>开拓创新，推进园区改革取得新进展</w:t>
      </w:r>
    </w:p>
    <w:p w14:paraId="1F0B3E5B">
      <w:r>
        <w:rPr>
          <w:rFonts w:hint="default" w:ascii="Times New Roman" w:hAnsi="Times New Roman" w:eastAsia="仿宋_GB2312" w:cs="Times New Roman"/>
          <w:sz w:val="32"/>
          <w:szCs w:val="32"/>
        </w:rPr>
        <w:t>一是按照省级开发区改革精神，把准时间，抓住重点，统筹推进，合理编制预算，确保开发区改革取得实效。二是强化服务智能，减少行政审批流程，精简审批环节，放宽审核合一权限，提升服务效能。加强同各职能部门的协调沟通和密切配合，确保“园区事项园区办”取得实效。三是继续推进线上线下融合服务，努力构建“线下一中心，线上一张网”工作机制，推进线上咨询、审查、指导等措施，优化审批服务。通过容缺后补、绿色通道、清单化服务等便利化措施，实现“最多跑一次”的目标。四是开展审批服务全程代办服务，实行全员分包联系企业制度，涉及园区行政审批事项在企业落地后由分包联系企业人员负责代办。</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00000001" w:usb1="08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88D1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100" w:beforeLines="0" w:beforeAutospacing="0" w:after="90" w:afterLines="0" w:afterAutospacing="0" w:line="240" w:lineRule="auto"/>
      <w:jc w:val="center"/>
      <w:outlineLvl w:val="0"/>
    </w:pPr>
    <w:rPr>
      <w:rFonts w:eastAsia="方正小标宋简体" w:asciiTheme="minorAscii" w:hAnsiTheme="minorAscii"/>
      <w:kern w:val="44"/>
      <w:sz w:val="44"/>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2025-05-30T00:40:44Z</dcterms:created>
  <dc:creator>Administrator</dc:creator>
  <cp:lastModifiedBy>～青春飞翔的泡沫～</cp:lastModifiedBy>
  <dcterms:modified xsi:type="dcterms:W3CDTF">2025-05-30T00:41:23Z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eyJoZGlkIjoiMjM4YzA1YjdiNGQ2OTAwNjg2ZmIzZTU2NGNjZDRhNGUiLCJ1c2VySWQiOiIzNTAwODMxMTkifQ==</vt:lpwstr>
  </property>
  <property fmtid="{D5CDD505-2E9C-101B-9397-08002B2CF9AE}" pid="4" name="ICV">
    <vt:lpwstr>6DADC3823BE1406B917CDB8C38D7E6A7_12</vt:lpwstr>
  </property>
</Properties>
</file>