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54BB96">
      <w:pPr>
        <w:pStyle w:val="2"/>
        <w:keepNext/>
        <w:keepLines/>
        <w:pageBreakBefore w:val="0"/>
        <w:widowControl w:val="0"/>
        <w:kinsoku/>
        <w:wordWrap/>
        <w:overflowPunct/>
        <w:topLinePunct w:val="0"/>
        <w:autoSpaceDE/>
        <w:autoSpaceDN/>
        <w:bidi w:val="0"/>
        <w:adjustRightInd/>
        <w:snapToGrid/>
        <w:spacing w:before="0" w:after="0" w:line="600" w:lineRule="exact"/>
        <w:jc w:val="center"/>
        <w:textAlignment w:val="auto"/>
        <w:rPr>
          <w:rFonts w:hint="default" w:ascii="Times New Roman" w:hAnsi="Times New Roman" w:cs="Times New Roman"/>
          <w:lang w:val="en-US" w:eastAsia="zh-CN"/>
        </w:rPr>
      </w:pPr>
      <w:bookmarkStart w:id="0" w:name="_Toc10430"/>
      <w:r>
        <w:rPr>
          <w:rFonts w:hint="default" w:ascii="Times New Roman" w:hAnsi="Times New Roman" w:cs="Times New Roman"/>
          <w:lang w:val="en-US" w:eastAsia="zh-CN"/>
        </w:rPr>
        <w:t>河北隆尧经济开发区2023年工作要点</w:t>
      </w:r>
      <w:bookmarkEnd w:id="0"/>
    </w:p>
    <w:p w14:paraId="0F749939">
      <w:pPr>
        <w:rPr>
          <w:rFonts w:hint="default" w:ascii="Times New Roman" w:hAnsi="Times New Roman" w:eastAsia="宋体" w:cs="Times New Roman"/>
        </w:rPr>
      </w:pPr>
    </w:p>
    <w:p w14:paraId="546CD9E1">
      <w:pPr>
        <w:keepNext w:val="0"/>
        <w:keepLines w:val="0"/>
        <w:pageBreakBefore w:val="0"/>
        <w:widowControl/>
        <w:kinsoku/>
        <w:wordWrap/>
        <w:overflowPunct/>
        <w:topLinePunct w:val="0"/>
        <w:autoSpaceDE/>
        <w:autoSpaceDN/>
        <w:bidi w:val="0"/>
        <w:adjustRightInd/>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年，开发区管委会将继续以习近平新时代中国特色社会主义思想为指引，围绕我县“15546”发展思路，以项目建设为抓手，以服务企业为宗旨，</w:t>
      </w:r>
      <w:r>
        <w:rPr>
          <w:rFonts w:hint="default" w:ascii="Times New Roman" w:hAnsi="Times New Roman" w:eastAsia="仿宋_GB2312" w:cs="Times New Roman"/>
          <w:sz w:val="32"/>
          <w:szCs w:val="32"/>
          <w:lang w:eastAsia="zh-CN"/>
        </w:rPr>
        <w:t>统筹疫情防控和安全生产，</w:t>
      </w:r>
      <w:r>
        <w:rPr>
          <w:rFonts w:hint="default" w:ascii="Times New Roman" w:hAnsi="Times New Roman" w:eastAsia="仿宋_GB2312" w:cs="Times New Roman"/>
          <w:sz w:val="32"/>
          <w:szCs w:val="32"/>
        </w:rPr>
        <w:t>全力推进开发区经济发展稳中有进。</w:t>
      </w:r>
    </w:p>
    <w:p w14:paraId="02A290DE">
      <w:pPr>
        <w:keepNext w:val="0"/>
        <w:keepLines w:val="0"/>
        <w:pageBreakBefore w:val="0"/>
        <w:widowControl/>
        <w:kinsoku/>
        <w:wordWrap/>
        <w:overflowPunct/>
        <w:topLinePunct w:val="0"/>
        <w:autoSpaceDE/>
        <w:autoSpaceDN/>
        <w:bidi w:val="0"/>
        <w:adjustRightInd/>
        <w:spacing w:line="560" w:lineRule="exact"/>
        <w:ind w:firstLine="640" w:firstLineChars="200"/>
        <w:rPr>
          <w:rFonts w:hint="default" w:ascii="Times New Roman" w:hAnsi="Times New Roman" w:eastAsia="黑体" w:cs="Times New Roman"/>
          <w:b w:val="0"/>
          <w:bCs/>
          <w:spacing w:val="8"/>
          <w:sz w:val="32"/>
          <w:szCs w:val="32"/>
        </w:rPr>
      </w:pPr>
      <w:r>
        <w:rPr>
          <w:rFonts w:hint="default" w:ascii="Times New Roman" w:hAnsi="Times New Roman" w:eastAsia="黑体" w:cs="Times New Roman"/>
          <w:b w:val="0"/>
          <w:bCs/>
          <w:sz w:val="32"/>
          <w:szCs w:val="32"/>
          <w:lang w:val="en-US" w:eastAsia="zh-CN"/>
        </w:rPr>
        <w:t>一、</w:t>
      </w:r>
      <w:r>
        <w:rPr>
          <w:rFonts w:hint="default" w:ascii="Times New Roman" w:hAnsi="Times New Roman" w:eastAsia="黑体" w:cs="Times New Roman"/>
          <w:b w:val="0"/>
          <w:bCs/>
          <w:sz w:val="32"/>
          <w:szCs w:val="32"/>
        </w:rPr>
        <w:t>总体</w:t>
      </w:r>
      <w:r>
        <w:rPr>
          <w:rFonts w:hint="default" w:ascii="Times New Roman" w:hAnsi="Times New Roman" w:eastAsia="黑体" w:cs="Times New Roman"/>
          <w:b w:val="0"/>
          <w:bCs/>
          <w:spacing w:val="8"/>
          <w:sz w:val="32"/>
          <w:szCs w:val="32"/>
        </w:rPr>
        <w:t>发展思路</w:t>
      </w:r>
    </w:p>
    <w:p w14:paraId="3A84642A">
      <w:pPr>
        <w:keepNext w:val="0"/>
        <w:keepLines w:val="0"/>
        <w:pageBreakBefore w:val="0"/>
        <w:widowControl/>
        <w:kinsoku/>
        <w:wordWrap/>
        <w:overflowPunct/>
        <w:topLinePunct w:val="0"/>
        <w:autoSpaceDE/>
        <w:autoSpaceDN/>
        <w:bidi w:val="0"/>
        <w:adjustRightInd/>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以开发区的产业发展推进县城建设，以县城建设促进开发区产业发展，走以产兴城、产城融合的发展道路。在招商引资上，聚焦先进装备制造产业、铸铁炊具产业和新材料3个主导产业，做好内培和外引两篇文章，做大做强主导产业和特色产业集群。在产业发展上做好两个基地建设，</w:t>
      </w:r>
      <w:r>
        <w:rPr>
          <w:rFonts w:hint="default" w:ascii="Times New Roman" w:hAnsi="Times New Roman" w:eastAsia="仿宋_GB2312" w:cs="Times New Roman"/>
          <w:sz w:val="32"/>
          <w:szCs w:val="32"/>
          <w:lang w:val="zh-CN"/>
        </w:rPr>
        <w:t>以龙头企业三厦厨具为主体，</w:t>
      </w:r>
      <w:r>
        <w:rPr>
          <w:rFonts w:hint="default" w:ascii="Times New Roman" w:hAnsi="Times New Roman" w:eastAsia="仿宋_GB2312" w:cs="Times New Roman"/>
          <w:sz w:val="32"/>
          <w:szCs w:val="32"/>
        </w:rPr>
        <w:t>打造“世界铸铁炊具生产基地”；以远大阀门为依托，打造“亚洲阀门研发制造基地”。 在园区建设上，增强优质资源要素吸引力和承载力，加速各种生产要素和政策保障机制对托管区域的辐射和覆盖。在规划执行上，推进唐尧新区规划和开发区规划的融合对接，并用大开发区的理念，推动唐尧新区和开发区融合发展。在行政审批上，推进网上审批服务，实现企业办理事项 “最多跑一次”的目标，着力建设一流营商环境。</w:t>
      </w:r>
    </w:p>
    <w:p w14:paraId="0B30BF5C">
      <w:pPr>
        <w:keepNext w:val="0"/>
        <w:keepLines w:val="0"/>
        <w:pageBreakBefore w:val="0"/>
        <w:widowControl/>
        <w:kinsoku/>
        <w:wordWrap/>
        <w:overflowPunct/>
        <w:topLinePunct w:val="0"/>
        <w:autoSpaceDE/>
        <w:autoSpaceDN/>
        <w:bidi w:val="0"/>
        <w:adjustRightInd/>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二、</w:t>
      </w:r>
      <w:r>
        <w:rPr>
          <w:rFonts w:hint="default" w:ascii="Times New Roman" w:hAnsi="Times New Roman" w:eastAsia="黑体" w:cs="Times New Roman"/>
          <w:sz w:val="32"/>
          <w:szCs w:val="32"/>
          <w:lang w:eastAsia="zh-CN"/>
        </w:rPr>
        <w:t>多措并举</w:t>
      </w:r>
      <w:r>
        <w:rPr>
          <w:rFonts w:hint="default" w:ascii="Times New Roman" w:hAnsi="Times New Roman" w:eastAsia="黑体" w:cs="Times New Roman"/>
          <w:sz w:val="32"/>
          <w:szCs w:val="32"/>
        </w:rPr>
        <w:t>，推进招商引资取得新成绩</w:t>
      </w:r>
    </w:p>
    <w:p w14:paraId="28264BFC">
      <w:pPr>
        <w:keepNext w:val="0"/>
        <w:keepLines w:val="0"/>
        <w:pageBreakBefore w:val="0"/>
        <w:widowControl/>
        <w:kinsoku/>
        <w:wordWrap/>
        <w:overflowPunct/>
        <w:topLinePunct w:val="0"/>
        <w:autoSpaceDE/>
        <w:autoSpaceDN/>
        <w:bidi w:val="0"/>
        <w:adjustRightInd/>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紧密结合我省战略性新兴产业规划，以开发区主导产业发展方向为指引，内培外引并重，积极对接京津项目转移。2023年，配合县投资促进局做好开发区项目落地协调服务，加强推进招商线索有效落地。一是推进中介招商。加强与东方龙商务公司对接合作，利用第三方大数据和市场化的手段搜集有效的招商线索，并加大跟进力度，确保有更多的项目落地。二是推进亲情招商。加强与隆尧籍老乡的联络，发动各乡镇、各部门的力量，加大宣传力度，让每个在外的优秀成功人士都了解我们的招商政策和我们的招商优势，进而成为源源不断的线索提供者。三是推进产业链招商。以远大、三厦、华翱、量子及本地特色企业为依托，深挖阀门制造、灰铸铁制造、汽车配件、新材料等产业链项目。四推进行业协会招商。如灰铸铁协会、铸造协会、汽车零部件制造协会、洁净行业协会等，通过与专业的行业协会建立长效的沟通机制，丰富我们的招商线索来源。</w:t>
      </w:r>
    </w:p>
    <w:p w14:paraId="1D0C9EE8">
      <w:pPr>
        <w:keepNext w:val="0"/>
        <w:keepLines w:val="0"/>
        <w:pageBreakBefore w:val="0"/>
        <w:widowControl/>
        <w:kinsoku/>
        <w:wordWrap/>
        <w:overflowPunct/>
        <w:topLinePunct w:val="0"/>
        <w:autoSpaceDE/>
        <w:autoSpaceDN/>
        <w:bidi w:val="0"/>
        <w:adjustRightInd/>
        <w:spacing w:line="560" w:lineRule="exact"/>
        <w:ind w:firstLine="640" w:firstLineChars="200"/>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val="en-US" w:eastAsia="zh-CN"/>
        </w:rPr>
        <w:t>三、</w:t>
      </w:r>
      <w:r>
        <w:rPr>
          <w:rFonts w:hint="default" w:ascii="Times New Roman" w:hAnsi="Times New Roman" w:eastAsia="黑体" w:cs="Times New Roman"/>
          <w:sz w:val="32"/>
          <w:szCs w:val="32"/>
          <w:lang w:eastAsia="zh-CN"/>
        </w:rPr>
        <w:t>做优做强，推进经济发展再提速</w:t>
      </w:r>
    </w:p>
    <w:p w14:paraId="053BF740">
      <w:pPr>
        <w:keepNext w:val="0"/>
        <w:keepLines w:val="0"/>
        <w:pageBreakBefore w:val="0"/>
        <w:widowControl/>
        <w:kinsoku/>
        <w:wordWrap/>
        <w:overflowPunct/>
        <w:topLinePunct w:val="0"/>
        <w:autoSpaceDE/>
        <w:autoSpaceDN/>
        <w:bidi w:val="0"/>
        <w:adjustRightInd/>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是投产项目抓质量，加强融资、营销、技改等帮扶力度，推进企业规模做大、实力做强，质量提高。2023年计划实现营收增速20%以上、培育3家以上企业升级为规上企业；二是在建项目促投产，主要有总投资20亿元的量子智能科技有限公司镁合金模板、爬架设备和汽车配件项目，年度计划投资10亿元，下一步将增加施工人数、统筹所需物资，采取工序交叉方法，流水施工，保证工作面全面铺开。三是落地项目促进度，实行项目化、清单化、节点化管理方法，落实责任，倒排工期，推动总投资12.4亿元的远大阀门集团有限公司年产5万吨精密铸造阀门项目、总投资15亿元的储能项目、6亿元的储能设备生产项目、总投资1.35亿元的宽衍公司轨道交通智能综合检测装备项目等顺利开工建设，确保按时间节点完成投资进度。2023年共谋划重点建设项目24个，总投资78.2亿元，年度计划投资35.32亿元。</w:t>
      </w:r>
    </w:p>
    <w:p w14:paraId="1C5568E9">
      <w:pPr>
        <w:keepNext w:val="0"/>
        <w:keepLines w:val="0"/>
        <w:pageBreakBefore w:val="0"/>
        <w:widowControl/>
        <w:kinsoku/>
        <w:wordWrap/>
        <w:overflowPunct/>
        <w:topLinePunct w:val="0"/>
        <w:autoSpaceDE/>
        <w:autoSpaceDN/>
        <w:bidi w:val="0"/>
        <w:adjustRightInd/>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四、</w:t>
      </w:r>
      <w:r>
        <w:rPr>
          <w:rFonts w:hint="default" w:ascii="Times New Roman" w:hAnsi="Times New Roman" w:eastAsia="黑体" w:cs="Times New Roman"/>
          <w:sz w:val="32"/>
          <w:szCs w:val="32"/>
        </w:rPr>
        <w:t>加强基建，推动园区承载能力再</w:t>
      </w:r>
      <w:r>
        <w:rPr>
          <w:rFonts w:hint="default" w:ascii="Times New Roman" w:hAnsi="Times New Roman" w:eastAsia="黑体" w:cs="Times New Roman"/>
          <w:sz w:val="32"/>
          <w:szCs w:val="32"/>
          <w:lang w:eastAsia="zh-CN"/>
        </w:rPr>
        <w:t>提升</w:t>
      </w:r>
    </w:p>
    <w:p w14:paraId="3CABD3FF">
      <w:pPr>
        <w:keepNext w:val="0"/>
        <w:keepLines w:val="0"/>
        <w:pageBreakBefore w:val="0"/>
        <w:widowControl/>
        <w:kinsoku/>
        <w:wordWrap/>
        <w:overflowPunct/>
        <w:topLinePunct w:val="0"/>
        <w:autoSpaceDE/>
        <w:autoSpaceDN/>
        <w:bidi w:val="0"/>
        <w:adjustRightInd/>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一是谋划</w:t>
      </w:r>
      <w:r>
        <w:rPr>
          <w:rFonts w:hint="default" w:ascii="Times New Roman" w:hAnsi="Times New Roman" w:eastAsia="仿宋_GB2312" w:cs="Times New Roman"/>
          <w:sz w:val="32"/>
          <w:szCs w:val="32"/>
        </w:rPr>
        <w:t>园区供热供气管网建设及市政提升工程，总长度约为7200米</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修建城区热力管道至园区及覆盖全园区的热力管道</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二是谋划</w:t>
      </w:r>
      <w:r>
        <w:rPr>
          <w:rFonts w:hint="default" w:ascii="Times New Roman" w:hAnsi="Times New Roman" w:eastAsia="仿宋_GB2312" w:cs="Times New Roman"/>
          <w:sz w:val="32"/>
          <w:szCs w:val="32"/>
        </w:rPr>
        <w:t>熔炼中心配套设施建设工程，修建研发中心、展厅、会议室、食堂、办公区及宿舍等为一体的综合办公楼</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三是谋划</w:t>
      </w:r>
      <w:r>
        <w:rPr>
          <w:rFonts w:hint="default" w:ascii="Times New Roman" w:hAnsi="Times New Roman" w:eastAsia="仿宋_GB2312" w:cs="Times New Roman"/>
          <w:sz w:val="32"/>
          <w:szCs w:val="32"/>
        </w:rPr>
        <w:t>隆平街、滏阳街北延、汦水街北延、柳行南路东段道路建设</w:t>
      </w:r>
      <w:r>
        <w:rPr>
          <w:rFonts w:hint="default" w:ascii="Times New Roman" w:hAnsi="Times New Roman" w:eastAsia="仿宋_GB2312" w:cs="Times New Roman"/>
          <w:sz w:val="32"/>
          <w:szCs w:val="32"/>
          <w:lang w:eastAsia="zh-CN"/>
        </w:rPr>
        <w:t>项目</w:t>
      </w:r>
      <w:r>
        <w:rPr>
          <w:rFonts w:hint="default" w:ascii="Times New Roman" w:hAnsi="Times New Roman" w:eastAsia="仿宋_GB2312" w:cs="Times New Roman"/>
          <w:sz w:val="32"/>
          <w:szCs w:val="32"/>
        </w:rPr>
        <w:t>，涉及隆平街、滏阳街北延和柳行南路，新修建道路3200米及绿化、亮化、排水、喷灌系统等相关附属设施</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四是谋划</w:t>
      </w:r>
      <w:r>
        <w:rPr>
          <w:rFonts w:hint="default" w:ascii="Times New Roman" w:hAnsi="Times New Roman" w:eastAsia="仿宋_GB2312" w:cs="Times New Roman"/>
          <w:sz w:val="32"/>
          <w:szCs w:val="32"/>
        </w:rPr>
        <w:t>开发区孵化</w:t>
      </w:r>
      <w:r>
        <w:rPr>
          <w:rFonts w:hint="default" w:ascii="Times New Roman" w:hAnsi="Times New Roman" w:eastAsia="仿宋_GB2312" w:cs="Times New Roman"/>
          <w:sz w:val="32"/>
          <w:szCs w:val="32"/>
          <w:lang w:eastAsia="zh-CN"/>
        </w:rPr>
        <w:t>中心</w:t>
      </w:r>
      <w:r>
        <w:rPr>
          <w:rFonts w:hint="default" w:ascii="Times New Roman" w:hAnsi="Times New Roman" w:eastAsia="仿宋_GB2312" w:cs="Times New Roman"/>
          <w:sz w:val="32"/>
          <w:szCs w:val="32"/>
        </w:rPr>
        <w:t>项目，总建筑面积14000平方米，对</w:t>
      </w:r>
      <w:r>
        <w:rPr>
          <w:rFonts w:hint="default" w:ascii="Times New Roman" w:hAnsi="Times New Roman" w:eastAsia="仿宋_GB2312" w:cs="Times New Roman"/>
          <w:sz w:val="32"/>
          <w:szCs w:val="32"/>
          <w:lang w:eastAsia="zh-CN"/>
        </w:rPr>
        <w:t>原</w:t>
      </w:r>
      <w:r>
        <w:rPr>
          <w:rFonts w:hint="default" w:ascii="Times New Roman" w:hAnsi="Times New Roman" w:eastAsia="仿宋_GB2312" w:cs="Times New Roman"/>
          <w:sz w:val="32"/>
          <w:szCs w:val="32"/>
        </w:rPr>
        <w:t>润茂公司框架楼进行</w:t>
      </w:r>
      <w:r>
        <w:rPr>
          <w:rFonts w:hint="default" w:ascii="Times New Roman" w:hAnsi="Times New Roman" w:eastAsia="仿宋_GB2312" w:cs="Times New Roman"/>
          <w:sz w:val="32"/>
          <w:szCs w:val="32"/>
          <w:lang w:eastAsia="zh-CN"/>
        </w:rPr>
        <w:t>二次结构</w:t>
      </w:r>
      <w:r>
        <w:rPr>
          <w:rFonts w:hint="default" w:ascii="Times New Roman" w:hAnsi="Times New Roman" w:eastAsia="仿宋_GB2312" w:cs="Times New Roman"/>
          <w:sz w:val="32"/>
          <w:szCs w:val="32"/>
        </w:rPr>
        <w:t>装修，修建办公区、会议室、餐饮中心、宿舍等。</w:t>
      </w:r>
    </w:p>
    <w:p w14:paraId="6FB9DDC7">
      <w:pPr>
        <w:keepNext w:val="0"/>
        <w:keepLines w:val="0"/>
        <w:pageBreakBefore w:val="0"/>
        <w:widowControl/>
        <w:kinsoku/>
        <w:wordWrap/>
        <w:overflowPunct/>
        <w:topLinePunct w:val="0"/>
        <w:autoSpaceDE/>
        <w:autoSpaceDN/>
        <w:bidi w:val="0"/>
        <w:adjustRightInd/>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五、</w:t>
      </w:r>
      <w:r>
        <w:rPr>
          <w:rFonts w:hint="default" w:ascii="Times New Roman" w:hAnsi="Times New Roman" w:eastAsia="黑体" w:cs="Times New Roman"/>
          <w:sz w:val="32"/>
          <w:szCs w:val="32"/>
          <w:lang w:eastAsia="zh-CN"/>
        </w:rPr>
        <w:t>严管和帮扶相结合</w:t>
      </w:r>
      <w:r>
        <w:rPr>
          <w:rFonts w:hint="default" w:ascii="Times New Roman" w:hAnsi="Times New Roman" w:eastAsia="黑体" w:cs="Times New Roman"/>
          <w:sz w:val="32"/>
          <w:szCs w:val="32"/>
        </w:rPr>
        <w:t>，</w:t>
      </w:r>
      <w:r>
        <w:rPr>
          <w:rFonts w:hint="default" w:ascii="Times New Roman" w:hAnsi="Times New Roman" w:eastAsia="黑体" w:cs="Times New Roman"/>
          <w:sz w:val="32"/>
          <w:szCs w:val="32"/>
          <w:lang w:eastAsia="zh-CN"/>
        </w:rPr>
        <w:t>推进</w:t>
      </w:r>
      <w:r>
        <w:rPr>
          <w:rFonts w:hint="default" w:ascii="Times New Roman" w:hAnsi="Times New Roman" w:eastAsia="黑体" w:cs="Times New Roman"/>
          <w:sz w:val="32"/>
          <w:szCs w:val="32"/>
        </w:rPr>
        <w:t>安全环保工作取得新成效</w:t>
      </w:r>
    </w:p>
    <w:p w14:paraId="6F21F1DC">
      <w:pPr>
        <w:keepNext w:val="0"/>
        <w:keepLines w:val="0"/>
        <w:pageBreakBefore w:val="0"/>
        <w:widowControl/>
        <w:kinsoku/>
        <w:wordWrap/>
        <w:overflowPunct/>
        <w:topLinePunct w:val="0"/>
        <w:autoSpaceDE/>
        <w:autoSpaceDN/>
        <w:bidi w:val="0"/>
        <w:adjustRightInd/>
        <w:spacing w:line="56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一是把好“入口关”，新上项目必须符合环保政策要求，“两高一资”(高污染、高排放、资源消耗型)项目一律不得入驻开发区。二是开展规划环评及环境影响跟踪评价工作，</w:t>
      </w:r>
      <w:r>
        <w:rPr>
          <w:rFonts w:hint="default" w:ascii="Times New Roman" w:hAnsi="Times New Roman" w:eastAsia="仿宋_GB2312" w:cs="Times New Roman"/>
          <w:sz w:val="32"/>
          <w:szCs w:val="32"/>
        </w:rPr>
        <w:t>推进工业园区大气污染治理精细化管理，有效削减大气污染物排放，不断提高工业园区大气环境管理水平</w:t>
      </w:r>
      <w:r>
        <w:rPr>
          <w:rFonts w:hint="default" w:ascii="Times New Roman" w:hAnsi="Times New Roman" w:eastAsia="仿宋_GB2312" w:cs="Times New Roman"/>
          <w:sz w:val="32"/>
          <w:szCs w:val="32"/>
          <w:lang w:val="en-US" w:eastAsia="zh-CN"/>
        </w:rPr>
        <w:t>。三是</w:t>
      </w:r>
      <w:r>
        <w:rPr>
          <w:rFonts w:hint="default" w:ascii="Times New Roman" w:hAnsi="Times New Roman" w:eastAsia="仿宋_GB2312" w:cs="Times New Roman"/>
          <w:sz w:val="32"/>
          <w:szCs w:val="32"/>
        </w:rPr>
        <w:t>联合县</w:t>
      </w:r>
      <w:r>
        <w:rPr>
          <w:rFonts w:hint="default" w:ascii="Times New Roman" w:hAnsi="Times New Roman" w:eastAsia="仿宋_GB2312" w:cs="Times New Roman"/>
          <w:sz w:val="32"/>
          <w:szCs w:val="32"/>
          <w:lang w:val="en-US" w:eastAsia="zh-CN"/>
        </w:rPr>
        <w:t>生态环境分</w:t>
      </w:r>
      <w:r>
        <w:rPr>
          <w:rFonts w:hint="default" w:ascii="Times New Roman" w:hAnsi="Times New Roman" w:eastAsia="仿宋_GB2312" w:cs="Times New Roman"/>
          <w:sz w:val="32"/>
          <w:szCs w:val="32"/>
        </w:rPr>
        <w:t>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应急管理局等职能部门</w:t>
      </w:r>
      <w:r>
        <w:rPr>
          <w:rFonts w:hint="default" w:ascii="Times New Roman" w:hAnsi="Times New Roman" w:eastAsia="仿宋_GB2312" w:cs="Times New Roman"/>
          <w:sz w:val="32"/>
          <w:szCs w:val="32"/>
        </w:rPr>
        <w:t>加大对</w:t>
      </w:r>
      <w:r>
        <w:rPr>
          <w:rFonts w:hint="default" w:ascii="Times New Roman" w:hAnsi="Times New Roman" w:eastAsia="仿宋_GB2312" w:cs="Times New Roman"/>
          <w:sz w:val="32"/>
          <w:szCs w:val="32"/>
          <w:lang w:val="en-US" w:eastAsia="zh-CN"/>
        </w:rPr>
        <w:t>辖区企业</w:t>
      </w:r>
      <w:r>
        <w:rPr>
          <w:rFonts w:hint="default" w:ascii="Times New Roman" w:hAnsi="Times New Roman" w:eastAsia="仿宋_GB2312" w:cs="Times New Roman"/>
          <w:sz w:val="32"/>
          <w:szCs w:val="32"/>
        </w:rPr>
        <w:t>的</w:t>
      </w:r>
      <w:r>
        <w:rPr>
          <w:rFonts w:hint="default" w:ascii="Times New Roman" w:hAnsi="Times New Roman" w:eastAsia="仿宋_GB2312" w:cs="Times New Roman"/>
          <w:sz w:val="32"/>
          <w:szCs w:val="32"/>
          <w:lang w:val="en-US" w:eastAsia="zh-CN"/>
        </w:rPr>
        <w:t>检查</w:t>
      </w:r>
      <w:r>
        <w:rPr>
          <w:rFonts w:hint="default" w:ascii="Times New Roman" w:hAnsi="Times New Roman" w:eastAsia="仿宋_GB2312" w:cs="Times New Roman"/>
          <w:sz w:val="32"/>
          <w:szCs w:val="32"/>
        </w:rPr>
        <w:t>力度，对</w:t>
      </w:r>
      <w:r>
        <w:rPr>
          <w:rFonts w:hint="default" w:ascii="Times New Roman" w:hAnsi="Times New Roman" w:eastAsia="仿宋_GB2312" w:cs="Times New Roman"/>
          <w:sz w:val="32"/>
          <w:szCs w:val="32"/>
          <w:lang w:val="en-US" w:eastAsia="zh-CN"/>
        </w:rPr>
        <w:t>辖区</w:t>
      </w:r>
      <w:r>
        <w:rPr>
          <w:rFonts w:hint="default" w:ascii="Times New Roman" w:hAnsi="Times New Roman" w:eastAsia="仿宋_GB2312" w:cs="Times New Roman"/>
          <w:sz w:val="32"/>
          <w:szCs w:val="32"/>
        </w:rPr>
        <w:t>重点监管企业不符合环保</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安全生产</w:t>
      </w:r>
      <w:r>
        <w:rPr>
          <w:rFonts w:hint="default" w:ascii="Times New Roman" w:hAnsi="Times New Roman" w:eastAsia="仿宋_GB2312" w:cs="Times New Roman"/>
          <w:sz w:val="32"/>
          <w:szCs w:val="32"/>
        </w:rPr>
        <w:t>要求的企业下达整改通知</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限期整改</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四是落实长效机制。执行好环保、安全巡查、整改机制，督导企业按要求生产、按制度落实污染防治及安全生产措施。</w:t>
      </w:r>
    </w:p>
    <w:p w14:paraId="2DA7F53C">
      <w:pPr>
        <w:keepNext w:val="0"/>
        <w:keepLines w:val="0"/>
        <w:pageBreakBefore w:val="0"/>
        <w:widowControl/>
        <w:kinsoku/>
        <w:wordWrap/>
        <w:overflowPunct/>
        <w:topLinePunct w:val="0"/>
        <w:autoSpaceDE/>
        <w:autoSpaceDN/>
        <w:bidi w:val="0"/>
        <w:adjustRightInd/>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六、</w:t>
      </w:r>
      <w:r>
        <w:rPr>
          <w:rFonts w:hint="default" w:ascii="Times New Roman" w:hAnsi="Times New Roman" w:eastAsia="黑体" w:cs="Times New Roman"/>
          <w:sz w:val="32"/>
          <w:szCs w:val="32"/>
        </w:rPr>
        <w:t>提高站位，推进基层党建工作再上新台阶</w:t>
      </w:r>
    </w:p>
    <w:p w14:paraId="078AAE04">
      <w:pPr>
        <w:keepNext w:val="0"/>
        <w:keepLines w:val="0"/>
        <w:pageBreakBefore w:val="0"/>
        <w:widowControl/>
        <w:kinsoku/>
        <w:wordWrap/>
        <w:overflowPunct/>
        <w:topLinePunct w:val="0"/>
        <w:autoSpaceDE/>
        <w:autoSpaceDN/>
        <w:bidi w:val="0"/>
        <w:adjustRightInd/>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是加强党群活动服务中心建设，坚持“服务党员、服务职工、服务群众、服务民生、服务改革、服务发展”的宗旨，组织丰富多样的党群活动，进一步拉近党群、干群关系，加大红色工业圈建设。二是加强意识形态建设，引导各支部学习党的精神，方针政策，贯彻落实“三会一课”、民主生活会等各项制度，加大以宝信党支部、珈奥党支部为例，培树亮点，打造优秀非公党建阵地。三是加强党的宣传工作，鼓励广大企业职工积极踊跃入党，大力开展“双育工程”，吸收企业出资人、业务骨干等优秀人才加入党组织，202</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年计划发展积极分子</w:t>
      </w:r>
      <w:r>
        <w:rPr>
          <w:rFonts w:hint="default" w:ascii="Times New Roman" w:hAnsi="Times New Roman" w:eastAsia="仿宋_GB2312" w:cs="Times New Roman"/>
          <w:sz w:val="32"/>
          <w:szCs w:val="32"/>
          <w:lang w:val="en-US" w:eastAsia="zh-CN"/>
        </w:rPr>
        <w:t>15</w:t>
      </w:r>
      <w:r>
        <w:rPr>
          <w:rFonts w:hint="default" w:ascii="Times New Roman" w:hAnsi="Times New Roman" w:eastAsia="仿宋_GB2312" w:cs="Times New Roman"/>
          <w:sz w:val="32"/>
          <w:szCs w:val="32"/>
        </w:rPr>
        <w:t>人，发展预备党员</w:t>
      </w:r>
      <w:r>
        <w:rPr>
          <w:rFonts w:hint="default"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rPr>
        <w:t>名。</w:t>
      </w:r>
    </w:p>
    <w:p w14:paraId="4F0281C3">
      <w:pPr>
        <w:keepNext w:val="0"/>
        <w:keepLines w:val="0"/>
        <w:pageBreakBefore w:val="0"/>
        <w:widowControl/>
        <w:kinsoku/>
        <w:wordWrap/>
        <w:overflowPunct/>
        <w:topLinePunct w:val="0"/>
        <w:autoSpaceDE/>
        <w:autoSpaceDN/>
        <w:bidi w:val="0"/>
        <w:adjustRightInd/>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七、</w:t>
      </w:r>
      <w:r>
        <w:rPr>
          <w:rFonts w:hint="default" w:ascii="Times New Roman" w:hAnsi="Times New Roman" w:eastAsia="黑体" w:cs="Times New Roman"/>
          <w:sz w:val="32"/>
          <w:szCs w:val="32"/>
        </w:rPr>
        <w:t>开拓创新，推进园区改革取得新进展</w:t>
      </w:r>
    </w:p>
    <w:p w14:paraId="1C4C6079">
      <w:r>
        <w:rPr>
          <w:rFonts w:hint="default" w:ascii="Times New Roman" w:hAnsi="Times New Roman" w:eastAsia="仿宋_GB2312" w:cs="Times New Roman"/>
          <w:sz w:val="32"/>
          <w:szCs w:val="32"/>
        </w:rPr>
        <w:t>一是按照省级开发区改革精神，把准时间，抓住重点，统筹推进，合理编制预算，确保开发区改革取得实效。二是强化服务智能，减少行政审批流程，精简审批环节，放宽审核合一权限，提升服务效能。加强同各职能部门的协调沟通和密切配合，确保“园区事项园区办”取得实效。三是继续推进线上线下融合服务，努力构建“线下一中心，线上一张网”工作机制，推进线上咨询、审查、指导等措施，优化审批服务。通过容缺后补、绿色通道、清单化服务等便利化措施，实现“最多跑一次”的目标。四是开展审批服务全程代办服务，实行全员分包联系企业制度，涉及园区行政审批事项在企业落地后由分包联系企业人员负责代办。</w:t>
      </w: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6560F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100" w:beforeLines="0" w:beforeAutospacing="0" w:after="90" w:afterLines="0" w:afterAutospacing="0" w:line="240" w:lineRule="auto"/>
      <w:jc w:val="center"/>
      <w:outlineLvl w:val="0"/>
    </w:pPr>
    <w:rPr>
      <w:rFonts w:eastAsia="方正小标宋简体" w:asciiTheme="minorAscii" w:hAnsiTheme="minorAscii"/>
      <w:kern w:val="44"/>
      <w:sz w:val="44"/>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2025-05-30T00:39:22Z</dcterms:created>
  <dc:creator>Administrator</dc:creator>
  <cp:lastModifiedBy>～青春飞翔的泡沫～</cp:lastModifiedBy>
  <dcterms:modified xsi:type="dcterms:W3CDTF">2025-05-30T00:39:30Z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eyJoZGlkIjoiMjM4YzA1YjdiNGQ2OTAwNjg2ZmIzZTU2NGNjZDRhNGUiLCJ1c2VySWQiOiIzNTAwODMxMTkifQ==</vt:lpwstr>
  </property>
  <property fmtid="{D5CDD505-2E9C-101B-9397-08002B2CF9AE}" pid="4" name="ICV">
    <vt:lpwstr>DE8AB792E5A4437A8F3B2402F5B593B6_12</vt:lpwstr>
  </property>
</Properties>
</file>