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008011">
      <w:pPr>
        <w:pStyle w:val="2"/>
        <w:keepNext/>
        <w:keepLines/>
        <w:pageBreakBefore w:val="0"/>
        <w:widowControl w:val="0"/>
        <w:kinsoku/>
        <w:wordWrap/>
        <w:overflowPunct/>
        <w:topLinePunct w:val="0"/>
        <w:autoSpaceDE/>
        <w:autoSpaceDN/>
        <w:bidi w:val="0"/>
        <w:adjustRightInd/>
        <w:snapToGrid/>
        <w:spacing w:before="0" w:after="0" w:line="600" w:lineRule="exact"/>
        <w:textAlignment w:val="auto"/>
        <w:rPr>
          <w:rFonts w:hint="default" w:ascii="Times New Roman" w:hAnsi="Times New Roman" w:cs="Times New Roman"/>
          <w:lang w:val="en-US" w:eastAsia="zh-CN"/>
        </w:rPr>
      </w:pPr>
      <w:bookmarkStart w:id="0" w:name="_Toc17965"/>
      <w:r>
        <w:rPr>
          <w:rFonts w:hint="default" w:ascii="Times New Roman" w:hAnsi="Times New Roman" w:cs="Times New Roman"/>
          <w:lang w:val="en-US" w:eastAsia="zh-CN"/>
        </w:rPr>
        <w:t>河北隆尧经济开发区2024年工作要点</w:t>
      </w:r>
      <w:bookmarkEnd w:id="0"/>
      <w:bookmarkStart w:id="1" w:name="_GoBack"/>
      <w:bookmarkEnd w:id="1"/>
    </w:p>
    <w:p w14:paraId="74F351BF">
      <w:pPr>
        <w:keepNext w:val="0"/>
        <w:keepLines w:val="0"/>
        <w:pageBreakBefore w:val="0"/>
        <w:kinsoku/>
        <w:wordWrap/>
        <w:overflowPunct/>
        <w:topLinePunct w:val="0"/>
        <w:autoSpaceDE/>
        <w:autoSpaceDN/>
        <w:bidi w:val="0"/>
        <w:adjustRightInd/>
        <w:spacing w:line="600" w:lineRule="exact"/>
        <w:jc w:val="center"/>
        <w:rPr>
          <w:rFonts w:hint="default" w:ascii="Times New Roman" w:hAnsi="Times New Roman" w:eastAsia="方正小标宋简体" w:cs="Times New Roman"/>
          <w:sz w:val="32"/>
          <w:szCs w:val="32"/>
          <w:lang w:val="en-US" w:eastAsia="zh-CN"/>
        </w:rPr>
      </w:pPr>
    </w:p>
    <w:p w14:paraId="69CF93BD">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2024年，开发区将全面贯彻新发展理念，持续在提档升级、招商引资、项目建设、营商环境、安全发展等方面发力，奋力推进经济开发区高质量发展。</w:t>
      </w:r>
    </w:p>
    <w:p w14:paraId="29ABFC0A">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一、增强保障，推动开发区提档升级。</w:t>
      </w:r>
    </w:p>
    <w:p w14:paraId="404AB968">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是强化资金保障。2024年开发区将继续按照“银——区——企”金融对接模式，积极对接金融顾问团，组织开发区企业开展专题对接活动3场以上。二是做强平台公司。积极谋划平台类项目建设，充分发挥平台公司融资作用，继续推进开发区投融资平台与金融机构、战略投资者合作，为企业发展提供特色化、差异化金融服务。三是全面落实专项行动方案21条。围绕收回闲置地块、新增建设用地、公建厂房、生态环保“白名单”企业等内容，积极落实开发区提档升级各项任务目标。</w:t>
      </w:r>
    </w:p>
    <w:p w14:paraId="24DB06CA">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二、推进招商引资取得新成绩。</w:t>
      </w:r>
    </w:p>
    <w:p w14:paraId="52751F75">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我县产业规划发展，对食品产业、绿色智能铸造行业两大板块开展精准招商。2024年计划完成5个超亿元项目签约；每月平均不低于1次外出招商或参观学习；邀请客商来隆考察不低于30次。开发区紧密结合我省战略性新兴产业规划，以开发区两大主导产业发展方向为指引，内培外引并重。一是推进亲情招商。加强与隆尧籍老乡的联络，发动各乡镇、各部门的力量，加大宣传力度，让每个在外的优秀成功人士都了解我们的招商政策和我们的招商优势，进而成为源源不断的线索提供者。二是推进产业链招商。以三厦、远大、华翱、华尖等行业龙头为依托，深挖灰铸铁炊具、阀门制造、五金制品、新材料等产业链项目。三是加强与有实力的中介机构的合作，利用各类平台大数据和市场化手段，收集有效的招商线索，并加大力度招引北京非首都功能疏解，引进央企二、三级子公司或创新业务板块考察对接。</w:t>
      </w:r>
    </w:p>
    <w:p w14:paraId="6523C438">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三、以项目建设为抓手，推进经济发展稳中有进。</w:t>
      </w:r>
    </w:p>
    <w:p w14:paraId="76B34324">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是为企业搞好服务，加大帮扶力度，加快现有企业转型升级、技术改造，推进企业高质量发展，计划实现营收增速15%以上；加强对国顺、国原项目前期手续帮办力度，推进入库。二是落地项目促进度。实行项目化、清单化、节点化管理方法，落实责任，倒排工期，重点推动远大集团年加工50000吨精密阀门项目、量子项目按时间节点完成投资进度。三是在建项目促投产。推进珈奥年产10万吨五氯化磷、10万吨一氯甲烷项目、雷霆年产1.5万吨特种钉扩建项目、青龙剑年产13000吨螺丝技改扩建项目及科创园阀门制造项目等建成投产。四是加大政策支持，激发创新活力。用好财政专项扶持资金，支持企业抓好研发中心建设。支持企业开展院企合作、校企合作，共建工程技术研究中心，深化产学研合作。同时，积极争取省市技改资金支持，鼓励和支持企业开展技术改造，提升现有工艺和装备水平。</w:t>
      </w:r>
    </w:p>
    <w:p w14:paraId="4D57F478">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四、加强基建，推动园区承载能力再提升。</w:t>
      </w:r>
    </w:p>
    <w:p w14:paraId="297C987B">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是工农街片区道路及市政管网建设项目。计划投资7000万元，工农街（柳行南路-创业路）长1049米，红线宽25米，柳行南路东段（规划柏人街-泜水街）长度约700米，兴业路西延长度约190米，宣务路西延长度约180米，红线20米，主要包含道路、排水、供热、照明、绿化、喷灌系统及相关附属设施及滏阳街（S327—创业路）长约1200米供热管道。二是开发区综合承载力提升项目。计划投资4亿元，占地约150亩，总建筑面积60000平方米，修建公租房一栋及孵化园一栋，包含大数据中心、会议室、办公室、停车场等配套设施。三是开发区行洪能力提升项目。计划投资4000万元，八干渠开发区段长度约4000米，进行西侧堤加高加固，开发区内明渠长约3200米，进行清淤、硬化及新建明渠与八干渠闸门一座，泵站一座，开发区内雨污管网23千米清淤。四是开发区智慧停车场项目。计划投资1.5亿元，占地约80亩，建设加油站一座，小车停车位带充电桩400个，大车停车位300个，共享电车400个及配套充电桩、自动化计时收费系统、闭路电视及录影机系统等相关配套设施。</w:t>
      </w:r>
    </w:p>
    <w:p w14:paraId="6ECD117F">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五、完善审批服务体系，持续优化营商环境。</w:t>
      </w:r>
    </w:p>
    <w:p w14:paraId="7B4EE4C9">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下一步，开发区将按照县委、县政府要求，带着责任、带着感情做好行政审批工作，深入推进“放管服”改革，让开发区企业享受效率更高、环节更少、时限更短的优质服务，为开发区提档升级、为加快建设“经济强县、美丽隆尧”贡献力量。一是积极推行工程建设项目审批制度改革，严格落实省、市关于简化开发区审批手续相关政策，对开发区内工程投资额在200万元以下或者建筑面积在1000平方米以下的低层一般性工业厂房工程可不申领建筑工程施工许可证；既有建筑进行不涉及主体或承重结构变动的装修工程，以及进行不包括建筑装修内容的建筑装饰工程，建设单位（产权人或使用人）承诺后可不申领建筑工程施工许可证。二是推行建设项目服务管家制度，对企业或项目单位，提供一企一策，对建设项目全链条阶段所需办理的所有业务全程进行帮办代办，变企业“跑腿”为政府“跑腿”，最大限度提高办理速度。</w:t>
      </w:r>
    </w:p>
    <w:p w14:paraId="05D1912A">
      <w:pPr>
        <w:keepNext w:val="0"/>
        <w:keepLines w:val="0"/>
        <w:pageBreakBefore w:val="0"/>
        <w:widowControl w:val="0"/>
        <w:pBdr>
          <w:bottom w:val="none" w:color="auto" w:sz="0" w:space="23"/>
        </w:pBdr>
        <w:tabs>
          <w:tab w:val="left" w:pos="0"/>
        </w:tabs>
        <w:kinsoku/>
        <w:wordWrap/>
        <w:overflowPunct/>
        <w:topLinePunct w:val="0"/>
        <w:autoSpaceDE/>
        <w:autoSpaceDN/>
        <w:bidi w:val="0"/>
        <w:adjustRightInd/>
        <w:snapToGrid w:val="0"/>
        <w:spacing w:line="600" w:lineRule="exact"/>
        <w:ind w:firstLine="640" w:firstLineChars="200"/>
        <w:textAlignment w:val="baseline"/>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六、确保安全发展，做好大气污染防治。</w:t>
      </w:r>
    </w:p>
    <w:p w14:paraId="081758EC">
      <w:r>
        <w:rPr>
          <w:rFonts w:hint="default" w:ascii="Times New Roman" w:hAnsi="Times New Roman" w:eastAsia="仿宋_GB2312" w:cs="Times New Roman"/>
          <w:sz w:val="32"/>
          <w:szCs w:val="32"/>
          <w:lang w:val="en-US" w:eastAsia="zh-CN"/>
        </w:rPr>
        <w:t>一是绷紧安全弦，拧紧责任链。思想上高度警醒，以“时时放心不下”的责任感和“处处如履薄冰”的危机感抓好安全生产工作。园区一把手亲自带头，勤指挥、常调度、严督查，压紧压实领导责任、属地责任、监管责任、主体责任。二是架起高压线，筑牢防火墙。紧盯年前“双节”重点时期和燃气、消防、危化、建筑施工、人员密集场所等重点场所领域，坚持问题导向，聚焦危险作业，扎实推进重大隐患专项排查整治，确保安全生产专项整治和隐患排查全覆盖、无死角，深入打非治违，形成高压震慑。三是织密宣传网，夯实安全</w:t>
      </w:r>
      <w:r>
        <w:rPr>
          <w:rFonts w:hint="eastAsia" w:ascii="Times New Roman" w:hAnsi="Times New Roman" w:eastAsia="仿宋_GB2312" w:cs="Times New Roman"/>
          <w:sz w:val="32"/>
          <w:szCs w:val="32"/>
          <w:lang w:val="en-US" w:eastAsia="zh-CN"/>
        </w:rPr>
        <w:t>基础</w:t>
      </w:r>
      <w:r>
        <w:rPr>
          <w:rFonts w:hint="default" w:ascii="Times New Roman" w:hAnsi="Times New Roman" w:eastAsia="仿宋_GB2312" w:cs="Times New Roman"/>
          <w:sz w:val="32"/>
          <w:szCs w:val="32"/>
          <w:lang w:val="en-US" w:eastAsia="zh-CN"/>
        </w:rPr>
        <w:t>。持续宣传贯彻国家、省、市召开的安全生产工作会议精神，将日常安全监管和安全生产宣传教育工作有机地结合起来，充分利用安全生产月、消防宣传月契机，大力开展安全生产法律法规宣传，进一步加强推进落实企业安全生产主体责任，加强对全区企业法定代表人、分管安全负责人、安全管理人员的培训，不断强化安全意识，守牢安全红线。四是把好“入口关”，新上项目必须符合环保政策要求，“两高一资”(高污染、高排放、资源消耗型)项目一律不得入驻开发区。五是做好园区新、改扩建项目环保“三同时”（防治环境污染和生态破坏的设施，必须与主体工程同时设计、同时施工、同时投产使用的制度简称“三同时”制度）监管工作。六是落实长效机制。执行好大气污染防治巡查、整改机制，督导企业按要求生产、按制度落实污染防治措施。七是积极推动环保信用建设，推进符合条件的企业实施重点行业环保绩效创A，或创建生态环境监管白名单。积极推动企业创建资源综合利用示范企业、节水型企业、无废工厂和绿色工厂，实现绿色低碳转型。</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167AE98-617E-4CA4-91DA-BF7FBDE73C5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386B7FC0-ED92-4AEF-8ECC-BDF76D498748}"/>
  </w:font>
  <w:font w:name="方正小标宋简体">
    <w:panose1 w:val="02000000000000000000"/>
    <w:charset w:val="86"/>
    <w:family w:val="auto"/>
    <w:pitch w:val="default"/>
    <w:sig w:usb0="00000001" w:usb1="08000000" w:usb2="00000000" w:usb3="00000000" w:csb0="00040000" w:csb1="00000000"/>
    <w:embedRegular r:id="rId3" w:fontKey="{E2C2A801-4364-4FF7-86AD-604FB617B8E9}"/>
  </w:font>
  <w:font w:name="仿宋_GB2312">
    <w:panose1 w:val="02010609030101010101"/>
    <w:charset w:val="86"/>
    <w:family w:val="auto"/>
    <w:pitch w:val="default"/>
    <w:sig w:usb0="00000001" w:usb1="080E0000" w:usb2="00000000" w:usb3="00000000" w:csb0="00040000" w:csb1="00000000"/>
    <w:embedRegular r:id="rId4" w:fontKey="{309AE540-93AF-4350-988D-4C5229C337B9}"/>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9B821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next w:val="1"/>
    <w:qFormat/>
    <w:uiPriority w:val="0"/>
    <w:pPr>
      <w:keepNext/>
      <w:keepLines/>
      <w:widowControl w:val="0"/>
      <w:spacing w:before="100" w:beforeLines="0" w:beforeAutospacing="0" w:after="90" w:afterLines="0" w:afterAutospacing="0" w:line="240" w:lineRule="auto"/>
      <w:jc w:val="center"/>
      <w:outlineLvl w:val="0"/>
    </w:pPr>
    <w:rPr>
      <w:rFonts w:eastAsia="方正小标宋简体" w:asciiTheme="minorAscii" w:hAnsiTheme="minorAscii" w:cstheme="minorBidi"/>
      <w:kern w:val="44"/>
      <w:sz w:val="44"/>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2025-05-30T00:36:43Z</dcterms:created>
  <dc:creator>Administrator</dc:creator>
  <cp:lastModifiedBy>～青春飞翔的泡沫～</cp:lastModifiedBy>
  <dcterms:modified xsi:type="dcterms:W3CDTF">2025-05-30T00:36:53Z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eyJoZGlkIjoiMjM4YzA1YjdiNGQ2OTAwNjg2ZmIzZTU2NGNjZDRhNGUiLCJ1c2VySWQiOiIzNTAwODMxMTkifQ==</vt:lpwstr>
  </property>
  <property fmtid="{D5CDD505-2E9C-101B-9397-08002B2CF9AE}" pid="4" name="ICV">
    <vt:lpwstr>2F6449E65C7E482594E5B7150226E14C_12</vt:lpwstr>
  </property>
</Properties>
</file>