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8" w:name="_GoBack"/>
      <w:bookmarkEnd w:id="18"/>
    </w:p>
    <w:p>
      <w:pPr>
        <w:spacing w:before="0" w:after="0" w:line="240" w:lineRule="auto"/>
        <w:ind w:firstLine="0"/>
        <w:jc w:val="center"/>
        <w:outlineLvl w:val="0"/>
        <w:rPr>
          <w:rFonts w:hint="eastAsia" w:ascii="黑体" w:hAnsi="黑体" w:eastAsia="黑体" w:cs="黑体"/>
          <w:b/>
          <w:color w:val="000000"/>
          <w:sz w:val="52"/>
          <w:szCs w:val="52"/>
          <w:lang w:eastAsia="zh-CN"/>
        </w:rPr>
      </w:pPr>
    </w:p>
    <w:p>
      <w:pPr>
        <w:spacing w:before="0" w:after="0" w:line="240" w:lineRule="auto"/>
        <w:ind w:firstLine="0"/>
        <w:jc w:val="both"/>
        <w:outlineLvl w:val="0"/>
        <w:rPr>
          <w:rFonts w:hint="eastAsia" w:ascii="黑体" w:hAnsi="黑体" w:eastAsia="黑体" w:cs="黑体"/>
          <w:b/>
          <w:color w:val="000000"/>
          <w:sz w:val="52"/>
          <w:szCs w:val="52"/>
          <w:lang w:eastAsia="zh-CN"/>
        </w:rPr>
      </w:pPr>
    </w:p>
    <w:p>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隆尧县人民政府办公室</w:t>
      </w:r>
      <w:r>
        <w:rPr>
          <w:rFonts w:hint="eastAsia" w:ascii="方正小标宋简体" w:hAnsi="方正小标宋简体" w:eastAsia="方正小标宋简体" w:cs="方正小标宋简体"/>
          <w:b/>
          <w:color w:val="000000"/>
          <w:sz w:val="52"/>
          <w:szCs w:val="52"/>
        </w:rPr>
        <w:t>2022年部门预算信息公开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rPr>
          <w:rFonts w:hint="eastAsia"/>
          <w:lang w:val="en-US" w:eastAsia="zh-CN"/>
        </w:rPr>
        <w:t>4</w:t>
      </w:r>
      <w:r>
        <w:fldChar w:fldCharType="end"/>
      </w:r>
    </w:p>
    <w:p>
      <w:pPr>
        <w:pStyle w:val="36"/>
        <w:tabs>
          <w:tab w:val="right" w:leader="dot" w:pos="14562"/>
        </w:tabs>
      </w:pPr>
      <w:r>
        <w:fldChar w:fldCharType="begin"/>
      </w:r>
      <w:r>
        <w:instrText xml:space="preserve">HYPERLINK  \l "_Toc_2_2_0000000002" </w:instrText>
      </w:r>
      <w:r>
        <w:fldChar w:fldCharType="separate"/>
      </w:r>
      <w:r>
        <w:t>部门预算收入总表</w:t>
      </w:r>
      <w:r>
        <w:tab/>
      </w:r>
      <w:r>
        <w:rPr>
          <w:rFonts w:hint="eastAsia"/>
          <w:lang w:val="en-US" w:eastAsia="zh-CN"/>
        </w:rPr>
        <w:t>8</w:t>
      </w:r>
      <w:r>
        <w:fldChar w:fldCharType="end"/>
      </w:r>
    </w:p>
    <w:p>
      <w:pPr>
        <w:pStyle w:val="36"/>
        <w:tabs>
          <w:tab w:val="right" w:leader="dot" w:pos="14562"/>
        </w:tabs>
        <w:rPr>
          <w:rFonts w:hint="eastAsia" w:eastAsia="方正仿宋_GBK"/>
          <w:lang w:val="en-US" w:eastAsia="zh-CN"/>
        </w:rPr>
      </w:pPr>
      <w:r>
        <w:fldChar w:fldCharType="begin"/>
      </w:r>
      <w:r>
        <w:instrText xml:space="preserve">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pPr>
        <w:pStyle w:val="36"/>
        <w:tabs>
          <w:tab w:val="right" w:leader="dot" w:pos="14562"/>
        </w:tabs>
        <w:rPr>
          <w:rFonts w:hint="eastAsia" w:eastAsia="方正仿宋_GBK"/>
          <w:lang w:val="en-US" w:eastAsia="zh-CN"/>
        </w:rPr>
      </w:pPr>
      <w:r>
        <w:fldChar w:fldCharType="begin"/>
      </w:r>
      <w:r>
        <w:instrText xml:space="preserve">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0</w:t>
      </w:r>
    </w:p>
    <w:p>
      <w:pPr>
        <w:pStyle w:val="36"/>
        <w:tabs>
          <w:tab w:val="right" w:leader="dot" w:pos="14562"/>
        </w:tabs>
        <w:rPr>
          <w:rFonts w:hint="eastAsia" w:eastAsia="方正仿宋_GBK"/>
          <w:lang w:val="en-US" w:eastAsia="zh-CN"/>
        </w:rPr>
      </w:pPr>
      <w:r>
        <w:fldChar w:fldCharType="begin"/>
      </w:r>
      <w:r>
        <w:instrText xml:space="preserve">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4</w:t>
      </w:r>
    </w:p>
    <w:p>
      <w:pPr>
        <w:pStyle w:val="36"/>
        <w:tabs>
          <w:tab w:val="right" w:leader="dot" w:pos="14562"/>
        </w:tabs>
        <w:rPr>
          <w:rFonts w:hint="eastAsia" w:eastAsia="方正仿宋_GBK"/>
          <w:lang w:val="en-US" w:eastAsia="zh-CN"/>
        </w:rPr>
      </w:pPr>
      <w:r>
        <w:fldChar w:fldCharType="begin"/>
      </w:r>
      <w:r>
        <w:instrText xml:space="preserve">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5</w:t>
      </w:r>
    </w:p>
    <w:p>
      <w:pPr>
        <w:pStyle w:val="36"/>
        <w:tabs>
          <w:tab w:val="right" w:leader="dot" w:pos="14562"/>
        </w:tabs>
        <w:rPr>
          <w:rFonts w:hint="eastAsia" w:eastAsia="方正仿宋_GBK"/>
          <w:lang w:val="en-US" w:eastAsia="zh-CN"/>
        </w:rPr>
      </w:pPr>
      <w:r>
        <w:fldChar w:fldCharType="begin"/>
      </w:r>
      <w:r>
        <w:instrText xml:space="preserve">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pPr>
        <w:pStyle w:val="36"/>
        <w:tabs>
          <w:tab w:val="right" w:leader="dot" w:pos="14562"/>
        </w:tabs>
        <w:rPr>
          <w:rFonts w:hint="eastAsia" w:eastAsia="方正仿宋_GBK"/>
          <w:lang w:val="en-US" w:eastAsia="zh-CN"/>
        </w:rPr>
      </w:pPr>
      <w:r>
        <w:fldChar w:fldCharType="begin"/>
      </w:r>
      <w:r>
        <w:instrText xml:space="preserve">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0</w:t>
      </w:r>
    </w:p>
    <w:p>
      <w:pPr>
        <w:pStyle w:val="36"/>
        <w:tabs>
          <w:tab w:val="right" w:leader="dot" w:pos="14562"/>
        </w:tabs>
        <w:rPr>
          <w:rFonts w:hint="eastAsia" w:eastAsia="方正仿宋_GBK"/>
          <w:lang w:val="en-US" w:eastAsia="zh-CN"/>
        </w:rPr>
      </w:pPr>
      <w:r>
        <w:fldChar w:fldCharType="begin"/>
      </w:r>
      <w:r>
        <w:instrText xml:space="preserve">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1</w:t>
      </w:r>
    </w:p>
    <w:p>
      <w:pPr>
        <w:pStyle w:val="36"/>
        <w:tabs>
          <w:tab w:val="right" w:leader="dot" w:pos="14562"/>
        </w:tabs>
        <w:rPr>
          <w:rFonts w:hint="eastAsia" w:eastAsia="方正仿宋_GBK"/>
          <w:lang w:val="en-US" w:eastAsia="zh-CN"/>
        </w:rPr>
      </w:pPr>
      <w:r>
        <w:fldChar w:fldCharType="begin"/>
      </w:r>
      <w:r>
        <w:instrText xml:space="preserve">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1</w:t>
      </w:r>
    </w:p>
    <w:p>
      <w:pPr>
        <w:pStyle w:val="36"/>
        <w:tabs>
          <w:tab w:val="right" w:leader="dot" w:pos="14562"/>
        </w:tabs>
        <w:rPr>
          <w:rFonts w:hint="eastAsia" w:eastAsia="方正仿宋_GBK"/>
          <w:lang w:val="en-US" w:eastAsia="zh-CN"/>
        </w:rPr>
      </w:pPr>
      <w:r>
        <w:fldChar w:fldCharType="begin"/>
      </w:r>
      <w:r>
        <w:instrText xml:space="preserve">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2</w:t>
      </w:r>
    </w:p>
    <w:p>
      <w:pPr>
        <w:pStyle w:val="36"/>
        <w:tabs>
          <w:tab w:val="right" w:leader="dot" w:pos="14562"/>
        </w:tabs>
        <w:rPr>
          <w:rFonts w:hint="eastAsia" w:eastAsia="方正仿宋_GBK"/>
          <w:lang w:val="en-US" w:eastAsia="zh-CN"/>
        </w:rPr>
      </w:pPr>
      <w:r>
        <w:fldChar w:fldCharType="begin"/>
      </w:r>
      <w:r>
        <w:instrText xml:space="preserve">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7</w:t>
      </w:r>
    </w:p>
    <w:p>
      <w:pPr>
        <w:pStyle w:val="36"/>
        <w:tabs>
          <w:tab w:val="right" w:leader="dot" w:pos="14562"/>
        </w:tabs>
        <w:rPr>
          <w:rFonts w:hint="eastAsia" w:eastAsia="方正仿宋_GBK"/>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9"/>
            </w:pPr>
            <w:r>
              <w:t>434隆尧县人民政府办公室</w:t>
            </w:r>
          </w:p>
        </w:tc>
        <w:tc>
          <w:tcPr>
            <w:tcW w:w="5913" w:type="dxa"/>
            <w:gridSpan w:val="3"/>
            <w:tcBorders>
              <w:top w:val="single" w:color="FFFFFF" w:sz="6" w:space="0"/>
              <w:left w:val="single" w:color="FFFFFF" w:sz="6" w:space="0"/>
              <w:right w:val="single" w:color="FFFFFF" w:sz="6" w:space="0"/>
            </w:tcBorders>
            <w:vAlign w:val="center"/>
          </w:tcPr>
          <w:p>
            <w:pPr>
              <w:pStyle w:val="8"/>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5"/>
            <w:vMerge w:val="restart"/>
            <w:vAlign w:val="center"/>
          </w:tcPr>
          <w:p>
            <w:pPr>
              <w:pStyle w:val="10"/>
              <w:tabs>
                <w:tab w:val="left" w:pos="786"/>
              </w:tabs>
              <w:ind w:firstLine="632" w:firstLineChars="300"/>
              <w:jc w:val="left"/>
              <w:rPr>
                <w:rFonts w:hint="eastAsia" w:eastAsia="方正书宋_GBK"/>
                <w:lang w:eastAsia="zh-CN"/>
              </w:rPr>
            </w:pPr>
            <w:r>
              <w:rPr>
                <w:rFonts w:hint="eastAsia"/>
                <w:lang w:eastAsia="zh-CN"/>
              </w:rPr>
              <w:t>序</w:t>
            </w:r>
            <w:r>
              <w:rPr>
                <w:rFonts w:hint="eastAsia"/>
                <w:lang w:val="en-US" w:eastAsia="zh-CN"/>
              </w:rPr>
              <w:t xml:space="preserve"> </w:t>
            </w:r>
            <w:r>
              <w:rPr>
                <w:rFonts w:hint="eastAsia"/>
                <w:lang w:eastAsia="zh-CN"/>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vAlign w:val="top"/>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w:t>
            </w:r>
          </w:p>
        </w:tc>
        <w:tc>
          <w:tcPr>
            <w:tcW w:w="1971" w:type="dxa"/>
            <w:vAlign w:val="center"/>
          </w:tcPr>
          <w:p>
            <w:pPr>
              <w:pStyle w:val="12"/>
            </w:pPr>
            <w:r>
              <w:t>一、一般公共预算拨款收入</w:t>
            </w:r>
          </w:p>
        </w:tc>
        <w:tc>
          <w:tcPr>
            <w:tcW w:w="1971" w:type="dxa"/>
            <w:vAlign w:val="center"/>
          </w:tcPr>
          <w:p>
            <w:pPr>
              <w:pStyle w:val="11"/>
            </w:pPr>
            <w:r>
              <w:t>969.25</w:t>
            </w:r>
          </w:p>
        </w:tc>
        <w:tc>
          <w:tcPr>
            <w:tcW w:w="1971" w:type="dxa"/>
            <w:vAlign w:val="center"/>
          </w:tcPr>
          <w:p>
            <w:pPr>
              <w:pStyle w:val="12"/>
            </w:pPr>
            <w:r>
              <w:t>一、一般公共服务支出</w:t>
            </w:r>
          </w:p>
        </w:tc>
        <w:tc>
          <w:tcPr>
            <w:tcW w:w="1971" w:type="dxa"/>
            <w:vAlign w:val="center"/>
          </w:tcPr>
          <w:p>
            <w:pPr>
              <w:pStyle w:val="11"/>
            </w:pPr>
            <w:r>
              <w:t>873.04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w:t>
            </w:r>
          </w:p>
        </w:tc>
        <w:tc>
          <w:tcPr>
            <w:tcW w:w="1971" w:type="dxa"/>
            <w:vAlign w:val="center"/>
          </w:tcPr>
          <w:p>
            <w:pPr>
              <w:pStyle w:val="12"/>
            </w:pPr>
            <w:r>
              <w:t>二、政府性基金预算拨款收入</w:t>
            </w:r>
          </w:p>
        </w:tc>
        <w:tc>
          <w:tcPr>
            <w:tcW w:w="1971" w:type="dxa"/>
            <w:vAlign w:val="center"/>
          </w:tcPr>
          <w:p>
            <w:pPr>
              <w:pStyle w:val="11"/>
            </w:pPr>
          </w:p>
        </w:tc>
        <w:tc>
          <w:tcPr>
            <w:tcW w:w="1971" w:type="dxa"/>
            <w:vAlign w:val="center"/>
          </w:tcPr>
          <w:p>
            <w:pPr>
              <w:pStyle w:val="12"/>
            </w:pPr>
            <w:r>
              <w:t>二、外交支出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w:t>
            </w:r>
          </w:p>
        </w:tc>
        <w:tc>
          <w:tcPr>
            <w:tcW w:w="1971" w:type="dxa"/>
            <w:vAlign w:val="center"/>
          </w:tcPr>
          <w:p>
            <w:pPr>
              <w:pStyle w:val="12"/>
            </w:pPr>
            <w:r>
              <w:t>三、国有资本经营预算拨款收入</w:t>
            </w:r>
          </w:p>
        </w:tc>
        <w:tc>
          <w:tcPr>
            <w:tcW w:w="1971" w:type="dxa"/>
            <w:vAlign w:val="center"/>
          </w:tcPr>
          <w:p>
            <w:pPr>
              <w:pStyle w:val="11"/>
            </w:pPr>
          </w:p>
        </w:tc>
        <w:tc>
          <w:tcPr>
            <w:tcW w:w="1971" w:type="dxa"/>
            <w:vAlign w:val="center"/>
          </w:tcPr>
          <w:p>
            <w:pPr>
              <w:pStyle w:val="12"/>
            </w:pPr>
            <w:r>
              <w:t>三、国防支出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4</w:t>
            </w:r>
          </w:p>
        </w:tc>
        <w:tc>
          <w:tcPr>
            <w:tcW w:w="1971" w:type="dxa"/>
            <w:vAlign w:val="center"/>
          </w:tcPr>
          <w:p>
            <w:pPr>
              <w:pStyle w:val="12"/>
            </w:pPr>
            <w:r>
              <w:t>四、财政专户管理资金收入</w:t>
            </w:r>
          </w:p>
        </w:tc>
        <w:tc>
          <w:tcPr>
            <w:tcW w:w="1971" w:type="dxa"/>
            <w:vAlign w:val="center"/>
          </w:tcPr>
          <w:p>
            <w:pPr>
              <w:pStyle w:val="11"/>
            </w:pPr>
          </w:p>
        </w:tc>
        <w:tc>
          <w:tcPr>
            <w:tcW w:w="1971" w:type="dxa"/>
            <w:vAlign w:val="center"/>
          </w:tcPr>
          <w:p>
            <w:pPr>
              <w:pStyle w:val="12"/>
            </w:pPr>
            <w:r>
              <w:t>四、公共安全支出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5</w:t>
            </w:r>
          </w:p>
        </w:tc>
        <w:tc>
          <w:tcPr>
            <w:tcW w:w="1971" w:type="dxa"/>
            <w:vAlign w:val="center"/>
          </w:tcPr>
          <w:p>
            <w:pPr>
              <w:pStyle w:val="12"/>
            </w:pPr>
            <w:r>
              <w:t>五、事业收入</w:t>
            </w:r>
          </w:p>
        </w:tc>
        <w:tc>
          <w:tcPr>
            <w:tcW w:w="1971" w:type="dxa"/>
            <w:vAlign w:val="center"/>
          </w:tcPr>
          <w:p>
            <w:pPr>
              <w:pStyle w:val="11"/>
            </w:pPr>
          </w:p>
        </w:tc>
        <w:tc>
          <w:tcPr>
            <w:tcW w:w="1971" w:type="dxa"/>
            <w:vAlign w:val="center"/>
          </w:tcPr>
          <w:p>
            <w:pPr>
              <w:pStyle w:val="12"/>
            </w:pPr>
            <w:r>
              <w:t>五、教育支出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6</w:t>
            </w:r>
          </w:p>
        </w:tc>
        <w:tc>
          <w:tcPr>
            <w:tcW w:w="1971" w:type="dxa"/>
            <w:vAlign w:val="center"/>
          </w:tcPr>
          <w:p>
            <w:pPr>
              <w:pStyle w:val="12"/>
            </w:pPr>
            <w:r>
              <w:t>六、事业单位经营收入</w:t>
            </w:r>
          </w:p>
        </w:tc>
        <w:tc>
          <w:tcPr>
            <w:tcW w:w="1971" w:type="dxa"/>
            <w:vAlign w:val="center"/>
          </w:tcPr>
          <w:p>
            <w:pPr>
              <w:pStyle w:val="11"/>
            </w:pPr>
          </w:p>
        </w:tc>
        <w:tc>
          <w:tcPr>
            <w:tcW w:w="1971" w:type="dxa"/>
            <w:vAlign w:val="center"/>
          </w:tcPr>
          <w:p>
            <w:pPr>
              <w:pStyle w:val="12"/>
            </w:pPr>
            <w:r>
              <w:t>六、科学技术支出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7</w:t>
            </w:r>
          </w:p>
        </w:tc>
        <w:tc>
          <w:tcPr>
            <w:tcW w:w="1971" w:type="dxa"/>
            <w:vAlign w:val="center"/>
          </w:tcPr>
          <w:p>
            <w:pPr>
              <w:pStyle w:val="12"/>
            </w:pPr>
            <w:r>
              <w:t>七、上级补助收入</w:t>
            </w:r>
          </w:p>
        </w:tc>
        <w:tc>
          <w:tcPr>
            <w:tcW w:w="1971" w:type="dxa"/>
            <w:vAlign w:val="center"/>
          </w:tcPr>
          <w:p>
            <w:pPr>
              <w:pStyle w:val="11"/>
            </w:pPr>
          </w:p>
        </w:tc>
        <w:tc>
          <w:tcPr>
            <w:tcW w:w="1971" w:type="dxa"/>
            <w:vAlign w:val="center"/>
          </w:tcPr>
          <w:p>
            <w:pPr>
              <w:pStyle w:val="12"/>
            </w:pPr>
            <w:r>
              <w:t>七、文化旅游体育与传媒支出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8</w:t>
            </w:r>
          </w:p>
        </w:tc>
        <w:tc>
          <w:tcPr>
            <w:tcW w:w="1971" w:type="dxa"/>
            <w:vAlign w:val="center"/>
          </w:tcPr>
          <w:p>
            <w:pPr>
              <w:pStyle w:val="12"/>
            </w:pPr>
            <w:r>
              <w:t>八、附属单位上缴收入</w:t>
            </w:r>
          </w:p>
        </w:tc>
        <w:tc>
          <w:tcPr>
            <w:tcW w:w="1971" w:type="dxa"/>
            <w:vAlign w:val="center"/>
          </w:tcPr>
          <w:p>
            <w:pPr>
              <w:pStyle w:val="11"/>
            </w:pPr>
          </w:p>
        </w:tc>
        <w:tc>
          <w:tcPr>
            <w:tcW w:w="1971" w:type="dxa"/>
            <w:vAlign w:val="center"/>
          </w:tcPr>
          <w:p>
            <w:pPr>
              <w:pStyle w:val="12"/>
            </w:pPr>
            <w:r>
              <w:t>八、社会保障和就业支出</w:t>
            </w:r>
          </w:p>
        </w:tc>
        <w:tc>
          <w:tcPr>
            <w:tcW w:w="1971" w:type="dxa"/>
            <w:vAlign w:val="center"/>
          </w:tcPr>
          <w:p>
            <w:pPr>
              <w:pStyle w:val="11"/>
            </w:pPr>
            <w:r>
              <w:t>41.55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9</w:t>
            </w:r>
          </w:p>
        </w:tc>
        <w:tc>
          <w:tcPr>
            <w:tcW w:w="1971" w:type="dxa"/>
            <w:vAlign w:val="center"/>
          </w:tcPr>
          <w:p>
            <w:pPr>
              <w:pStyle w:val="12"/>
            </w:pPr>
            <w:r>
              <w:t>九、其他收入</w:t>
            </w:r>
          </w:p>
        </w:tc>
        <w:tc>
          <w:tcPr>
            <w:tcW w:w="1971" w:type="dxa"/>
            <w:vAlign w:val="center"/>
          </w:tcPr>
          <w:p>
            <w:pPr>
              <w:pStyle w:val="11"/>
            </w:pPr>
          </w:p>
        </w:tc>
        <w:tc>
          <w:tcPr>
            <w:tcW w:w="1971" w:type="dxa"/>
            <w:vAlign w:val="center"/>
          </w:tcPr>
          <w:p>
            <w:pPr>
              <w:pStyle w:val="12"/>
            </w:pPr>
            <w:r>
              <w:t>九、社会保险基金支出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10</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十、卫生健康支出</w:t>
            </w:r>
          </w:p>
        </w:tc>
        <w:tc>
          <w:tcPr>
            <w:tcW w:w="1971" w:type="dxa"/>
            <w:vAlign w:val="center"/>
          </w:tcPr>
          <w:p>
            <w:pPr>
              <w:pStyle w:val="11"/>
            </w:pPr>
            <w:r>
              <w:t>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11</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十一、节能环保支出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12</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十二、城乡社区支出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13</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十三、农林水支出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14</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十四、交通运输支出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15</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十五、资源勘探工业信息等支出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16</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十六、商业服务业等支出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17</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十七、金融支出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18</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十八、援助其他地区支出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19</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十九、自然资源海洋气象等支出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20</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二十、住房保障支出</w:t>
            </w:r>
          </w:p>
        </w:tc>
        <w:tc>
          <w:tcPr>
            <w:tcW w:w="1971" w:type="dxa"/>
            <w:vAlign w:val="center"/>
          </w:tcPr>
          <w:p>
            <w:pPr>
              <w:pStyle w:val="11"/>
            </w:pPr>
            <w:r>
              <w:t>35.12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21</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二十一、粮油物资储备支出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22</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二十二、国有资本经营预算支出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23</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二十三、灾害防治及应急管理支出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24</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二十四、预备费</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25</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二十五、其他支出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26</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二十六、年初预留</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27</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二十七、转移性支出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28</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二十八、债务还本支出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29</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二十九、债务付息支出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30</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三十、债务发行费用支出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31</w:t>
            </w:r>
          </w:p>
        </w:tc>
        <w:tc>
          <w:tcPr>
            <w:tcW w:w="1971" w:type="dxa"/>
            <w:vAlign w:val="center"/>
          </w:tcPr>
          <w:p>
            <w:pPr>
              <w:pStyle w:val="12"/>
            </w:pPr>
          </w:p>
        </w:tc>
        <w:tc>
          <w:tcPr>
            <w:tcW w:w="1971" w:type="dxa"/>
            <w:vAlign w:val="center"/>
          </w:tcPr>
          <w:p>
            <w:pPr>
              <w:pStyle w:val="11"/>
            </w:pPr>
          </w:p>
        </w:tc>
        <w:tc>
          <w:tcPr>
            <w:tcW w:w="1971" w:type="dxa"/>
            <w:vAlign w:val="center"/>
          </w:tcPr>
          <w:p>
            <w:pPr>
              <w:pStyle w:val="12"/>
            </w:pPr>
            <w:r>
              <w:t>三十一、抗疫特别国债安排的支出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32</w:t>
            </w:r>
          </w:p>
        </w:tc>
        <w:tc>
          <w:tcPr>
            <w:tcW w:w="1971" w:type="dxa"/>
            <w:vAlign w:val="center"/>
          </w:tcPr>
          <w:p>
            <w:pPr>
              <w:pStyle w:val="14"/>
            </w:pPr>
            <w:r>
              <w:t>本年收入合计</w:t>
            </w:r>
          </w:p>
        </w:tc>
        <w:tc>
          <w:tcPr>
            <w:tcW w:w="1971" w:type="dxa"/>
            <w:vAlign w:val="center"/>
          </w:tcPr>
          <w:p>
            <w:pPr>
              <w:pStyle w:val="15"/>
            </w:pPr>
            <w:r>
              <w:t>969.25</w:t>
            </w:r>
          </w:p>
        </w:tc>
        <w:tc>
          <w:tcPr>
            <w:tcW w:w="1971" w:type="dxa"/>
            <w:vAlign w:val="center"/>
          </w:tcPr>
          <w:p>
            <w:pPr>
              <w:pStyle w:val="14"/>
            </w:pPr>
            <w:r>
              <w:t>本年支出合计</w:t>
            </w:r>
          </w:p>
        </w:tc>
        <w:tc>
          <w:tcPr>
            <w:tcW w:w="1971" w:type="dxa"/>
            <w:vAlign w:val="center"/>
          </w:tcPr>
          <w:p>
            <w:pPr>
              <w:pStyle w:val="15"/>
            </w:pPr>
            <w:r>
              <w:t>969.25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33</w:t>
            </w:r>
          </w:p>
        </w:tc>
        <w:tc>
          <w:tcPr>
            <w:tcW w:w="1971" w:type="dxa"/>
            <w:vAlign w:val="center"/>
          </w:tcPr>
          <w:p>
            <w:pPr>
              <w:pStyle w:val="12"/>
            </w:pPr>
            <w:r>
              <w:t>上年结转结余</w:t>
            </w:r>
          </w:p>
        </w:tc>
        <w:tc>
          <w:tcPr>
            <w:tcW w:w="1971" w:type="dxa"/>
            <w:vAlign w:val="center"/>
          </w:tcPr>
          <w:p>
            <w:pPr>
              <w:pStyle w:val="11"/>
            </w:pPr>
          </w:p>
        </w:tc>
        <w:tc>
          <w:tcPr>
            <w:tcW w:w="1971" w:type="dxa"/>
            <w:vAlign w:val="center"/>
          </w:tcPr>
          <w:p>
            <w:pPr>
              <w:pStyle w:val="12"/>
            </w:pPr>
            <w:r>
              <w:t>年终结转结余</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3"/>
            </w:pPr>
            <w:r>
              <w:t>34</w:t>
            </w:r>
          </w:p>
        </w:tc>
        <w:tc>
          <w:tcPr>
            <w:tcW w:w="1971" w:type="dxa"/>
            <w:vAlign w:val="center"/>
          </w:tcPr>
          <w:p>
            <w:pPr>
              <w:pStyle w:val="14"/>
            </w:pPr>
            <w:r>
              <w:t>收入总计</w:t>
            </w:r>
          </w:p>
        </w:tc>
        <w:tc>
          <w:tcPr>
            <w:tcW w:w="1971" w:type="dxa"/>
            <w:vAlign w:val="center"/>
          </w:tcPr>
          <w:p>
            <w:pPr>
              <w:pStyle w:val="15"/>
            </w:pPr>
            <w:r>
              <w:t>969.25</w:t>
            </w:r>
          </w:p>
        </w:tc>
        <w:tc>
          <w:tcPr>
            <w:tcW w:w="1971" w:type="dxa"/>
            <w:vAlign w:val="center"/>
          </w:tcPr>
          <w:p>
            <w:pPr>
              <w:pStyle w:val="14"/>
            </w:pPr>
            <w:r>
              <w:t>支出总计</w:t>
            </w:r>
          </w:p>
        </w:tc>
        <w:tc>
          <w:tcPr>
            <w:tcW w:w="1971" w:type="dxa"/>
            <w:vAlign w:val="center"/>
          </w:tcPr>
          <w:p>
            <w:pPr>
              <w:pStyle w:val="15"/>
            </w:pPr>
            <w:r>
              <w:t>969.25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434隆尧县人民政府办公室</w:t>
            </w:r>
            <w:r>
              <w:rPr>
                <w:rFonts w:hint="eastAsia"/>
                <w:lang w:val="en-US" w:eastAsia="zh-CN"/>
              </w:rPr>
              <w:t xml:space="preserve">                     </w:t>
            </w:r>
            <w:r>
              <w:rPr>
                <w:rFonts w:hint="eastAsia"/>
                <w:lang w:eastAsia="zh-CN"/>
              </w:rPr>
              <w:t>预算年度：</w:t>
            </w:r>
            <w:r>
              <w:rPr>
                <w:rFonts w:hint="eastAsia"/>
                <w:lang w:val="en-US" w:eastAsia="zh-CN"/>
              </w:rPr>
              <w:t>2022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10"/>
              <w:tabs>
                <w:tab w:val="left" w:pos="207"/>
                <w:tab w:val="center" w:pos="1089"/>
              </w:tabs>
              <w:jc w:val="left"/>
            </w:pPr>
            <w:r>
              <w:t>序号</w:t>
            </w:r>
          </w:p>
        </w:tc>
        <w:tc>
          <w:tcPr>
            <w:tcW w:w="6822" w:type="dxa"/>
            <w:gridSpan w:val="9"/>
            <w:vMerge w:val="restart"/>
            <w:vAlign w:val="center"/>
          </w:tcPr>
          <w:p>
            <w:pPr>
              <w:pStyle w:val="10"/>
              <w:jc w:val="both"/>
            </w:pPr>
            <w:r>
              <w:t>合计</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10"/>
              <w:jc w:val="both"/>
              <w:rPr>
                <w:rFonts w:hint="eastAsia" w:eastAsia="方正书宋_GBK"/>
                <w:lang w:eastAsia="zh-CN"/>
              </w:rPr>
            </w:pPr>
            <w:r>
              <w:t>科目</w:t>
            </w:r>
            <w:r>
              <w:rPr>
                <w:rFonts w:hint="eastAsia"/>
                <w:lang w:eastAsia="zh-CN"/>
              </w:rPr>
              <w:t>编</w:t>
            </w:r>
            <w:r>
              <w:rPr>
                <w:rFonts w:hint="eastAsia"/>
                <w:lang w:val="en-US" w:eastAsia="zh-CN"/>
              </w:rPr>
              <w:t xml:space="preserve"> </w:t>
            </w:r>
            <w:r>
              <w:rPr>
                <w:rFonts w:hint="eastAsia"/>
                <w:lang w:eastAsia="zh-CN"/>
              </w:rPr>
              <w:t>码</w:t>
            </w:r>
          </w:p>
        </w:tc>
        <w:tc>
          <w:tcPr>
            <w:tcW w:w="758" w:type="dxa"/>
            <w:vAlign w:val="center"/>
          </w:tcPr>
          <w:p>
            <w:pPr>
              <w:pStyle w:val="10"/>
            </w:pPr>
            <w:r>
              <w:t>科目名称</w:t>
            </w:r>
          </w:p>
        </w:tc>
        <w:tc>
          <w:tcPr>
            <w:tcW w:w="758" w:type="dxa"/>
            <w:vMerge w:val="continue"/>
            <w:vAlign w:val="top"/>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969.25</w:t>
            </w:r>
          </w:p>
        </w:tc>
        <w:tc>
          <w:tcPr>
            <w:tcW w:w="758" w:type="dxa"/>
            <w:vAlign w:val="center"/>
          </w:tcPr>
          <w:p>
            <w:pPr>
              <w:pStyle w:val="15"/>
            </w:pPr>
            <w:r>
              <w:t>969.25</w:t>
            </w:r>
          </w:p>
        </w:tc>
        <w:tc>
          <w:tcPr>
            <w:tcW w:w="758" w:type="dxa"/>
            <w:vAlign w:val="center"/>
          </w:tcPr>
          <w:p>
            <w:pPr>
              <w:pStyle w:val="15"/>
            </w:pPr>
            <w:r>
              <w:t>969.25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873.04</w:t>
            </w:r>
          </w:p>
        </w:tc>
        <w:tc>
          <w:tcPr>
            <w:tcW w:w="758" w:type="dxa"/>
            <w:vAlign w:val="center"/>
          </w:tcPr>
          <w:p>
            <w:pPr>
              <w:pStyle w:val="11"/>
            </w:pPr>
            <w:r>
              <w:t>873.04</w:t>
            </w:r>
          </w:p>
        </w:tc>
        <w:tc>
          <w:tcPr>
            <w:tcW w:w="758" w:type="dxa"/>
            <w:vAlign w:val="center"/>
          </w:tcPr>
          <w:p>
            <w:pPr>
              <w:pStyle w:val="11"/>
            </w:pPr>
            <w:r>
              <w:t>873.04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873.04</w:t>
            </w:r>
          </w:p>
        </w:tc>
        <w:tc>
          <w:tcPr>
            <w:tcW w:w="758" w:type="dxa"/>
            <w:vAlign w:val="center"/>
          </w:tcPr>
          <w:p>
            <w:pPr>
              <w:pStyle w:val="11"/>
            </w:pPr>
            <w:r>
              <w:t>873.04</w:t>
            </w:r>
          </w:p>
        </w:tc>
        <w:tc>
          <w:tcPr>
            <w:tcW w:w="758" w:type="dxa"/>
            <w:vAlign w:val="center"/>
          </w:tcPr>
          <w:p>
            <w:pPr>
              <w:pStyle w:val="11"/>
            </w:pPr>
            <w:r>
              <w:t>873.04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422.54</w:t>
            </w:r>
          </w:p>
        </w:tc>
        <w:tc>
          <w:tcPr>
            <w:tcW w:w="758" w:type="dxa"/>
            <w:vAlign w:val="center"/>
          </w:tcPr>
          <w:p>
            <w:pPr>
              <w:pStyle w:val="11"/>
            </w:pPr>
            <w:r>
              <w:t>422.54</w:t>
            </w:r>
          </w:p>
        </w:tc>
        <w:tc>
          <w:tcPr>
            <w:tcW w:w="758" w:type="dxa"/>
            <w:vAlign w:val="center"/>
          </w:tcPr>
          <w:p>
            <w:pPr>
              <w:pStyle w:val="11"/>
            </w:pPr>
            <w:r>
              <w:t>422.54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2010302</w:t>
            </w:r>
          </w:p>
        </w:tc>
        <w:tc>
          <w:tcPr>
            <w:tcW w:w="758" w:type="dxa"/>
            <w:vAlign w:val="center"/>
          </w:tcPr>
          <w:p>
            <w:pPr>
              <w:pStyle w:val="12"/>
            </w:pPr>
            <w:r>
              <w:t>一般行政管理事务</w:t>
            </w:r>
          </w:p>
        </w:tc>
        <w:tc>
          <w:tcPr>
            <w:tcW w:w="758" w:type="dxa"/>
            <w:vAlign w:val="center"/>
          </w:tcPr>
          <w:p>
            <w:pPr>
              <w:pStyle w:val="11"/>
            </w:pPr>
            <w:r>
              <w:t>450.50</w:t>
            </w:r>
          </w:p>
        </w:tc>
        <w:tc>
          <w:tcPr>
            <w:tcW w:w="758" w:type="dxa"/>
            <w:vAlign w:val="center"/>
          </w:tcPr>
          <w:p>
            <w:pPr>
              <w:pStyle w:val="11"/>
            </w:pPr>
            <w:r>
              <w:t>450.50</w:t>
            </w:r>
          </w:p>
        </w:tc>
        <w:tc>
          <w:tcPr>
            <w:tcW w:w="758" w:type="dxa"/>
            <w:vAlign w:val="center"/>
          </w:tcPr>
          <w:p>
            <w:pPr>
              <w:pStyle w:val="11"/>
            </w:pPr>
            <w:r>
              <w:t>450.50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r>
              <w:t>41.55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r>
              <w:t>19.53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r>
              <w:t>35.12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434隆尧县人民政府办公室</w:t>
            </w:r>
            <w:r>
              <w:rPr>
                <w:rFonts w:hint="eastAsia"/>
                <w:lang w:val="en-US" w:eastAsia="zh-CN"/>
              </w:rPr>
              <w:t xml:space="preserve">       预算年度：2022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10"/>
              <w:ind w:firstLine="211" w:firstLineChars="100"/>
              <w:jc w:val="both"/>
            </w:pPr>
            <w:r>
              <w:t>序</w:t>
            </w:r>
            <w:r>
              <w:rPr>
                <w:rFonts w:hint="eastAsia"/>
                <w:lang w:val="en-US" w:eastAsia="zh-CN"/>
              </w:rPr>
              <w:t xml:space="preserve"> </w:t>
            </w:r>
            <w:r>
              <w:t>号</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10"/>
              <w:jc w:val="both"/>
              <w:rPr>
                <w:rFonts w:hint="eastAsia" w:eastAsia="方正书宋_GBK"/>
                <w:lang w:eastAsia="zh-CN"/>
              </w:rPr>
            </w:pPr>
            <w:r>
              <w:rPr>
                <w:rFonts w:hint="eastAsia"/>
                <w:lang w:eastAsia="zh-CN"/>
              </w:rPr>
              <w:t>科目编码</w:t>
            </w:r>
          </w:p>
        </w:tc>
        <w:tc>
          <w:tcPr>
            <w:tcW w:w="1095" w:type="dxa"/>
            <w:vAlign w:val="center"/>
          </w:tcPr>
          <w:p>
            <w:pPr>
              <w:pStyle w:val="10"/>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969.25</w:t>
            </w:r>
          </w:p>
        </w:tc>
        <w:tc>
          <w:tcPr>
            <w:tcW w:w="1095" w:type="dxa"/>
            <w:vAlign w:val="center"/>
          </w:tcPr>
          <w:p>
            <w:pPr>
              <w:pStyle w:val="15"/>
            </w:pPr>
            <w:r>
              <w:t>518.75</w:t>
            </w:r>
          </w:p>
        </w:tc>
        <w:tc>
          <w:tcPr>
            <w:tcW w:w="1095" w:type="dxa"/>
            <w:vAlign w:val="center"/>
          </w:tcPr>
          <w:p>
            <w:pPr>
              <w:pStyle w:val="15"/>
            </w:pPr>
            <w:r>
              <w:t>450.50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873.04</w:t>
            </w:r>
          </w:p>
        </w:tc>
        <w:tc>
          <w:tcPr>
            <w:tcW w:w="1095" w:type="dxa"/>
            <w:vAlign w:val="center"/>
          </w:tcPr>
          <w:p>
            <w:pPr>
              <w:pStyle w:val="11"/>
            </w:pPr>
            <w:r>
              <w:t>422.54</w:t>
            </w:r>
          </w:p>
        </w:tc>
        <w:tc>
          <w:tcPr>
            <w:tcW w:w="1095" w:type="dxa"/>
            <w:vAlign w:val="center"/>
          </w:tcPr>
          <w:p>
            <w:pPr>
              <w:pStyle w:val="11"/>
            </w:pPr>
            <w:r>
              <w:t>450.50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873.04</w:t>
            </w:r>
          </w:p>
        </w:tc>
        <w:tc>
          <w:tcPr>
            <w:tcW w:w="1095" w:type="dxa"/>
            <w:vAlign w:val="center"/>
          </w:tcPr>
          <w:p>
            <w:pPr>
              <w:pStyle w:val="11"/>
            </w:pPr>
            <w:r>
              <w:t>422.54</w:t>
            </w:r>
          </w:p>
        </w:tc>
        <w:tc>
          <w:tcPr>
            <w:tcW w:w="1095" w:type="dxa"/>
            <w:vAlign w:val="center"/>
          </w:tcPr>
          <w:p>
            <w:pPr>
              <w:pStyle w:val="11"/>
            </w:pPr>
            <w:r>
              <w:t>450.50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422.54</w:t>
            </w:r>
          </w:p>
        </w:tc>
        <w:tc>
          <w:tcPr>
            <w:tcW w:w="1095" w:type="dxa"/>
            <w:vAlign w:val="center"/>
          </w:tcPr>
          <w:p>
            <w:pPr>
              <w:pStyle w:val="11"/>
            </w:pPr>
            <w:r>
              <w:t>422.54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2010302</w:t>
            </w:r>
          </w:p>
        </w:tc>
        <w:tc>
          <w:tcPr>
            <w:tcW w:w="1095" w:type="dxa"/>
            <w:vAlign w:val="center"/>
          </w:tcPr>
          <w:p>
            <w:pPr>
              <w:pStyle w:val="12"/>
            </w:pPr>
            <w:r>
              <w:t>一般行政管理事务</w:t>
            </w:r>
          </w:p>
        </w:tc>
        <w:tc>
          <w:tcPr>
            <w:tcW w:w="1095" w:type="dxa"/>
            <w:vAlign w:val="center"/>
          </w:tcPr>
          <w:p>
            <w:pPr>
              <w:pStyle w:val="11"/>
            </w:pPr>
            <w:r>
              <w:t>450.50</w:t>
            </w:r>
          </w:p>
        </w:tc>
        <w:tc>
          <w:tcPr>
            <w:tcW w:w="1095" w:type="dxa"/>
            <w:vAlign w:val="center"/>
          </w:tcPr>
          <w:p>
            <w:pPr>
              <w:pStyle w:val="11"/>
            </w:pPr>
          </w:p>
        </w:tc>
        <w:tc>
          <w:tcPr>
            <w:tcW w:w="1095" w:type="dxa"/>
            <w:vAlign w:val="center"/>
          </w:tcPr>
          <w:p>
            <w:pPr>
              <w:pStyle w:val="11"/>
            </w:pPr>
            <w:r>
              <w:t>450.50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41.55</w:t>
            </w:r>
          </w:p>
        </w:tc>
        <w:tc>
          <w:tcPr>
            <w:tcW w:w="1095" w:type="dxa"/>
            <w:vAlign w:val="center"/>
          </w:tcPr>
          <w:p>
            <w:pPr>
              <w:pStyle w:val="11"/>
            </w:pPr>
            <w:r>
              <w:t>41.55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41.55</w:t>
            </w:r>
          </w:p>
        </w:tc>
        <w:tc>
          <w:tcPr>
            <w:tcW w:w="1095" w:type="dxa"/>
            <w:vAlign w:val="center"/>
          </w:tcPr>
          <w:p>
            <w:pPr>
              <w:pStyle w:val="11"/>
            </w:pPr>
            <w:r>
              <w:t>41.55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41.55</w:t>
            </w:r>
          </w:p>
        </w:tc>
        <w:tc>
          <w:tcPr>
            <w:tcW w:w="1095" w:type="dxa"/>
            <w:vAlign w:val="center"/>
          </w:tcPr>
          <w:p>
            <w:pPr>
              <w:pStyle w:val="11"/>
            </w:pPr>
            <w:r>
              <w:t>41.55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19.53</w:t>
            </w:r>
          </w:p>
        </w:tc>
        <w:tc>
          <w:tcPr>
            <w:tcW w:w="1095" w:type="dxa"/>
            <w:vAlign w:val="center"/>
          </w:tcPr>
          <w:p>
            <w:pPr>
              <w:pStyle w:val="11"/>
            </w:pPr>
            <w:r>
              <w:t>19.53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19.53</w:t>
            </w:r>
          </w:p>
        </w:tc>
        <w:tc>
          <w:tcPr>
            <w:tcW w:w="1095" w:type="dxa"/>
            <w:vAlign w:val="center"/>
          </w:tcPr>
          <w:p>
            <w:pPr>
              <w:pStyle w:val="11"/>
            </w:pPr>
            <w:r>
              <w:t>19.53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19.53</w:t>
            </w:r>
          </w:p>
        </w:tc>
        <w:tc>
          <w:tcPr>
            <w:tcW w:w="1095" w:type="dxa"/>
            <w:vAlign w:val="center"/>
          </w:tcPr>
          <w:p>
            <w:pPr>
              <w:pStyle w:val="11"/>
            </w:pPr>
            <w:r>
              <w:t>19.53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35.12</w:t>
            </w:r>
          </w:p>
        </w:tc>
        <w:tc>
          <w:tcPr>
            <w:tcW w:w="1095" w:type="dxa"/>
            <w:vAlign w:val="center"/>
          </w:tcPr>
          <w:p>
            <w:pPr>
              <w:pStyle w:val="11"/>
            </w:pPr>
            <w:r>
              <w:t>35.12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35.12</w:t>
            </w:r>
          </w:p>
        </w:tc>
        <w:tc>
          <w:tcPr>
            <w:tcW w:w="1095" w:type="dxa"/>
            <w:vAlign w:val="center"/>
          </w:tcPr>
          <w:p>
            <w:pPr>
              <w:pStyle w:val="11"/>
            </w:pPr>
            <w:r>
              <w:t>35.12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35.12</w:t>
            </w:r>
          </w:p>
        </w:tc>
        <w:tc>
          <w:tcPr>
            <w:tcW w:w="1095" w:type="dxa"/>
            <w:vAlign w:val="center"/>
          </w:tcPr>
          <w:p>
            <w:pPr>
              <w:pStyle w:val="11"/>
            </w:pPr>
            <w:r>
              <w:t>35.12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6160" w:type="dxa"/>
            <w:gridSpan w:val="5"/>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10"/>
              <w:ind w:firstLine="211" w:firstLineChars="100"/>
              <w:jc w:val="both"/>
            </w:pPr>
            <w:r>
              <w:t>序</w:t>
            </w:r>
            <w:r>
              <w:rPr>
                <w:rFonts w:hint="eastAsia"/>
                <w:lang w:val="en-US" w:eastAsia="zh-CN"/>
              </w:rPr>
              <w:t xml:space="preserve"> </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969.25</w:t>
            </w:r>
          </w:p>
        </w:tc>
        <w:tc>
          <w:tcPr>
            <w:tcW w:w="1232" w:type="dxa"/>
            <w:vAlign w:val="center"/>
          </w:tcPr>
          <w:p>
            <w:pPr>
              <w:pStyle w:val="12"/>
            </w:pPr>
            <w:r>
              <w:t>一、一般公共服务支出</w:t>
            </w:r>
          </w:p>
        </w:tc>
        <w:tc>
          <w:tcPr>
            <w:tcW w:w="1232" w:type="dxa"/>
            <w:vAlign w:val="center"/>
          </w:tcPr>
          <w:p>
            <w:pPr>
              <w:pStyle w:val="11"/>
            </w:pPr>
            <w:r>
              <w:t>873.04</w:t>
            </w:r>
          </w:p>
        </w:tc>
        <w:tc>
          <w:tcPr>
            <w:tcW w:w="1232" w:type="dxa"/>
            <w:vAlign w:val="center"/>
          </w:tcPr>
          <w:p>
            <w:pPr>
              <w:pStyle w:val="11"/>
            </w:pPr>
            <w:r>
              <w:t>873.04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41.55</w:t>
            </w:r>
          </w:p>
        </w:tc>
        <w:tc>
          <w:tcPr>
            <w:tcW w:w="1232" w:type="dxa"/>
            <w:vAlign w:val="center"/>
          </w:tcPr>
          <w:p>
            <w:pPr>
              <w:pStyle w:val="11"/>
            </w:pPr>
            <w:r>
              <w:t>41.55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19.53</w:t>
            </w:r>
          </w:p>
        </w:tc>
        <w:tc>
          <w:tcPr>
            <w:tcW w:w="1232" w:type="dxa"/>
            <w:vAlign w:val="center"/>
          </w:tcPr>
          <w:p>
            <w:pPr>
              <w:pStyle w:val="11"/>
            </w:pPr>
            <w:r>
              <w:t>19.53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35.12</w:t>
            </w:r>
          </w:p>
        </w:tc>
        <w:tc>
          <w:tcPr>
            <w:tcW w:w="1232" w:type="dxa"/>
            <w:vAlign w:val="center"/>
          </w:tcPr>
          <w:p>
            <w:pPr>
              <w:pStyle w:val="11"/>
            </w:pPr>
            <w:r>
              <w:t>35.12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二十六、年初预留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969.25</w:t>
            </w:r>
          </w:p>
        </w:tc>
        <w:tc>
          <w:tcPr>
            <w:tcW w:w="1232" w:type="dxa"/>
            <w:vAlign w:val="center"/>
          </w:tcPr>
          <w:p>
            <w:pPr>
              <w:pStyle w:val="14"/>
            </w:pPr>
            <w:r>
              <w:t>本年支出合计</w:t>
            </w:r>
          </w:p>
        </w:tc>
        <w:tc>
          <w:tcPr>
            <w:tcW w:w="1232" w:type="dxa"/>
            <w:vAlign w:val="center"/>
          </w:tcPr>
          <w:p>
            <w:pPr>
              <w:pStyle w:val="15"/>
            </w:pPr>
            <w:r>
              <w:t>969.25</w:t>
            </w:r>
          </w:p>
        </w:tc>
        <w:tc>
          <w:tcPr>
            <w:tcW w:w="1232" w:type="dxa"/>
            <w:vAlign w:val="center"/>
          </w:tcPr>
          <w:p>
            <w:pPr>
              <w:pStyle w:val="15"/>
            </w:pPr>
            <w:r>
              <w:t>969.25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969.25</w:t>
            </w:r>
          </w:p>
        </w:tc>
        <w:tc>
          <w:tcPr>
            <w:tcW w:w="1232" w:type="dxa"/>
            <w:vAlign w:val="center"/>
          </w:tcPr>
          <w:p>
            <w:pPr>
              <w:pStyle w:val="14"/>
            </w:pPr>
            <w:r>
              <w:t>支出总计</w:t>
            </w:r>
          </w:p>
        </w:tc>
        <w:tc>
          <w:tcPr>
            <w:tcW w:w="1232" w:type="dxa"/>
            <w:vAlign w:val="center"/>
          </w:tcPr>
          <w:p>
            <w:pPr>
              <w:pStyle w:val="15"/>
            </w:pPr>
            <w:r>
              <w:t>969.25</w:t>
            </w:r>
          </w:p>
        </w:tc>
        <w:tc>
          <w:tcPr>
            <w:tcW w:w="1232" w:type="dxa"/>
            <w:vAlign w:val="center"/>
          </w:tcPr>
          <w:p>
            <w:pPr>
              <w:pStyle w:val="15"/>
            </w:pPr>
            <w:r>
              <w:t>969.25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4929" w:type="dxa"/>
            <w:gridSpan w:val="3"/>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Align w:val="center"/>
          </w:tcPr>
          <w:p>
            <w:pPr>
              <w:pStyle w:val="10"/>
              <w:ind w:firstLine="422" w:firstLineChars="200"/>
              <w:jc w:val="both"/>
            </w:pPr>
            <w:r>
              <w:t>序</w:t>
            </w:r>
            <w:r>
              <w:rPr>
                <w:rFonts w:hint="eastAsia"/>
                <w:lang w:val="en-US" w:eastAsia="zh-CN"/>
              </w:rPr>
              <w:t xml:space="preserve"> </w:t>
            </w:r>
            <w:r>
              <w:t>号</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top"/>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969.25</w:t>
            </w:r>
          </w:p>
        </w:tc>
        <w:tc>
          <w:tcPr>
            <w:tcW w:w="1643" w:type="dxa"/>
            <w:vAlign w:val="center"/>
          </w:tcPr>
          <w:p>
            <w:pPr>
              <w:pStyle w:val="15"/>
            </w:pPr>
            <w:r>
              <w:t>518.75</w:t>
            </w:r>
          </w:p>
        </w:tc>
        <w:tc>
          <w:tcPr>
            <w:tcW w:w="1643" w:type="dxa"/>
            <w:vAlign w:val="center"/>
          </w:tcPr>
          <w:p>
            <w:pPr>
              <w:pStyle w:val="15"/>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873.04</w:t>
            </w:r>
          </w:p>
        </w:tc>
        <w:tc>
          <w:tcPr>
            <w:tcW w:w="1643" w:type="dxa"/>
            <w:vAlign w:val="center"/>
          </w:tcPr>
          <w:p>
            <w:pPr>
              <w:pStyle w:val="11"/>
            </w:pPr>
            <w:r>
              <w:t>422.54</w:t>
            </w:r>
          </w:p>
        </w:tc>
        <w:tc>
          <w:tcPr>
            <w:tcW w:w="1643" w:type="dxa"/>
            <w:vAlign w:val="center"/>
          </w:tcPr>
          <w:p>
            <w:pPr>
              <w:pStyle w:val="11"/>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873.04</w:t>
            </w:r>
          </w:p>
        </w:tc>
        <w:tc>
          <w:tcPr>
            <w:tcW w:w="1643" w:type="dxa"/>
            <w:vAlign w:val="center"/>
          </w:tcPr>
          <w:p>
            <w:pPr>
              <w:pStyle w:val="11"/>
            </w:pPr>
            <w:r>
              <w:t>422.54</w:t>
            </w:r>
          </w:p>
        </w:tc>
        <w:tc>
          <w:tcPr>
            <w:tcW w:w="1643" w:type="dxa"/>
            <w:vAlign w:val="center"/>
          </w:tcPr>
          <w:p>
            <w:pPr>
              <w:pStyle w:val="11"/>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422.54</w:t>
            </w:r>
          </w:p>
        </w:tc>
        <w:tc>
          <w:tcPr>
            <w:tcW w:w="1643" w:type="dxa"/>
            <w:vAlign w:val="center"/>
          </w:tcPr>
          <w:p>
            <w:pPr>
              <w:pStyle w:val="11"/>
            </w:pPr>
            <w:r>
              <w:t>422.54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2010302</w:t>
            </w:r>
          </w:p>
        </w:tc>
        <w:tc>
          <w:tcPr>
            <w:tcW w:w="1643" w:type="dxa"/>
            <w:vAlign w:val="center"/>
          </w:tcPr>
          <w:p>
            <w:pPr>
              <w:pStyle w:val="12"/>
            </w:pPr>
            <w:r>
              <w:t>一般行政管理事务</w:t>
            </w:r>
          </w:p>
        </w:tc>
        <w:tc>
          <w:tcPr>
            <w:tcW w:w="1643" w:type="dxa"/>
            <w:vAlign w:val="center"/>
          </w:tcPr>
          <w:p>
            <w:pPr>
              <w:pStyle w:val="11"/>
            </w:pPr>
            <w:r>
              <w:t>450.50</w:t>
            </w:r>
          </w:p>
        </w:tc>
        <w:tc>
          <w:tcPr>
            <w:tcW w:w="1643" w:type="dxa"/>
            <w:vAlign w:val="center"/>
          </w:tcPr>
          <w:p>
            <w:pPr>
              <w:pStyle w:val="11"/>
            </w:pPr>
          </w:p>
        </w:tc>
        <w:tc>
          <w:tcPr>
            <w:tcW w:w="1643" w:type="dxa"/>
            <w:vAlign w:val="center"/>
          </w:tcPr>
          <w:p>
            <w:pPr>
              <w:pStyle w:val="11"/>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19.53</w:t>
            </w:r>
          </w:p>
        </w:tc>
        <w:tc>
          <w:tcPr>
            <w:tcW w:w="1643" w:type="dxa"/>
            <w:vAlign w:val="center"/>
          </w:tcPr>
          <w:p>
            <w:pPr>
              <w:pStyle w:val="11"/>
            </w:pPr>
            <w:r>
              <w:t>19.53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19.53</w:t>
            </w:r>
          </w:p>
        </w:tc>
        <w:tc>
          <w:tcPr>
            <w:tcW w:w="1643" w:type="dxa"/>
            <w:vAlign w:val="center"/>
          </w:tcPr>
          <w:p>
            <w:pPr>
              <w:pStyle w:val="11"/>
            </w:pPr>
            <w:r>
              <w:t>19.53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19.53</w:t>
            </w:r>
          </w:p>
        </w:tc>
        <w:tc>
          <w:tcPr>
            <w:tcW w:w="1643" w:type="dxa"/>
            <w:vAlign w:val="center"/>
          </w:tcPr>
          <w:p>
            <w:pPr>
              <w:pStyle w:val="11"/>
            </w:pPr>
            <w:r>
              <w:t>19.53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35.12</w:t>
            </w:r>
          </w:p>
        </w:tc>
        <w:tc>
          <w:tcPr>
            <w:tcW w:w="1643" w:type="dxa"/>
            <w:vAlign w:val="center"/>
          </w:tcPr>
          <w:p>
            <w:pPr>
              <w:pStyle w:val="11"/>
            </w:pPr>
            <w:r>
              <w:t>35.12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35.12</w:t>
            </w:r>
          </w:p>
        </w:tc>
        <w:tc>
          <w:tcPr>
            <w:tcW w:w="1643" w:type="dxa"/>
            <w:vAlign w:val="center"/>
          </w:tcPr>
          <w:p>
            <w:pPr>
              <w:pStyle w:val="11"/>
            </w:pPr>
            <w:r>
              <w:t>35.12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35.12</w:t>
            </w:r>
          </w:p>
        </w:tc>
        <w:tc>
          <w:tcPr>
            <w:tcW w:w="1643" w:type="dxa"/>
            <w:vAlign w:val="center"/>
          </w:tcPr>
          <w:p>
            <w:pPr>
              <w:pStyle w:val="11"/>
            </w:pPr>
            <w:r>
              <w:t>35.12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4929" w:type="dxa"/>
            <w:gridSpan w:val="3"/>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10"/>
              <w:ind w:firstLine="422" w:firstLineChars="200"/>
              <w:jc w:val="both"/>
              <w:rPr>
                <w:rFonts w:hint="eastAsia" w:eastAsia="方正书宋_GBK"/>
                <w:lang w:val="en-US" w:eastAsia="zh-CN"/>
              </w:rPr>
            </w:pPr>
            <w:r>
              <w:t>序</w:t>
            </w:r>
            <w:r>
              <w:rPr>
                <w:rFonts w:hint="eastAsia"/>
                <w:lang w:val="en-US" w:eastAsia="zh-CN"/>
              </w:rPr>
              <w:t xml:space="preserve"> </w:t>
            </w:r>
            <w:r>
              <w:t>号</w:t>
            </w:r>
            <w:r>
              <w:rPr>
                <w:rFonts w:hint="eastAsia"/>
                <w:lang w:val="en-US" w:eastAsia="zh-CN"/>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518.75</w:t>
            </w:r>
          </w:p>
        </w:tc>
        <w:tc>
          <w:tcPr>
            <w:tcW w:w="1643" w:type="dxa"/>
            <w:vAlign w:val="center"/>
          </w:tcPr>
          <w:p>
            <w:pPr>
              <w:pStyle w:val="15"/>
            </w:pPr>
            <w:r>
              <w:t>469.83</w:t>
            </w:r>
          </w:p>
        </w:tc>
        <w:tc>
          <w:tcPr>
            <w:tcW w:w="1643" w:type="dxa"/>
            <w:vAlign w:val="center"/>
          </w:tcPr>
          <w:p>
            <w:pPr>
              <w:pStyle w:val="15"/>
            </w:pPr>
            <w:r>
              <w:t>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459.35</w:t>
            </w:r>
          </w:p>
        </w:tc>
        <w:tc>
          <w:tcPr>
            <w:tcW w:w="1643" w:type="dxa"/>
            <w:vAlign w:val="center"/>
          </w:tcPr>
          <w:p>
            <w:pPr>
              <w:pStyle w:val="11"/>
            </w:pPr>
            <w:r>
              <w:t>459.35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180.92</w:t>
            </w:r>
          </w:p>
        </w:tc>
        <w:tc>
          <w:tcPr>
            <w:tcW w:w="1643" w:type="dxa"/>
            <w:vAlign w:val="center"/>
          </w:tcPr>
          <w:p>
            <w:pPr>
              <w:pStyle w:val="11"/>
            </w:pPr>
            <w:r>
              <w:t>180.92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138.46</w:t>
            </w:r>
          </w:p>
        </w:tc>
        <w:tc>
          <w:tcPr>
            <w:tcW w:w="1643" w:type="dxa"/>
            <w:vAlign w:val="center"/>
          </w:tcPr>
          <w:p>
            <w:pPr>
              <w:pStyle w:val="11"/>
            </w:pPr>
            <w:r>
              <w:t>138.46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15.08</w:t>
            </w:r>
          </w:p>
        </w:tc>
        <w:tc>
          <w:tcPr>
            <w:tcW w:w="1643" w:type="dxa"/>
            <w:vAlign w:val="center"/>
          </w:tcPr>
          <w:p>
            <w:pPr>
              <w:pStyle w:val="11"/>
            </w:pPr>
            <w:r>
              <w:t>15.08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22.03</w:t>
            </w:r>
          </w:p>
        </w:tc>
        <w:tc>
          <w:tcPr>
            <w:tcW w:w="1643" w:type="dxa"/>
            <w:vAlign w:val="center"/>
          </w:tcPr>
          <w:p>
            <w:pPr>
              <w:pStyle w:val="11"/>
            </w:pPr>
            <w:r>
              <w:t>22.03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19.53</w:t>
            </w:r>
          </w:p>
        </w:tc>
        <w:tc>
          <w:tcPr>
            <w:tcW w:w="1643" w:type="dxa"/>
            <w:vAlign w:val="center"/>
          </w:tcPr>
          <w:p>
            <w:pPr>
              <w:pStyle w:val="11"/>
            </w:pPr>
            <w:r>
              <w:t>19.53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6.66</w:t>
            </w:r>
          </w:p>
        </w:tc>
        <w:tc>
          <w:tcPr>
            <w:tcW w:w="1643" w:type="dxa"/>
            <w:vAlign w:val="center"/>
          </w:tcPr>
          <w:p>
            <w:pPr>
              <w:pStyle w:val="11"/>
            </w:pPr>
            <w:r>
              <w:t>6.66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35.12</w:t>
            </w:r>
          </w:p>
        </w:tc>
        <w:tc>
          <w:tcPr>
            <w:tcW w:w="1643" w:type="dxa"/>
            <w:vAlign w:val="center"/>
          </w:tcPr>
          <w:p>
            <w:pPr>
              <w:pStyle w:val="11"/>
            </w:pPr>
            <w:r>
              <w:t>35.12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48.92</w:t>
            </w:r>
          </w:p>
        </w:tc>
        <w:tc>
          <w:tcPr>
            <w:tcW w:w="1643" w:type="dxa"/>
            <w:vAlign w:val="center"/>
          </w:tcPr>
          <w:p>
            <w:pPr>
              <w:pStyle w:val="11"/>
            </w:pPr>
          </w:p>
        </w:tc>
        <w:tc>
          <w:tcPr>
            <w:tcW w:w="1643" w:type="dxa"/>
            <w:vAlign w:val="center"/>
          </w:tcPr>
          <w:p>
            <w:pPr>
              <w:pStyle w:val="11"/>
            </w:pPr>
            <w:r>
              <w:t>48.92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4.70</w:t>
            </w:r>
          </w:p>
        </w:tc>
        <w:tc>
          <w:tcPr>
            <w:tcW w:w="1643" w:type="dxa"/>
            <w:vAlign w:val="center"/>
          </w:tcPr>
          <w:p>
            <w:pPr>
              <w:pStyle w:val="11"/>
            </w:pPr>
          </w:p>
        </w:tc>
        <w:tc>
          <w:tcPr>
            <w:tcW w:w="1643"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1"/>
            </w:pPr>
            <w:r>
              <w:t>8.40</w:t>
            </w:r>
          </w:p>
        </w:tc>
        <w:tc>
          <w:tcPr>
            <w:tcW w:w="1643" w:type="dxa"/>
            <w:vAlign w:val="center"/>
          </w:tcPr>
          <w:p>
            <w:pPr>
              <w:pStyle w:val="11"/>
            </w:pPr>
          </w:p>
        </w:tc>
        <w:tc>
          <w:tcPr>
            <w:tcW w:w="1643"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1"/>
            </w:pPr>
            <w:r>
              <w:t>2.59</w:t>
            </w:r>
          </w:p>
        </w:tc>
        <w:tc>
          <w:tcPr>
            <w:tcW w:w="1643" w:type="dxa"/>
            <w:vAlign w:val="center"/>
          </w:tcPr>
          <w:p>
            <w:pPr>
              <w:pStyle w:val="11"/>
            </w:pPr>
          </w:p>
        </w:tc>
        <w:tc>
          <w:tcPr>
            <w:tcW w:w="1643" w:type="dxa"/>
            <w:vAlign w:val="center"/>
          </w:tcPr>
          <w:p>
            <w:pPr>
              <w:pStyle w:val="11"/>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0.94</w:t>
            </w:r>
          </w:p>
        </w:tc>
        <w:tc>
          <w:tcPr>
            <w:tcW w:w="1643" w:type="dxa"/>
            <w:vAlign w:val="center"/>
          </w:tcPr>
          <w:p>
            <w:pPr>
              <w:pStyle w:val="11"/>
            </w:pPr>
          </w:p>
        </w:tc>
        <w:tc>
          <w:tcPr>
            <w:tcW w:w="1643"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0.94</w:t>
            </w:r>
          </w:p>
        </w:tc>
        <w:tc>
          <w:tcPr>
            <w:tcW w:w="1643" w:type="dxa"/>
            <w:vAlign w:val="center"/>
          </w:tcPr>
          <w:p>
            <w:pPr>
              <w:pStyle w:val="11"/>
            </w:pPr>
          </w:p>
        </w:tc>
        <w:tc>
          <w:tcPr>
            <w:tcW w:w="1643"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30.42</w:t>
            </w:r>
          </w:p>
        </w:tc>
        <w:tc>
          <w:tcPr>
            <w:tcW w:w="1643" w:type="dxa"/>
            <w:vAlign w:val="center"/>
          </w:tcPr>
          <w:p>
            <w:pPr>
              <w:pStyle w:val="11"/>
            </w:pPr>
          </w:p>
        </w:tc>
        <w:tc>
          <w:tcPr>
            <w:tcW w:w="1643" w:type="dxa"/>
            <w:vAlign w:val="center"/>
          </w:tcPr>
          <w:p>
            <w:pPr>
              <w:pStyle w:val="11"/>
            </w:pPr>
            <w:r>
              <w:t>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0.94</w:t>
            </w:r>
          </w:p>
        </w:tc>
        <w:tc>
          <w:tcPr>
            <w:tcW w:w="1643" w:type="dxa"/>
            <w:vAlign w:val="center"/>
          </w:tcPr>
          <w:p>
            <w:pPr>
              <w:pStyle w:val="11"/>
            </w:pPr>
          </w:p>
        </w:tc>
        <w:tc>
          <w:tcPr>
            <w:tcW w:w="1643"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10.48</w:t>
            </w:r>
          </w:p>
        </w:tc>
        <w:tc>
          <w:tcPr>
            <w:tcW w:w="1643" w:type="dxa"/>
            <w:vAlign w:val="center"/>
          </w:tcPr>
          <w:p>
            <w:pPr>
              <w:pStyle w:val="11"/>
            </w:pPr>
            <w:r>
              <w:t>10.48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7.60</w:t>
            </w:r>
          </w:p>
        </w:tc>
        <w:tc>
          <w:tcPr>
            <w:tcW w:w="1643" w:type="dxa"/>
            <w:vAlign w:val="center"/>
          </w:tcPr>
          <w:p>
            <w:pPr>
              <w:pStyle w:val="11"/>
            </w:pPr>
            <w:r>
              <w:t>7.60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2.88</w:t>
            </w:r>
          </w:p>
        </w:tc>
        <w:tc>
          <w:tcPr>
            <w:tcW w:w="1643" w:type="dxa"/>
            <w:vAlign w:val="center"/>
          </w:tcPr>
          <w:p>
            <w:pPr>
              <w:pStyle w:val="11"/>
            </w:pPr>
            <w:r>
              <w:t>2.88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4929" w:type="dxa"/>
            <w:gridSpan w:val="3"/>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10"/>
              <w:ind w:firstLine="422" w:firstLineChars="200"/>
              <w:jc w:val="both"/>
            </w:pPr>
            <w:r>
              <w:t>序</w:t>
            </w:r>
            <w:r>
              <w:rPr>
                <w:rFonts w:hint="eastAsia"/>
                <w:lang w:val="en-US" w:eastAsia="zh-CN"/>
              </w:rPr>
              <w:t xml:space="preserve"> </w:t>
            </w:r>
            <w:r>
              <w:t>号</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4929" w:type="dxa"/>
            <w:gridSpan w:val="3"/>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10"/>
              <w:ind w:firstLine="422" w:firstLineChars="200"/>
              <w:jc w:val="both"/>
            </w:pPr>
            <w:r>
              <w:t>序</w:t>
            </w:r>
            <w:r>
              <w:rPr>
                <w:rFonts w:hint="eastAsia"/>
                <w:lang w:val="en-US" w:eastAsia="zh-CN"/>
              </w:rPr>
              <w:t xml:space="preserve"> </w:t>
            </w:r>
            <w:r>
              <w:t>号</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c>
          <w:tcPr>
            <w:tcW w:w="4929" w:type="dxa"/>
            <w:gridSpan w:val="3"/>
            <w:tcBorders>
              <w:top w:val="single" w:color="FFFFFF" w:sz="6" w:space="0"/>
              <w:left w:val="single" w:color="FFFFFF" w:sz="6" w:space="0"/>
              <w:right w:val="single" w:color="FFFFFF" w:sz="6" w:space="0"/>
            </w:tcBorders>
            <w:vAlign w:val="center"/>
          </w:tcPr>
          <w:p>
            <w:pPr>
              <w:pStyle w:val="8"/>
              <w:jc w:val="both"/>
              <w:rPr>
                <w:rFonts w:hint="default" w:eastAsia="方正小标宋_GBK"/>
                <w:lang w:val="en-US" w:eastAsia="zh-CN"/>
              </w:rPr>
            </w:pPr>
            <w:r>
              <w:t>预算年度：2022</w:t>
            </w:r>
            <w:r>
              <w:rPr>
                <w:rFonts w:hint="eastAsia"/>
                <w:lang w:val="en-US" w:eastAsia="zh-CN"/>
              </w:rPr>
              <w:t xml:space="preserve">                      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8215" w:type="dxa"/>
            <w:gridSpan w:val="5"/>
            <w:vMerge w:val="restart"/>
            <w:vAlign w:val="center"/>
          </w:tcPr>
          <w:p>
            <w:pPr>
              <w:pStyle w:val="10"/>
              <w:ind w:firstLine="422" w:firstLineChars="200"/>
              <w:jc w:val="both"/>
            </w:pPr>
            <w:r>
              <w:t>项  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15.20</w:t>
            </w:r>
          </w:p>
        </w:tc>
        <w:tc>
          <w:tcPr>
            <w:tcW w:w="1643" w:type="dxa"/>
            <w:vAlign w:val="center"/>
          </w:tcPr>
          <w:p>
            <w:pPr>
              <w:pStyle w:val="15"/>
              <w:rPr>
                <w:rFonts w:hint="default" w:eastAsia="方正书宋_GBK"/>
                <w:lang w:val="en-US" w:eastAsia="zh-CN"/>
              </w:rPr>
            </w:pPr>
            <w:r>
              <w:rPr>
                <w:rFonts w:hint="eastAsia"/>
                <w:lang w:val="en-US" w:eastAsia="zh-CN"/>
              </w:rPr>
              <w:t>15.20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eastAsia" w:eastAsia="方正书宋_GBK"/>
                <w:lang w:val="en-US" w:eastAsia="zh-CN"/>
              </w:rPr>
            </w:pPr>
            <w:r>
              <w:rPr>
                <w:rFonts w:hint="eastAsia"/>
                <w:lang w:val="en-US" w:eastAsia="zh-CN"/>
              </w:rPr>
              <w:t>15.20</w:t>
            </w:r>
          </w:p>
        </w:tc>
        <w:tc>
          <w:tcPr>
            <w:tcW w:w="1643" w:type="dxa"/>
            <w:vAlign w:val="center"/>
          </w:tcPr>
          <w:p>
            <w:pPr>
              <w:pStyle w:val="11"/>
              <w:rPr>
                <w:rFonts w:hint="eastAsia" w:eastAsia="方正书宋_GBK"/>
                <w:lang w:val="en-US" w:eastAsia="zh-CN"/>
              </w:rPr>
            </w:pPr>
            <w:r>
              <w:rPr>
                <w:rFonts w:hint="eastAsia"/>
                <w:lang w:val="en-US" w:eastAsia="zh-CN"/>
              </w:rPr>
              <w:t>15.20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r>
              <w:t>15.20</w:t>
            </w:r>
          </w:p>
        </w:tc>
        <w:tc>
          <w:tcPr>
            <w:tcW w:w="1643" w:type="dxa"/>
            <w:vAlign w:val="center"/>
          </w:tcPr>
          <w:p>
            <w:pPr>
              <w:pStyle w:val="11"/>
            </w:pPr>
            <w:r>
              <w:t>15.20</w:t>
            </w: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按照《预算法》、《地方预决算公开操作规程》和《关于进一步推进预算公开工作的实施意见》规定，现将隆尧县人民政府办公室2022年部门预算公开如下：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pStyle w:val="17"/>
      </w:pPr>
      <w:r>
        <w:t>（二）负责县政府领导活动的组织和协调工作；负责县政府会议的筹备和服务工作，协助县政府领导组织落实会议决定事项。</w:t>
      </w:r>
    </w:p>
    <w:p>
      <w:pPr>
        <w:pStyle w:val="17"/>
      </w:pPr>
      <w:r>
        <w:t>（三）研究县政府各部门、各乡镇政府、开发区、食品城请示县政府的事项，提出审核意见，报县政府领导审批。</w:t>
      </w:r>
    </w:p>
    <w:p>
      <w:pPr>
        <w:pStyle w:val="17"/>
      </w:pPr>
      <w:r>
        <w:t>（四）根据县政府领导的指示，对县政府部门间出现的争议问题提出处理意见，报县政府领导决定。</w:t>
      </w:r>
    </w:p>
    <w:p>
      <w:pPr>
        <w:pStyle w:val="17"/>
      </w:pPr>
      <w:r>
        <w:t>（五）组织起草县政府领导重要讲话及其他重要文稿。</w:t>
      </w:r>
    </w:p>
    <w:p>
      <w:pPr>
        <w:pStyle w:val="17"/>
      </w:pPr>
      <w:r>
        <w:t>（六）督促检查县政府各部门、各乡镇政府、开发区、食品城对市政府和县政府决定事项及市政府、县政府领导重要批示的执行落实情况并跟踪调研，及时向县政府领导报告。</w:t>
      </w:r>
    </w:p>
    <w:p>
      <w:pPr>
        <w:pStyle w:val="17"/>
      </w:pPr>
      <w:r>
        <w:t>（七）负责县政府值班工作，及时报告重要情况，传达和督促落实县政府领导工作要求，协助处理各部门、各乡镇向县政府反映的重要问题。</w:t>
      </w:r>
    </w:p>
    <w:p>
      <w:pPr>
        <w:pStyle w:val="17"/>
      </w:pPr>
      <w:r>
        <w:t>（八）根据县政府工作部署和县政府领导的指示，组织专题调研，及时反映情况，提出建议。</w:t>
      </w:r>
    </w:p>
    <w:p>
      <w:pPr>
        <w:pStyle w:val="17"/>
      </w:pPr>
      <w:r>
        <w:t>（九）组织承办人大代表建议和政协提案工作。</w:t>
      </w:r>
    </w:p>
    <w:p>
      <w:pPr>
        <w:pStyle w:val="17"/>
      </w:pPr>
      <w:r>
        <w:t>（十）负责推进、指导、协调、监督全县政府信息公开工作。</w:t>
      </w:r>
    </w:p>
    <w:p>
      <w:pPr>
        <w:pStyle w:val="17"/>
      </w:pPr>
      <w:r>
        <w:t>（十一）负责政务信息（包括舆情信息）服务工作和全县政府系统机关电子政务工作，协同有关部门统筹协调县政府新闻宣传、舆情回应等工作。</w:t>
      </w:r>
    </w:p>
    <w:p>
      <w:pPr>
        <w:pStyle w:val="17"/>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pStyle w:val="17"/>
      </w:pPr>
      <w:r>
        <w:t>（十三）负责县政府公务接待工作；做好县政府办公室有关行政事务工作。</w:t>
      </w:r>
    </w:p>
    <w:p>
      <w:pPr>
        <w:pStyle w:val="17"/>
      </w:pPr>
      <w:r>
        <w:t>（十四）负责综合性政策研究并向县政府提供决策咨询。</w:t>
      </w:r>
    </w:p>
    <w:p>
      <w:pPr>
        <w:pStyle w:val="17"/>
      </w:pPr>
      <w:r>
        <w:t>（十五）负责关于党中央重要文件涉及县政府系统需落实事项、县委主要领导批示件和县委常委会会议决定、县委专题会议议定的涉及县政府系统落实事项的督办、汇总、反馈工作。</w:t>
      </w:r>
    </w:p>
    <w:p>
      <w:pPr>
        <w:pStyle w:val="17"/>
      </w:pPr>
      <w:r>
        <w:t>（十六）负责承办县政府提请县人大常委会任免议案和县政府任免人员的行政任免手续等有关事宜，承办县政府任命工作人员宪法宣誓工作。</w:t>
      </w:r>
    </w:p>
    <w:p>
      <w:pPr>
        <w:pStyle w:val="17"/>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17"/>
      </w:pPr>
      <w:r>
        <w:t>（十八）贯彻执行国家、省、市有关人民防空的法律、法规和规章，结合我县实际，拟订人民防空工作管理办法、人民防空事业发展规划和年度计划，经县政府批准后组织实施和监督检查。</w:t>
      </w:r>
    </w:p>
    <w:p>
      <w:pPr>
        <w:pStyle w:val="17"/>
      </w:pPr>
      <w:r>
        <w:t>（十九）管理人民防空工程建设；负责人民防空组织指挥工作；负责人民防空信息化建设；组织开展防空防灾宣传教育；战时组织指挥城乡群众开展防空袭斗争；承担县政府赋予的防灾救灾等应急保障任务。</w:t>
      </w:r>
    </w:p>
    <w:p>
      <w:pPr>
        <w:pStyle w:val="17"/>
      </w:pPr>
      <w:r>
        <w:t>（二十）负责指导地方志编研工作。</w:t>
      </w:r>
    </w:p>
    <w:p>
      <w:pPr>
        <w:pStyle w:val="17"/>
      </w:pPr>
      <w:r>
        <w:t>（二十一）完成县委、县政府交办的其他任务。</w:t>
      </w: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jc w:val="left"/>
        <w:outlineLvl w:val="9"/>
      </w:pPr>
      <w:r>
        <w:rPr>
          <w:rFonts w:hint="eastAsia" w:ascii="方正楷体_GBK" w:hAnsi="方正楷体_GBK" w:eastAsia="方正楷体_GBK" w:cs="方正楷体_GBK"/>
          <w:b/>
          <w:color w:val="000000"/>
          <w:sz w:val="32"/>
          <w:lang w:val="en-US" w:eastAsia="zh-CN"/>
        </w:rPr>
        <w:t xml:space="preserve">     </w:t>
      </w: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隆尧县人民政府办公室本级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w:t>
      </w:r>
      <w:r>
        <w:rPr>
          <w:rFonts w:hint="eastAsia"/>
          <w:lang w:eastAsia="zh-CN"/>
        </w:rPr>
        <w:t>县</w:t>
      </w:r>
      <w:r>
        <w:t>部门预算的编制实行综合预算管理，即全部收入和支出都反映的预算中。隆尧县人民政府办公室的收支包含在部门预算中。</w:t>
      </w:r>
    </w:p>
    <w:p>
      <w:pPr>
        <w:pStyle w:val="18"/>
      </w:pPr>
      <w:r>
        <w:t>1、收入说明</w:t>
      </w:r>
    </w:p>
    <w:p>
      <w:pPr>
        <w:pStyle w:val="18"/>
      </w:pPr>
      <w:r>
        <w:t>反映本部门当年全部收入。2022年预算收入969.2466万元，其中：一般公共预算收入969.2466万元，基金预算收入0万元，财政专户核拨收入0万元，其他来源收入0万元。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隆尧县人民政府办公室年度部门预算中支出预算的总体情况。2022年部门支出预算为969.2466万元，其中基本支出518.748万元，包括人员经费469.828万元和日常公用经费48.92万元；项目支出450.4986万元，主要为政府办专项公用经费103.09万元，综合治税经费4.2万元，人防办经费4.2万元，人防办编制人民防空方案经费28万元，人防办创建“人防社区”经费15.606万元，人防办创建“学校人防宣教室”经费26.4026万元，地方志经费9.3万元，政务公开办经费94万元，金融办经费9万元，督查调研4.2万元，视频点名项目2.5万元，智慧中心经费80万元，劳务派遣人员经费70万元。</w:t>
      </w:r>
    </w:p>
    <w:p>
      <w:pPr>
        <w:pStyle w:val="18"/>
      </w:pPr>
      <w:r>
        <w:t>3、比上年增减情况</w:t>
      </w:r>
    </w:p>
    <w:p>
      <w:pPr>
        <w:pStyle w:val="18"/>
      </w:pPr>
      <w:r>
        <w:t>2022年部门预算收支安排969.2466万元，较2021年</w:t>
      </w:r>
      <w:r>
        <w:rPr>
          <w:rFonts w:hint="eastAsia"/>
          <w:lang w:eastAsia="zh-CN"/>
        </w:rPr>
        <w:t>预算</w:t>
      </w:r>
      <w:r>
        <w:t>减少986.4434万元，其中：基本支出增加41.278万元，主要是增加人员经费；项目支出减少1027.7214万元，主要</w:t>
      </w:r>
      <w:r>
        <w:rPr>
          <w:rFonts w:hint="eastAsia"/>
          <w:lang w:eastAsia="zh-CN"/>
        </w:rPr>
        <w:t>是减少</w:t>
      </w:r>
      <w:r>
        <w:t>政府办专项公用经费等。</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8"/>
      </w:pPr>
      <w:r>
        <w:t>2022年，我部门机关运行经费共计安排48.92万元，主要用于保证机关正常运转的办公及印刷费等支出，比上年减少5.948万元，原因为厉行节约，大力压缩开支。</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ind w:left="0" w:leftChars="0" w:firstLine="0" w:firstLineChars="0"/>
      </w:pPr>
      <w:r>
        <w:rPr>
          <w:rFonts w:hint="eastAsia"/>
          <w:lang w:val="en-US" w:eastAsia="zh-CN"/>
        </w:rPr>
        <w:t xml:space="preserve">        </w:t>
      </w:r>
      <w:r>
        <w:t>202</w:t>
      </w:r>
      <w:r>
        <w:rPr>
          <w:rFonts w:hint="eastAsia"/>
          <w:lang w:val="en-US" w:eastAsia="zh-CN"/>
        </w:rPr>
        <w:t>2</w:t>
      </w:r>
      <w:r>
        <w:t>年，我部门财政拨款“三公”经费预算安排15.2万元，其中：因公出国（境）费0万元,与上年持平，主要原因为本年度未发生出国费用。公务用车购置及运维费0万元（其中：公务用车购置费0万元，公务用车运行维护费0万元)，较上年减少3万元，主要原因为本年度无公务用车运行维护费。公务接待费15.2万元，较上年减少33.3万元，主要原因为今年公务接待任务比较少。</w:t>
      </w:r>
    </w:p>
    <w:p>
      <w:pPr>
        <w:spacing w:before="10" w:after="10" w:line="360" w:lineRule="auto"/>
        <w:jc w:val="left"/>
        <w:outlineLvl w:val="2"/>
        <w:rPr>
          <w:rFonts w:ascii="黑体" w:hAnsi="黑体" w:eastAsia="黑体" w:cs="黑体"/>
          <w:color w:val="000000"/>
          <w:sz w:val="32"/>
        </w:rPr>
      </w:pPr>
      <w:bookmarkStart w:id="13" w:name="_Toc_3_3_0000000014"/>
    </w:p>
    <w:p>
      <w:pPr>
        <w:spacing w:before="10" w:after="10" w:line="360" w:lineRule="auto"/>
        <w:jc w:val="left"/>
        <w:outlineLvl w:val="2"/>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ind w:left="0" w:leftChars="0" w:firstLine="0" w:firstLineChars="0"/>
      </w:pPr>
      <w:r>
        <w:rPr>
          <w:rFonts w:hint="eastAsia"/>
          <w:lang w:val="en-US" w:eastAsia="zh-CN"/>
        </w:rPr>
        <w:t xml:space="preserve">        </w:t>
      </w:r>
      <w: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pPr>
        <w:spacing w:before="0" w:after="0" w:line="500" w:lineRule="exact"/>
        <w:jc w:val="left"/>
        <w:outlineLvl w:val="9"/>
      </w:pPr>
      <w:r>
        <w:rPr>
          <w:rFonts w:hint="eastAsia" w:eastAsia="方正仿宋_GBK" w:cs="Times New Roman"/>
          <w:color w:val="000000"/>
          <w:sz w:val="28"/>
          <w:lang w:val="en-US" w:eastAsia="zh-CN"/>
        </w:rPr>
        <w:t xml:space="preserve">        </w:t>
      </w:r>
      <w:r>
        <w:rPr>
          <w:rFonts w:ascii="Times New Roman" w:hAnsi="Times New Roman" w:eastAsia="方正仿宋_GBK" w:cs="Times New Roman"/>
          <w:color w:val="000000"/>
          <w:sz w:val="28"/>
        </w:rPr>
        <w:t>（二）分项绩效目标</w:t>
      </w:r>
    </w:p>
    <w:p>
      <w:pPr>
        <w:pStyle w:val="22"/>
      </w:pPr>
      <w: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在新时期，我们要紧紧围绕在县委、县政府的领导下，开拓创新，大胆工作，具体为以下几个方面：</w:t>
      </w:r>
    </w:p>
    <w:p>
      <w:pPr>
        <w:pStyle w:val="23"/>
      </w:pPr>
      <w:r>
        <w:rPr>
          <w:rFonts w:hint="eastAsia"/>
          <w:lang w:val="en-US" w:eastAsia="zh-CN"/>
        </w:rPr>
        <w:t>1</w:t>
      </w:r>
      <w:r>
        <w:t>、围绕县政府各时期的中心工作和重点工作，加强调查研究，把握经济社会发展趋势，及时反映情况，搞好超前服务，推动政府决策科学化。</w:t>
      </w:r>
    </w:p>
    <w:p>
      <w:pPr>
        <w:pStyle w:val="23"/>
      </w:pPr>
      <w:r>
        <w:rPr>
          <w:rFonts w:hint="eastAsia"/>
          <w:lang w:val="en-US" w:eastAsia="zh-CN"/>
        </w:rPr>
        <w:t>2</w:t>
      </w:r>
      <w:r>
        <w:t>、负责县政府各种会议的准备工作。</w:t>
      </w:r>
    </w:p>
    <w:p>
      <w:pPr>
        <w:pStyle w:val="23"/>
      </w:pPr>
      <w:r>
        <w:rPr>
          <w:rFonts w:hint="eastAsia"/>
          <w:lang w:val="en-US" w:eastAsia="zh-CN"/>
        </w:rPr>
        <w:t>3</w:t>
      </w:r>
      <w:r>
        <w:t>、负责县政府暨办公室公文的起草、把关和政府机关的文书处理工作；负责政府机关的档案管理，印信管理和保密工作。</w:t>
      </w:r>
    </w:p>
    <w:p>
      <w:pPr>
        <w:pStyle w:val="23"/>
      </w:pPr>
      <w:r>
        <w:rPr>
          <w:rFonts w:hint="eastAsia"/>
          <w:lang w:val="en-US" w:eastAsia="zh-CN"/>
        </w:rPr>
        <w:t>4</w:t>
      </w:r>
      <w:r>
        <w:t>、负责政府工作报告、领导讲话及其他重要文稿的起草、修改和印发工作。</w:t>
      </w:r>
    </w:p>
    <w:p>
      <w:pPr>
        <w:pStyle w:val="23"/>
      </w:pPr>
      <w:r>
        <w:rPr>
          <w:rFonts w:hint="eastAsia"/>
          <w:lang w:val="en-US" w:eastAsia="zh-CN"/>
        </w:rPr>
        <w:t>5</w:t>
      </w:r>
      <w:r>
        <w:t>、负责政府常务会议、领导议事会议、县长办公会议确定事项的督查落实，搞好政府各项重点工作的调度和反馈。</w:t>
      </w:r>
    </w:p>
    <w:p>
      <w:pPr>
        <w:pStyle w:val="23"/>
      </w:pPr>
      <w:r>
        <w:rPr>
          <w:rFonts w:hint="eastAsia"/>
          <w:lang w:val="en-US" w:eastAsia="zh-CN"/>
        </w:rPr>
        <w:t>6</w:t>
      </w:r>
      <w:r>
        <w:t>、搞好各部门、各乡（镇）、各口之间以及领导与领导之间的相互协调、横向沟通。</w:t>
      </w:r>
    </w:p>
    <w:p>
      <w:pPr>
        <w:pStyle w:val="23"/>
      </w:pPr>
      <w:r>
        <w:rPr>
          <w:rFonts w:hint="eastAsia"/>
          <w:lang w:val="en-US" w:eastAsia="zh-CN"/>
        </w:rPr>
        <w:t>7</w:t>
      </w:r>
      <w:r>
        <w:t>、负责政府机关值班工作，及时处理突发性事件、重大灾情和重大事故。</w:t>
      </w:r>
    </w:p>
    <w:p>
      <w:pPr>
        <w:pStyle w:val="23"/>
      </w:pPr>
    </w:p>
    <w:p>
      <w:pPr>
        <w:pStyle w:val="23"/>
        <w:numPr>
          <w:ilvl w:val="0"/>
          <w:numId w:val="1"/>
        </w:numPr>
      </w:pPr>
      <w:r>
        <w:t>部门整体支出绩效目标情况：围绕县政府本年度中心工作和重点工作，按照本年度财政预算合理安排资金；对县政府各种会议及大型会议提前早安排，保证会议如期成功举行；认真搞好县政府接待工作；认真搞好政府后勤服务和机关事务管理；各项日常工作工作有条不紊的进行。</w:t>
      </w:r>
    </w:p>
    <w:p>
      <w:pPr>
        <w:pStyle w:val="23"/>
        <w:numPr>
          <w:ilvl w:val="0"/>
          <w:numId w:val="1"/>
        </w:numPr>
      </w:pPr>
      <w:r>
        <w:rPr>
          <w:rFonts w:hint="eastAsia"/>
          <w:lang w:eastAsia="zh-CN"/>
        </w:rPr>
        <w:t>专项资金绩效目标：本年度无专项资金。</w:t>
      </w:r>
    </w:p>
    <w:p>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4"/>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1、地方志经费绩效目标表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1.2022年内实现《隆尧年鉴》公开出版</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年鉴编修完成率</w:t>
            </w:r>
          </w:p>
        </w:tc>
        <w:tc>
          <w:tcPr>
            <w:tcW w:w="2466" w:type="dxa"/>
            <w:vAlign w:val="center"/>
          </w:tcPr>
          <w:p>
            <w:pPr>
              <w:pStyle w:val="26"/>
            </w:pPr>
            <w:r>
              <w:t>按省、市地方志办公室要求，隆尧年鉴编修工作全部完成</w:t>
            </w:r>
          </w:p>
        </w:tc>
        <w:tc>
          <w:tcPr>
            <w:tcW w:w="2466" w:type="dxa"/>
            <w:vAlign w:val="center"/>
          </w:tcPr>
          <w:p>
            <w:pPr>
              <w:pStyle w:val="26"/>
            </w:pPr>
            <w:r>
              <w:t>≥0.95年鉴编修完成率</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年鉴编修无错误</w:t>
            </w:r>
          </w:p>
        </w:tc>
        <w:tc>
          <w:tcPr>
            <w:tcW w:w="2466" w:type="dxa"/>
            <w:vAlign w:val="center"/>
          </w:tcPr>
          <w:p>
            <w:pPr>
              <w:pStyle w:val="26"/>
            </w:pPr>
            <w:r>
              <w:t>年鉴编修无错误，保质保量完成</w:t>
            </w:r>
          </w:p>
        </w:tc>
        <w:tc>
          <w:tcPr>
            <w:tcW w:w="2466" w:type="dxa"/>
            <w:vAlign w:val="center"/>
          </w:tcPr>
          <w:p>
            <w:pPr>
              <w:pStyle w:val="26"/>
            </w:pPr>
            <w:r>
              <w:t>≥0.95年鉴编修无错误</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省、市年鉴隆尧部分编修完成率</w:t>
            </w:r>
          </w:p>
        </w:tc>
        <w:tc>
          <w:tcPr>
            <w:tcW w:w="2466" w:type="dxa"/>
            <w:vAlign w:val="center"/>
          </w:tcPr>
          <w:p>
            <w:pPr>
              <w:pStyle w:val="26"/>
            </w:pPr>
            <w:r>
              <w:t>省、市年鉴隆尧部分的编修报送工作全部完成</w:t>
            </w:r>
          </w:p>
        </w:tc>
        <w:tc>
          <w:tcPr>
            <w:tcW w:w="2466" w:type="dxa"/>
            <w:vAlign w:val="center"/>
          </w:tcPr>
          <w:p>
            <w:pPr>
              <w:pStyle w:val="26"/>
            </w:pPr>
            <w:r>
              <w:t>≥0.95省、市年鉴隆尧部分编修完成率</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完成率</w:t>
            </w:r>
          </w:p>
        </w:tc>
        <w:tc>
          <w:tcPr>
            <w:tcW w:w="2466" w:type="dxa"/>
            <w:vAlign w:val="center"/>
          </w:tcPr>
          <w:p>
            <w:pPr>
              <w:pStyle w:val="26"/>
            </w:pPr>
            <w:r>
              <w:t>地方志正常运行成本按照计划完成</w:t>
            </w:r>
          </w:p>
        </w:tc>
        <w:tc>
          <w:tcPr>
            <w:tcW w:w="2466" w:type="dxa"/>
            <w:vAlign w:val="center"/>
          </w:tcPr>
          <w:p>
            <w:pPr>
              <w:pStyle w:val="26"/>
            </w:pPr>
            <w:r>
              <w:t>≥0.95完成率</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进一步宣扬优秀文化传统</w:t>
            </w:r>
          </w:p>
        </w:tc>
        <w:tc>
          <w:tcPr>
            <w:tcW w:w="2466" w:type="dxa"/>
            <w:vAlign w:val="center"/>
          </w:tcPr>
          <w:p>
            <w:pPr>
              <w:pStyle w:val="26"/>
            </w:pPr>
            <w:r>
              <w:t>进一步宣扬优秀文化传统</w:t>
            </w:r>
          </w:p>
        </w:tc>
        <w:tc>
          <w:tcPr>
            <w:tcW w:w="2466" w:type="dxa"/>
            <w:vAlign w:val="center"/>
          </w:tcPr>
          <w:p>
            <w:pPr>
              <w:pStyle w:val="26"/>
            </w:pPr>
            <w:r>
              <w:t>≥0.95进一步宣扬优秀文化传统</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群众满意度</w:t>
            </w:r>
          </w:p>
        </w:tc>
        <w:tc>
          <w:tcPr>
            <w:tcW w:w="2466" w:type="dxa"/>
            <w:vAlign w:val="center"/>
          </w:tcPr>
          <w:p>
            <w:pPr>
              <w:pStyle w:val="26"/>
            </w:pPr>
            <w:r>
              <w:t>群众满意度</w:t>
            </w:r>
          </w:p>
        </w:tc>
        <w:tc>
          <w:tcPr>
            <w:tcW w:w="2466" w:type="dxa"/>
            <w:vAlign w:val="center"/>
          </w:tcPr>
          <w:p>
            <w:pPr>
              <w:pStyle w:val="26"/>
            </w:pPr>
            <w:r>
              <w:t>≥0.95</w:t>
            </w:r>
          </w:p>
        </w:tc>
        <w:tc>
          <w:tcPr>
            <w:tcW w:w="2466" w:type="dxa"/>
            <w:vAlign w:val="center"/>
          </w:tcPr>
          <w:p>
            <w:pPr>
              <w:pStyle w:val="26"/>
            </w:pPr>
            <w:r>
              <w:t>根据上级要求</w:t>
            </w:r>
          </w:p>
          <w:p>
            <w:pPr>
              <w:pStyle w:val="26"/>
            </w:pP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2、督查调研绩效目标表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1.督查室督查和检查工作正常开展，主要对省市涉及我县重点工作和2022年度我县政府系统重点工作开展专项督查，完成年度国务院大督查迎检工作任务。</w:t>
            </w:r>
            <w:r>
              <w:tab/>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省市重点工作</w:t>
            </w:r>
          </w:p>
        </w:tc>
        <w:tc>
          <w:tcPr>
            <w:tcW w:w="2466" w:type="dxa"/>
            <w:vAlign w:val="center"/>
          </w:tcPr>
          <w:p>
            <w:pPr>
              <w:pStyle w:val="26"/>
            </w:pPr>
            <w:r>
              <w:t>工作完成量占全部工作的比率</w:t>
            </w:r>
          </w:p>
        </w:tc>
        <w:tc>
          <w:tcPr>
            <w:tcW w:w="2466" w:type="dxa"/>
            <w:vAlign w:val="center"/>
          </w:tcPr>
          <w:p>
            <w:pPr>
              <w:pStyle w:val="26"/>
            </w:pPr>
            <w:r>
              <w:t>≥0.95省市重点工作</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迎检工作完成比例</w:t>
            </w:r>
          </w:p>
        </w:tc>
        <w:tc>
          <w:tcPr>
            <w:tcW w:w="2466" w:type="dxa"/>
            <w:vAlign w:val="center"/>
          </w:tcPr>
          <w:p>
            <w:pPr>
              <w:pStyle w:val="26"/>
            </w:pPr>
            <w:r>
              <w:t>迎检工作完成工作量占全年迎检工作比率</w:t>
            </w:r>
          </w:p>
        </w:tc>
        <w:tc>
          <w:tcPr>
            <w:tcW w:w="2466" w:type="dxa"/>
            <w:vAlign w:val="center"/>
          </w:tcPr>
          <w:p>
            <w:pPr>
              <w:pStyle w:val="26"/>
            </w:pPr>
            <w:r>
              <w:t>≥0.95迎检工作完成比例</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推进工作开展</w:t>
            </w:r>
          </w:p>
        </w:tc>
        <w:tc>
          <w:tcPr>
            <w:tcW w:w="2466" w:type="dxa"/>
            <w:vAlign w:val="center"/>
          </w:tcPr>
          <w:p>
            <w:pPr>
              <w:pStyle w:val="26"/>
            </w:pPr>
            <w:r>
              <w:t>推进各项重点工作扎实开展、取得实效</w:t>
            </w:r>
          </w:p>
        </w:tc>
        <w:tc>
          <w:tcPr>
            <w:tcW w:w="2466" w:type="dxa"/>
            <w:vAlign w:val="center"/>
          </w:tcPr>
          <w:p>
            <w:pPr>
              <w:pStyle w:val="26"/>
            </w:pPr>
            <w:r>
              <w:t>≥0.95推进工作开展</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县重点工作完成比例</w:t>
            </w:r>
          </w:p>
        </w:tc>
        <w:tc>
          <w:tcPr>
            <w:tcW w:w="2466" w:type="dxa"/>
            <w:vAlign w:val="center"/>
          </w:tcPr>
          <w:p>
            <w:pPr>
              <w:pStyle w:val="26"/>
            </w:pPr>
            <w:r>
              <w:t>全县政府系统重点工作完成量占全部工作比率</w:t>
            </w:r>
          </w:p>
        </w:tc>
        <w:tc>
          <w:tcPr>
            <w:tcW w:w="2466" w:type="dxa"/>
            <w:vAlign w:val="center"/>
          </w:tcPr>
          <w:p>
            <w:pPr>
              <w:pStyle w:val="26"/>
            </w:pPr>
            <w:r>
              <w:t>≥0.95县重点工作完成比例</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经济效益指标</w:t>
            </w:r>
          </w:p>
        </w:tc>
        <w:tc>
          <w:tcPr>
            <w:tcW w:w="2466" w:type="dxa"/>
            <w:vAlign w:val="center"/>
          </w:tcPr>
          <w:p>
            <w:pPr>
              <w:pStyle w:val="26"/>
            </w:pPr>
            <w:r>
              <w:t>省市考核优秀率</w:t>
            </w:r>
          </w:p>
        </w:tc>
        <w:tc>
          <w:tcPr>
            <w:tcW w:w="2466" w:type="dxa"/>
            <w:vAlign w:val="center"/>
          </w:tcPr>
          <w:p>
            <w:pPr>
              <w:pStyle w:val="26"/>
            </w:pPr>
            <w:r>
              <w:t>考核优秀工作量占全部考核工作的比率</w:t>
            </w:r>
          </w:p>
        </w:tc>
        <w:tc>
          <w:tcPr>
            <w:tcW w:w="2466" w:type="dxa"/>
            <w:vAlign w:val="center"/>
          </w:tcPr>
          <w:p>
            <w:pPr>
              <w:pStyle w:val="26"/>
            </w:pPr>
            <w:r>
              <w:t>≥0.95省市考核优秀率</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迎检工作满意度</w:t>
            </w:r>
          </w:p>
        </w:tc>
        <w:tc>
          <w:tcPr>
            <w:tcW w:w="2466" w:type="dxa"/>
            <w:vAlign w:val="center"/>
          </w:tcPr>
          <w:p>
            <w:pPr>
              <w:pStyle w:val="26"/>
            </w:pPr>
            <w:r>
              <w:t>对迎检工作满意的领导占迎检领导的比率</w:t>
            </w:r>
          </w:p>
        </w:tc>
        <w:tc>
          <w:tcPr>
            <w:tcW w:w="2466" w:type="dxa"/>
            <w:vAlign w:val="center"/>
          </w:tcPr>
          <w:p>
            <w:pPr>
              <w:pStyle w:val="26"/>
            </w:pPr>
            <w:r>
              <w:t>≥0.95迎检工作满意度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3、金融办经费绩效目标表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1.金融办各项日常工作正常开展，保证日常工作顺利进行；认真做好防范金融风险宣传，企业上市培训、防范和化解金融风险培训，扶贫小额贷款投放，政银企对接，邢易融推广并完成其它年度工作任务。</w:t>
            </w:r>
            <w:r>
              <w:tab/>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次数</w:t>
            </w:r>
          </w:p>
        </w:tc>
        <w:tc>
          <w:tcPr>
            <w:tcW w:w="2466" w:type="dxa"/>
            <w:vAlign w:val="center"/>
          </w:tcPr>
          <w:p>
            <w:pPr>
              <w:pStyle w:val="26"/>
            </w:pPr>
            <w:r>
              <w:t>全年完成防范金融风险、防范打击非法集资宣传12次以上，发放宣传资料100000余份、金融扶贫扶贫小额贷款政策宣传资料4000份，</w:t>
            </w:r>
          </w:p>
        </w:tc>
        <w:tc>
          <w:tcPr>
            <w:tcW w:w="2466" w:type="dxa"/>
            <w:vAlign w:val="center"/>
          </w:tcPr>
          <w:p>
            <w:pPr>
              <w:pStyle w:val="26"/>
            </w:pPr>
            <w:r>
              <w:t>≥0.95次数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完成任务</w:t>
            </w:r>
          </w:p>
        </w:tc>
        <w:tc>
          <w:tcPr>
            <w:tcW w:w="2466" w:type="dxa"/>
            <w:vAlign w:val="center"/>
          </w:tcPr>
          <w:p>
            <w:pPr>
              <w:pStyle w:val="26"/>
            </w:pPr>
            <w:r>
              <w:t>完成省市人防办2022年工作要点安排任务。</w:t>
            </w:r>
          </w:p>
        </w:tc>
        <w:tc>
          <w:tcPr>
            <w:tcW w:w="2466" w:type="dxa"/>
            <w:vAlign w:val="center"/>
          </w:tcPr>
          <w:p>
            <w:pPr>
              <w:pStyle w:val="26"/>
            </w:pPr>
            <w:r>
              <w:t>≥0.95完成任务</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每月完成情况</w:t>
            </w:r>
          </w:p>
        </w:tc>
        <w:tc>
          <w:tcPr>
            <w:tcW w:w="2466" w:type="dxa"/>
            <w:vAlign w:val="center"/>
          </w:tcPr>
          <w:p>
            <w:pPr>
              <w:pStyle w:val="26"/>
            </w:pPr>
            <w:r>
              <w:t>每月至少进行一次防范和打击非法集资宣传、安排处非领导小组成员单位进行一次金融风险排查等。</w:t>
            </w:r>
          </w:p>
        </w:tc>
        <w:tc>
          <w:tcPr>
            <w:tcW w:w="2466" w:type="dxa"/>
            <w:vAlign w:val="center"/>
          </w:tcPr>
          <w:p>
            <w:pPr>
              <w:pStyle w:val="26"/>
            </w:pPr>
            <w:r>
              <w:t>≥0.95每月完成情况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有效防范和化解金融风险、推进金融机构贷款投放、支持乡村振兴、拉动县域经济发展</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4、劳务派遣人员经费绩效目标表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1.隆尧县961890书记县长热线有序开展</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完成热线交办量</w:t>
            </w:r>
          </w:p>
        </w:tc>
        <w:tc>
          <w:tcPr>
            <w:tcW w:w="2466" w:type="dxa"/>
            <w:vAlign w:val="center"/>
          </w:tcPr>
          <w:p>
            <w:pPr>
              <w:pStyle w:val="26"/>
            </w:pPr>
            <w:r>
              <w:t>完成热线交办量</w:t>
            </w:r>
          </w:p>
        </w:tc>
        <w:tc>
          <w:tcPr>
            <w:tcW w:w="2466" w:type="dxa"/>
            <w:vAlign w:val="center"/>
          </w:tcPr>
          <w:p>
            <w:pPr>
              <w:pStyle w:val="26"/>
            </w:pPr>
            <w:r>
              <w:t>≥0.95完成热线交办量</w:t>
            </w:r>
          </w:p>
        </w:tc>
        <w:tc>
          <w:tcPr>
            <w:tcW w:w="2466" w:type="dxa"/>
            <w:vAlign w:val="center"/>
          </w:tcPr>
          <w:p>
            <w:pPr>
              <w:pStyle w:val="2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热线完成率</w:t>
            </w:r>
          </w:p>
        </w:tc>
        <w:tc>
          <w:tcPr>
            <w:tcW w:w="2466" w:type="dxa"/>
            <w:vAlign w:val="center"/>
          </w:tcPr>
          <w:p>
            <w:pPr>
              <w:pStyle w:val="26"/>
            </w:pPr>
            <w:r>
              <w:t>热线交办后完成率</w:t>
            </w:r>
          </w:p>
        </w:tc>
        <w:tc>
          <w:tcPr>
            <w:tcW w:w="2466" w:type="dxa"/>
            <w:vAlign w:val="center"/>
          </w:tcPr>
          <w:p>
            <w:pPr>
              <w:pStyle w:val="26"/>
            </w:pPr>
            <w:r>
              <w:t>≥0.95热线完成率</w:t>
            </w:r>
          </w:p>
        </w:tc>
        <w:tc>
          <w:tcPr>
            <w:tcW w:w="2466" w:type="dxa"/>
            <w:vAlign w:val="center"/>
          </w:tcPr>
          <w:p>
            <w:pPr>
              <w:pStyle w:val="2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热线交办及完结及时性</w:t>
            </w:r>
          </w:p>
        </w:tc>
        <w:tc>
          <w:tcPr>
            <w:tcW w:w="2466" w:type="dxa"/>
            <w:vAlign w:val="center"/>
          </w:tcPr>
          <w:p>
            <w:pPr>
              <w:pStyle w:val="26"/>
            </w:pPr>
            <w:r>
              <w:t>热线交办及完结及时性</w:t>
            </w:r>
          </w:p>
        </w:tc>
        <w:tc>
          <w:tcPr>
            <w:tcW w:w="2466" w:type="dxa"/>
            <w:vAlign w:val="center"/>
          </w:tcPr>
          <w:p>
            <w:pPr>
              <w:pStyle w:val="26"/>
            </w:pPr>
            <w:r>
              <w:t>≥0.95热线交办及完结及时性</w:t>
            </w:r>
          </w:p>
        </w:tc>
        <w:tc>
          <w:tcPr>
            <w:tcW w:w="2466" w:type="dxa"/>
            <w:vAlign w:val="center"/>
          </w:tcPr>
          <w:p>
            <w:pPr>
              <w:pStyle w:val="2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热线正常运转人员经费</w:t>
            </w:r>
          </w:p>
        </w:tc>
        <w:tc>
          <w:tcPr>
            <w:tcW w:w="2466" w:type="dxa"/>
            <w:vAlign w:val="center"/>
          </w:tcPr>
          <w:p>
            <w:pPr>
              <w:pStyle w:val="26"/>
            </w:pPr>
            <w:r>
              <w:t>热线正常运转人员经费</w:t>
            </w:r>
          </w:p>
        </w:tc>
        <w:tc>
          <w:tcPr>
            <w:tcW w:w="2466" w:type="dxa"/>
            <w:vAlign w:val="center"/>
          </w:tcPr>
          <w:p>
            <w:pPr>
              <w:pStyle w:val="26"/>
            </w:pPr>
            <w:r>
              <w:t>≥0.95热线正常运转人员经费</w:t>
            </w:r>
          </w:p>
        </w:tc>
        <w:tc>
          <w:tcPr>
            <w:tcW w:w="2466" w:type="dxa"/>
            <w:vAlign w:val="center"/>
          </w:tcPr>
          <w:p>
            <w:pPr>
              <w:pStyle w:val="2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可持续性服务</w:t>
            </w:r>
          </w:p>
        </w:tc>
        <w:tc>
          <w:tcPr>
            <w:tcW w:w="2466" w:type="dxa"/>
            <w:vAlign w:val="center"/>
          </w:tcPr>
          <w:p>
            <w:pPr>
              <w:pStyle w:val="26"/>
            </w:pPr>
            <w:r>
              <w:t>可持续性服务</w:t>
            </w:r>
          </w:p>
        </w:tc>
        <w:tc>
          <w:tcPr>
            <w:tcW w:w="2466" w:type="dxa"/>
            <w:vAlign w:val="center"/>
          </w:tcPr>
          <w:p>
            <w:pPr>
              <w:pStyle w:val="26"/>
            </w:pPr>
            <w:r>
              <w:t>≥0.95可持续性服务</w:t>
            </w:r>
          </w:p>
        </w:tc>
        <w:tc>
          <w:tcPr>
            <w:tcW w:w="2466" w:type="dxa"/>
            <w:vAlign w:val="center"/>
          </w:tcPr>
          <w:p>
            <w:pPr>
              <w:pStyle w:val="26"/>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满意率</w:t>
            </w:r>
          </w:p>
        </w:tc>
        <w:tc>
          <w:tcPr>
            <w:tcW w:w="2466" w:type="dxa"/>
            <w:vAlign w:val="center"/>
          </w:tcPr>
          <w:p>
            <w:pPr>
              <w:pStyle w:val="26"/>
            </w:pPr>
            <w:r>
              <w:t>满意率</w:t>
            </w:r>
          </w:p>
        </w:tc>
        <w:tc>
          <w:tcPr>
            <w:tcW w:w="2466" w:type="dxa"/>
            <w:vAlign w:val="center"/>
          </w:tcPr>
          <w:p>
            <w:pPr>
              <w:pStyle w:val="26"/>
            </w:pPr>
            <w:r>
              <w:t>≥0.95满意率</w:t>
            </w:r>
          </w:p>
        </w:tc>
        <w:tc>
          <w:tcPr>
            <w:tcW w:w="2466" w:type="dxa"/>
            <w:vAlign w:val="center"/>
          </w:tcPr>
          <w:p>
            <w:pPr>
              <w:pStyle w:val="26"/>
            </w:pPr>
            <w:r>
              <w:t>根据文件要求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5、人防办编制人民防空方案经费绩效目标表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1.按照《邢台市人民防空发展“十四五”规划》要求，按时完成人民防空方案编制工作。</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个数</w:t>
            </w:r>
          </w:p>
        </w:tc>
        <w:tc>
          <w:tcPr>
            <w:tcW w:w="2466" w:type="dxa"/>
            <w:vAlign w:val="center"/>
          </w:tcPr>
          <w:p>
            <w:pPr>
              <w:pStyle w:val="26"/>
            </w:pPr>
            <w:r>
              <w:t>编制一个我县人民防空方案。</w:t>
            </w:r>
          </w:p>
        </w:tc>
        <w:tc>
          <w:tcPr>
            <w:tcW w:w="2466" w:type="dxa"/>
            <w:vAlign w:val="center"/>
          </w:tcPr>
          <w:p>
            <w:pPr>
              <w:pStyle w:val="26"/>
            </w:pPr>
            <w:r>
              <w:t>≥0.95个数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编制标准</w:t>
            </w:r>
          </w:p>
        </w:tc>
        <w:tc>
          <w:tcPr>
            <w:tcW w:w="2466" w:type="dxa"/>
            <w:vAlign w:val="center"/>
          </w:tcPr>
          <w:p>
            <w:pPr>
              <w:pStyle w:val="26"/>
            </w:pPr>
            <w:r>
              <w:t>探索新型人防指挥模式、行动样式、防护措施和保障方式。</w:t>
            </w:r>
          </w:p>
        </w:tc>
        <w:tc>
          <w:tcPr>
            <w:tcW w:w="2466" w:type="dxa"/>
            <w:vAlign w:val="center"/>
          </w:tcPr>
          <w:p>
            <w:pPr>
              <w:pStyle w:val="26"/>
            </w:pPr>
            <w:r>
              <w:t>≥0.95编制标准</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时间节点</w:t>
            </w:r>
          </w:p>
        </w:tc>
        <w:tc>
          <w:tcPr>
            <w:tcW w:w="2466" w:type="dxa"/>
            <w:vAlign w:val="center"/>
          </w:tcPr>
          <w:p>
            <w:pPr>
              <w:pStyle w:val="26"/>
            </w:pPr>
            <w:r>
              <w:t>2022年底前完成我县人民防空方案编制工作。</w:t>
            </w:r>
          </w:p>
        </w:tc>
        <w:tc>
          <w:tcPr>
            <w:tcW w:w="2466" w:type="dxa"/>
            <w:vAlign w:val="center"/>
          </w:tcPr>
          <w:p>
            <w:pPr>
              <w:pStyle w:val="26"/>
            </w:pPr>
            <w:r>
              <w:t>≥0.95时间节点</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进一步加强我县人防组织指挥体系建设。</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6、人防办创建“人防社区”经费绩效目标表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1.县人防办2022年优选一个居民小区，创建成“人防社区”，完成“省、市“‘十四五’期间，每个县（市、区）每年新创建‘人防社区’不少于一个”的工作任务。</w:t>
            </w:r>
            <w:r>
              <w:tab/>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人防社区个数</w:t>
            </w:r>
          </w:p>
        </w:tc>
        <w:tc>
          <w:tcPr>
            <w:tcW w:w="2466" w:type="dxa"/>
            <w:vAlign w:val="center"/>
          </w:tcPr>
          <w:p>
            <w:pPr>
              <w:pStyle w:val="26"/>
            </w:pPr>
            <w:r>
              <w:t>创建“五有”人防社区1个。</w:t>
            </w:r>
          </w:p>
        </w:tc>
        <w:tc>
          <w:tcPr>
            <w:tcW w:w="2466" w:type="dxa"/>
            <w:vAlign w:val="center"/>
          </w:tcPr>
          <w:p>
            <w:pPr>
              <w:pStyle w:val="26"/>
            </w:pPr>
            <w:r>
              <w:t>≥0.95人防社区个数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创建标准</w:t>
            </w:r>
          </w:p>
        </w:tc>
        <w:tc>
          <w:tcPr>
            <w:tcW w:w="2466" w:type="dxa"/>
            <w:vAlign w:val="center"/>
          </w:tcPr>
          <w:p>
            <w:pPr>
              <w:pStyle w:val="26"/>
            </w:pPr>
            <w:r>
              <w:t>做到有档次、有特色、有亮点，提升人防宣传能力。</w:t>
            </w:r>
          </w:p>
        </w:tc>
        <w:tc>
          <w:tcPr>
            <w:tcW w:w="2466" w:type="dxa"/>
            <w:vAlign w:val="center"/>
          </w:tcPr>
          <w:p>
            <w:pPr>
              <w:pStyle w:val="26"/>
            </w:pPr>
            <w:r>
              <w:t>≥0.95创建标准</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方案要求时间节点</w:t>
            </w:r>
          </w:p>
        </w:tc>
        <w:tc>
          <w:tcPr>
            <w:tcW w:w="2466" w:type="dxa"/>
            <w:vAlign w:val="center"/>
          </w:tcPr>
          <w:p>
            <w:pPr>
              <w:pStyle w:val="26"/>
            </w:pPr>
            <w:r>
              <w:t>按照方案时限要求开展创建，11月底前进行书面总结。</w:t>
            </w:r>
          </w:p>
        </w:tc>
        <w:tc>
          <w:tcPr>
            <w:tcW w:w="2466" w:type="dxa"/>
            <w:vAlign w:val="center"/>
          </w:tcPr>
          <w:p>
            <w:pPr>
              <w:pStyle w:val="26"/>
            </w:pPr>
            <w:r>
              <w:t>≥0.95方案要求时间节点</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拉近人防部门与社区群众关系，增加群众对人防工作支持。</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7、人防办创建“学校人防宣教室”经费绩效目标表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1.在县城区选择一所学校建设人防宣教室。</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个数</w:t>
            </w:r>
          </w:p>
        </w:tc>
        <w:tc>
          <w:tcPr>
            <w:tcW w:w="2466" w:type="dxa"/>
            <w:vAlign w:val="center"/>
          </w:tcPr>
          <w:p>
            <w:pPr>
              <w:pStyle w:val="26"/>
            </w:pPr>
            <w:r>
              <w:t>在县城区选择1所学校建设人防宣教室，面积约40-60平方米（以实测面积为准）。</w:t>
            </w:r>
          </w:p>
        </w:tc>
        <w:tc>
          <w:tcPr>
            <w:tcW w:w="2466" w:type="dxa"/>
            <w:vAlign w:val="center"/>
          </w:tcPr>
          <w:p>
            <w:pPr>
              <w:pStyle w:val="26"/>
            </w:pPr>
            <w:r>
              <w:t>≥0.95个数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建设标准</w:t>
            </w:r>
          </w:p>
        </w:tc>
        <w:tc>
          <w:tcPr>
            <w:tcW w:w="2466" w:type="dxa"/>
            <w:vAlign w:val="center"/>
          </w:tcPr>
          <w:p>
            <w:pPr>
              <w:pStyle w:val="26"/>
            </w:pPr>
            <w:r>
              <w:t>创建内容涵盖校园防空袭紧急疏散体验、人防警报信号试听、医疗救护体验等方面。</w:t>
            </w:r>
          </w:p>
        </w:tc>
        <w:tc>
          <w:tcPr>
            <w:tcW w:w="2466" w:type="dxa"/>
            <w:vAlign w:val="center"/>
          </w:tcPr>
          <w:p>
            <w:pPr>
              <w:pStyle w:val="26"/>
            </w:pPr>
            <w:r>
              <w:t>≥0.95建设标准</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时间节点</w:t>
            </w:r>
          </w:p>
        </w:tc>
        <w:tc>
          <w:tcPr>
            <w:tcW w:w="2466" w:type="dxa"/>
            <w:vAlign w:val="center"/>
          </w:tcPr>
          <w:p>
            <w:pPr>
              <w:pStyle w:val="26"/>
            </w:pPr>
            <w:r>
              <w:t>年底前完成人防宣教室的创建工作。</w:t>
            </w:r>
          </w:p>
        </w:tc>
        <w:tc>
          <w:tcPr>
            <w:tcW w:w="2466" w:type="dxa"/>
            <w:vAlign w:val="center"/>
          </w:tcPr>
          <w:p>
            <w:pPr>
              <w:pStyle w:val="26"/>
            </w:pPr>
            <w:r>
              <w:t>≥0.95时间节点</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促进人民防空宣传进学校，丰富防空防灾宣教形式。</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8、人防办经费绩效目标表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1.提高综合业务水平；加大加强人防防空防灾知识宣传力度；提高工作效率等。</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次数</w:t>
            </w:r>
          </w:p>
        </w:tc>
        <w:tc>
          <w:tcPr>
            <w:tcW w:w="2466" w:type="dxa"/>
            <w:vAlign w:val="center"/>
          </w:tcPr>
          <w:p>
            <w:pPr>
              <w:pStyle w:val="26"/>
            </w:pPr>
            <w:r>
              <w:t>全年完成人防宣传5次以上，发放宣传资料5000余份。</w:t>
            </w:r>
          </w:p>
        </w:tc>
        <w:tc>
          <w:tcPr>
            <w:tcW w:w="2466" w:type="dxa"/>
            <w:vAlign w:val="center"/>
          </w:tcPr>
          <w:p>
            <w:pPr>
              <w:pStyle w:val="26"/>
            </w:pPr>
            <w:r>
              <w:t>≥0.95次数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完成任务</w:t>
            </w:r>
          </w:p>
        </w:tc>
        <w:tc>
          <w:tcPr>
            <w:tcW w:w="2466" w:type="dxa"/>
            <w:vAlign w:val="center"/>
          </w:tcPr>
          <w:p>
            <w:pPr>
              <w:pStyle w:val="26"/>
            </w:pPr>
            <w:r>
              <w:t>完成省市人防办2022年工作要点安排任务。</w:t>
            </w:r>
          </w:p>
        </w:tc>
        <w:tc>
          <w:tcPr>
            <w:tcW w:w="2466" w:type="dxa"/>
            <w:vAlign w:val="center"/>
          </w:tcPr>
          <w:p>
            <w:pPr>
              <w:pStyle w:val="26"/>
            </w:pPr>
            <w:r>
              <w:t>≥0.95完成任务</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每月完成情况</w:t>
            </w:r>
          </w:p>
        </w:tc>
        <w:tc>
          <w:tcPr>
            <w:tcW w:w="2466" w:type="dxa"/>
            <w:vAlign w:val="center"/>
          </w:tcPr>
          <w:p>
            <w:pPr>
              <w:pStyle w:val="26"/>
            </w:pPr>
            <w:r>
              <w:t>每月完成人防设备联通训练、人防工程质量监督抽查等。</w:t>
            </w:r>
          </w:p>
        </w:tc>
        <w:tc>
          <w:tcPr>
            <w:tcW w:w="2466" w:type="dxa"/>
            <w:vAlign w:val="center"/>
          </w:tcPr>
          <w:p>
            <w:pPr>
              <w:pStyle w:val="26"/>
            </w:pPr>
            <w:r>
              <w:t>≥0.95每月完成情况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发挥人防公共服务功能和应急救援支撑功能。</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9、视频点名系统绩效目标表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1.政府办视频点名系统服务</w:t>
            </w:r>
            <w:r>
              <w:tab/>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实现常态化视频点名</w:t>
            </w:r>
          </w:p>
        </w:tc>
        <w:tc>
          <w:tcPr>
            <w:tcW w:w="2466" w:type="dxa"/>
            <w:vAlign w:val="center"/>
          </w:tcPr>
          <w:p>
            <w:pPr>
              <w:pStyle w:val="26"/>
            </w:pPr>
            <w:r>
              <w:t>实现常态化视频点名</w:t>
            </w:r>
          </w:p>
        </w:tc>
        <w:tc>
          <w:tcPr>
            <w:tcW w:w="2466" w:type="dxa"/>
            <w:vAlign w:val="center"/>
          </w:tcPr>
          <w:p>
            <w:pPr>
              <w:pStyle w:val="26"/>
            </w:pPr>
            <w:r>
              <w:t>≥0.95实现常态化视频点名</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系统正常使用</w:t>
            </w:r>
          </w:p>
        </w:tc>
        <w:tc>
          <w:tcPr>
            <w:tcW w:w="2466" w:type="dxa"/>
            <w:vAlign w:val="center"/>
          </w:tcPr>
          <w:p>
            <w:pPr>
              <w:pStyle w:val="26"/>
            </w:pPr>
            <w:r>
              <w:t>系统正常使用</w:t>
            </w:r>
          </w:p>
        </w:tc>
        <w:tc>
          <w:tcPr>
            <w:tcW w:w="2466" w:type="dxa"/>
            <w:vAlign w:val="center"/>
          </w:tcPr>
          <w:p>
            <w:pPr>
              <w:pStyle w:val="26"/>
            </w:pPr>
            <w:r>
              <w:t>≥0.95系统正常使用</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视频点名完成率</w:t>
            </w:r>
          </w:p>
        </w:tc>
        <w:tc>
          <w:tcPr>
            <w:tcW w:w="2466" w:type="dxa"/>
            <w:vAlign w:val="center"/>
          </w:tcPr>
          <w:p>
            <w:pPr>
              <w:pStyle w:val="26"/>
            </w:pPr>
            <w:r>
              <w:t>视频点名高质量完成</w:t>
            </w:r>
          </w:p>
        </w:tc>
        <w:tc>
          <w:tcPr>
            <w:tcW w:w="2466" w:type="dxa"/>
            <w:vAlign w:val="center"/>
          </w:tcPr>
          <w:p>
            <w:pPr>
              <w:pStyle w:val="26"/>
            </w:pPr>
            <w:r>
              <w:t>≥0.95视频点名完成率</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系统正常运转</w:t>
            </w:r>
          </w:p>
        </w:tc>
        <w:tc>
          <w:tcPr>
            <w:tcW w:w="2466" w:type="dxa"/>
            <w:vAlign w:val="center"/>
          </w:tcPr>
          <w:p>
            <w:pPr>
              <w:pStyle w:val="26"/>
            </w:pPr>
            <w:r>
              <w:t>系统正常运转</w:t>
            </w:r>
          </w:p>
        </w:tc>
        <w:tc>
          <w:tcPr>
            <w:tcW w:w="2466" w:type="dxa"/>
            <w:vAlign w:val="center"/>
          </w:tcPr>
          <w:p>
            <w:pPr>
              <w:pStyle w:val="26"/>
            </w:pPr>
            <w:r>
              <w:t>≥0.95系统正常运转</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政府系统值班体制进一步完善</w:t>
            </w:r>
          </w:p>
        </w:tc>
        <w:tc>
          <w:tcPr>
            <w:tcW w:w="2466" w:type="dxa"/>
            <w:vAlign w:val="center"/>
          </w:tcPr>
          <w:p>
            <w:pPr>
              <w:pStyle w:val="26"/>
            </w:pPr>
            <w:r>
              <w:t>政府系统值班体制进一步完善</w:t>
            </w:r>
          </w:p>
        </w:tc>
        <w:tc>
          <w:tcPr>
            <w:tcW w:w="2466" w:type="dxa"/>
            <w:vAlign w:val="center"/>
          </w:tcPr>
          <w:p>
            <w:pPr>
              <w:pStyle w:val="26"/>
            </w:pPr>
            <w:r>
              <w:t>≥0.95政府系统值班体制进一步完善</w:t>
            </w:r>
          </w:p>
        </w:tc>
        <w:tc>
          <w:tcPr>
            <w:tcW w:w="2466" w:type="dxa"/>
            <w:vAlign w:val="center"/>
          </w:tcPr>
          <w:p>
            <w:pPr>
              <w:pStyle w:val="26"/>
            </w:pPr>
            <w:r>
              <w:t>根据上级要求</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群众满意度</w:t>
            </w:r>
          </w:p>
        </w:tc>
        <w:tc>
          <w:tcPr>
            <w:tcW w:w="2466" w:type="dxa"/>
            <w:vAlign w:val="center"/>
          </w:tcPr>
          <w:p>
            <w:pPr>
              <w:pStyle w:val="26"/>
            </w:pPr>
            <w:r>
              <w:t>群众满意度</w:t>
            </w:r>
          </w:p>
        </w:tc>
        <w:tc>
          <w:tcPr>
            <w:tcW w:w="2466" w:type="dxa"/>
            <w:vAlign w:val="center"/>
          </w:tcPr>
          <w:p>
            <w:pPr>
              <w:pStyle w:val="26"/>
            </w:pPr>
            <w:r>
              <w:t>≥0.95群众满意度</w:t>
            </w:r>
          </w:p>
        </w:tc>
        <w:tc>
          <w:tcPr>
            <w:tcW w:w="2466" w:type="dxa"/>
            <w:vAlign w:val="center"/>
          </w:tcPr>
          <w:p>
            <w:pPr>
              <w:pStyle w:val="26"/>
            </w:pPr>
            <w:r>
              <w:t>根据上级要求</w:t>
            </w:r>
          </w:p>
          <w:p>
            <w:pPr>
              <w:pStyle w:val="26"/>
            </w:pP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10、政府办专项公用经费绩效目标表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1.突出政务、加强事务、提升服务，力求重点工作出精品，难点工作求突破、基础工作有创新、常规工作见特色。</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完成至少三次大型会议</w:t>
            </w:r>
          </w:p>
        </w:tc>
        <w:tc>
          <w:tcPr>
            <w:tcW w:w="2466" w:type="dxa"/>
            <w:vAlign w:val="center"/>
          </w:tcPr>
          <w:p>
            <w:pPr>
              <w:pStyle w:val="26"/>
            </w:pPr>
            <w:r>
              <w:t>有效完成会议组织安排及会务</w:t>
            </w:r>
          </w:p>
        </w:tc>
        <w:tc>
          <w:tcPr>
            <w:tcW w:w="2466" w:type="dxa"/>
            <w:vAlign w:val="center"/>
          </w:tcPr>
          <w:p>
            <w:pPr>
              <w:pStyle w:val="26"/>
            </w:pPr>
            <w:r>
              <w:t>≥0.95完成至少三次大型会议</w:t>
            </w:r>
          </w:p>
        </w:tc>
        <w:tc>
          <w:tcPr>
            <w:tcW w:w="2466" w:type="dxa"/>
            <w:vAlign w:val="center"/>
          </w:tcPr>
          <w:p>
            <w:pPr>
              <w:pStyle w:val="2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高标准，严要求完成各种会议及日常工作</w:t>
            </w:r>
          </w:p>
        </w:tc>
        <w:tc>
          <w:tcPr>
            <w:tcW w:w="2466" w:type="dxa"/>
            <w:vAlign w:val="center"/>
          </w:tcPr>
          <w:p>
            <w:pPr>
              <w:pStyle w:val="26"/>
            </w:pPr>
            <w:r>
              <w:t>高标准，严要求完成各种会议及日常工作</w:t>
            </w:r>
          </w:p>
        </w:tc>
        <w:tc>
          <w:tcPr>
            <w:tcW w:w="2466" w:type="dxa"/>
            <w:vAlign w:val="center"/>
          </w:tcPr>
          <w:p>
            <w:pPr>
              <w:pStyle w:val="26"/>
            </w:pPr>
            <w:r>
              <w:t>≥0.95高标准，严要求完成各种会议及日常工作</w:t>
            </w:r>
          </w:p>
        </w:tc>
        <w:tc>
          <w:tcPr>
            <w:tcW w:w="2466" w:type="dxa"/>
            <w:vAlign w:val="center"/>
          </w:tcPr>
          <w:p>
            <w:pPr>
              <w:pStyle w:val="2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完成率</w:t>
            </w:r>
          </w:p>
        </w:tc>
        <w:tc>
          <w:tcPr>
            <w:tcW w:w="2466" w:type="dxa"/>
            <w:vAlign w:val="center"/>
          </w:tcPr>
          <w:p>
            <w:pPr>
              <w:pStyle w:val="26"/>
            </w:pPr>
            <w:r>
              <w:t>反映各项综合业务工作完成情况</w:t>
            </w:r>
          </w:p>
        </w:tc>
        <w:tc>
          <w:tcPr>
            <w:tcW w:w="2466" w:type="dxa"/>
            <w:vAlign w:val="center"/>
          </w:tcPr>
          <w:p>
            <w:pPr>
              <w:pStyle w:val="26"/>
            </w:pPr>
            <w:r>
              <w:t>≥0.95完成率</w:t>
            </w:r>
          </w:p>
        </w:tc>
        <w:tc>
          <w:tcPr>
            <w:tcW w:w="2466" w:type="dxa"/>
            <w:vAlign w:val="center"/>
          </w:tcPr>
          <w:p>
            <w:pPr>
              <w:pStyle w:val="2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完成率</w:t>
            </w:r>
          </w:p>
        </w:tc>
        <w:tc>
          <w:tcPr>
            <w:tcW w:w="2466" w:type="dxa"/>
            <w:vAlign w:val="center"/>
          </w:tcPr>
          <w:p>
            <w:pPr>
              <w:pStyle w:val="26"/>
            </w:pPr>
            <w:r>
              <w:t>政府办正常运行成本按照计划完成</w:t>
            </w:r>
          </w:p>
        </w:tc>
        <w:tc>
          <w:tcPr>
            <w:tcW w:w="2466" w:type="dxa"/>
            <w:vAlign w:val="center"/>
          </w:tcPr>
          <w:p>
            <w:pPr>
              <w:pStyle w:val="26"/>
            </w:pPr>
            <w:r>
              <w:t>≥0.95完成率</w:t>
            </w:r>
          </w:p>
        </w:tc>
        <w:tc>
          <w:tcPr>
            <w:tcW w:w="2466" w:type="dxa"/>
            <w:vAlign w:val="center"/>
          </w:tcPr>
          <w:p>
            <w:pPr>
              <w:pStyle w:val="2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社会稳定水平</w:t>
            </w:r>
          </w:p>
        </w:tc>
        <w:tc>
          <w:tcPr>
            <w:tcW w:w="2466" w:type="dxa"/>
            <w:vAlign w:val="center"/>
          </w:tcPr>
          <w:p>
            <w:pPr>
              <w:pStyle w:val="26"/>
            </w:pPr>
            <w:r>
              <w:t>反映社会稳定水平情况</w:t>
            </w:r>
          </w:p>
        </w:tc>
        <w:tc>
          <w:tcPr>
            <w:tcW w:w="2466" w:type="dxa"/>
            <w:vAlign w:val="center"/>
          </w:tcPr>
          <w:p>
            <w:pPr>
              <w:pStyle w:val="26"/>
            </w:pPr>
            <w:r>
              <w:t>≥0.95完成率</w:t>
            </w:r>
          </w:p>
        </w:tc>
        <w:tc>
          <w:tcPr>
            <w:tcW w:w="2466" w:type="dxa"/>
            <w:vAlign w:val="center"/>
          </w:tcPr>
          <w:p>
            <w:pPr>
              <w:pStyle w:val="2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群众满意度</w:t>
            </w:r>
          </w:p>
        </w:tc>
        <w:tc>
          <w:tcPr>
            <w:tcW w:w="2466" w:type="dxa"/>
            <w:vAlign w:val="center"/>
          </w:tcPr>
          <w:p>
            <w:pPr>
              <w:pStyle w:val="26"/>
            </w:pPr>
            <w:r>
              <w:t>群众满意数量占总数的比例。</w:t>
            </w:r>
          </w:p>
        </w:tc>
        <w:tc>
          <w:tcPr>
            <w:tcW w:w="2466" w:type="dxa"/>
            <w:vAlign w:val="center"/>
          </w:tcPr>
          <w:p>
            <w:pPr>
              <w:pStyle w:val="26"/>
            </w:pPr>
            <w:r>
              <w:t>≥0.95完成率</w:t>
            </w:r>
          </w:p>
        </w:tc>
        <w:tc>
          <w:tcPr>
            <w:tcW w:w="2466" w:type="dxa"/>
            <w:vAlign w:val="center"/>
          </w:tcPr>
          <w:p>
            <w:pPr>
              <w:pStyle w:val="26"/>
            </w:pPr>
            <w:r>
              <w:t>三定方案</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11、政务公开办经费绩效目标表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1.政府门户网站、信息公开平台及政务外网维护完成率达到优质水平，确保做好全县政务公开工作</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次数</w:t>
            </w:r>
          </w:p>
        </w:tc>
        <w:tc>
          <w:tcPr>
            <w:tcW w:w="2466" w:type="dxa"/>
            <w:vAlign w:val="center"/>
          </w:tcPr>
          <w:p>
            <w:pPr>
              <w:pStyle w:val="26"/>
            </w:pPr>
            <w:r>
              <w:t>做好政府门户网站、信息公开平台及政务外网维护、工作人员培训</w:t>
            </w:r>
          </w:p>
        </w:tc>
        <w:tc>
          <w:tcPr>
            <w:tcW w:w="2466" w:type="dxa"/>
            <w:vAlign w:val="center"/>
          </w:tcPr>
          <w:p>
            <w:pPr>
              <w:pStyle w:val="26"/>
            </w:pPr>
            <w:r>
              <w:t>≥0.95次数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完成任务</w:t>
            </w:r>
          </w:p>
        </w:tc>
        <w:tc>
          <w:tcPr>
            <w:tcW w:w="2466" w:type="dxa"/>
            <w:vAlign w:val="center"/>
          </w:tcPr>
          <w:p>
            <w:pPr>
              <w:pStyle w:val="26"/>
            </w:pPr>
            <w:r>
              <w:t>完成省市政务公开2022年工作要点安排任务。</w:t>
            </w:r>
          </w:p>
        </w:tc>
        <w:tc>
          <w:tcPr>
            <w:tcW w:w="2466" w:type="dxa"/>
            <w:vAlign w:val="center"/>
          </w:tcPr>
          <w:p>
            <w:pPr>
              <w:pStyle w:val="26"/>
            </w:pPr>
            <w:r>
              <w:t>≥0.95完成任务</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每月完成情况</w:t>
            </w:r>
          </w:p>
        </w:tc>
        <w:tc>
          <w:tcPr>
            <w:tcW w:w="2466" w:type="dxa"/>
            <w:vAlign w:val="center"/>
          </w:tcPr>
          <w:p>
            <w:pPr>
              <w:pStyle w:val="26"/>
            </w:pPr>
            <w:r>
              <w:t>每月完成省市政务公开科、网站维护等工作任务</w:t>
            </w:r>
          </w:p>
        </w:tc>
        <w:tc>
          <w:tcPr>
            <w:tcW w:w="2466" w:type="dxa"/>
            <w:vAlign w:val="center"/>
          </w:tcPr>
          <w:p>
            <w:pPr>
              <w:pStyle w:val="26"/>
            </w:pPr>
            <w:r>
              <w:t>≥0.95每月完成情况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推进政务公开建设，维护政府公信力，做好党和政府与人民群众的连心桥</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群众满意度</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12、智慧中心经费绩效目标表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  进一步加强和规范信息化建设项目管理，推进我县大数据建设，规范和促进本地大数据资源的共享与开放，推动政务数据资源的优化配置和增值利用。</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人数</w:t>
            </w:r>
          </w:p>
        </w:tc>
        <w:tc>
          <w:tcPr>
            <w:tcW w:w="2466" w:type="dxa"/>
            <w:vAlign w:val="center"/>
          </w:tcPr>
          <w:p>
            <w:pPr>
              <w:pStyle w:val="26"/>
            </w:pPr>
            <w:r>
              <w:t>培训推广OA联动办公平台，全部在职人员使用。</w:t>
            </w:r>
          </w:p>
        </w:tc>
        <w:tc>
          <w:tcPr>
            <w:tcW w:w="2466" w:type="dxa"/>
            <w:vAlign w:val="center"/>
          </w:tcPr>
          <w:p>
            <w:pPr>
              <w:pStyle w:val="26"/>
            </w:pPr>
            <w:r>
              <w:t>≥0.95人数</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完成任务</w:t>
            </w:r>
          </w:p>
        </w:tc>
        <w:tc>
          <w:tcPr>
            <w:tcW w:w="2466" w:type="dxa"/>
            <w:vAlign w:val="center"/>
          </w:tcPr>
          <w:p>
            <w:pPr>
              <w:pStyle w:val="26"/>
            </w:pPr>
            <w:r>
              <w:t>扎实推进大数据建设科学务实、健康有序发展，按要求完成上级任务</w:t>
            </w:r>
          </w:p>
        </w:tc>
        <w:tc>
          <w:tcPr>
            <w:tcW w:w="2466" w:type="dxa"/>
            <w:vAlign w:val="center"/>
          </w:tcPr>
          <w:p>
            <w:pPr>
              <w:pStyle w:val="26"/>
            </w:pPr>
            <w:r>
              <w:t>≥0.95完成任务</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季度考核</w:t>
            </w:r>
          </w:p>
        </w:tc>
        <w:tc>
          <w:tcPr>
            <w:tcW w:w="2466" w:type="dxa"/>
            <w:vAlign w:val="center"/>
          </w:tcPr>
          <w:p>
            <w:pPr>
              <w:pStyle w:val="26"/>
            </w:pPr>
            <w:r>
              <w:t>按市考核要求完成</w:t>
            </w:r>
          </w:p>
        </w:tc>
        <w:tc>
          <w:tcPr>
            <w:tcW w:w="2466" w:type="dxa"/>
            <w:vAlign w:val="center"/>
          </w:tcPr>
          <w:p>
            <w:pPr>
              <w:pStyle w:val="26"/>
            </w:pPr>
            <w:r>
              <w:t>≥0.95季度考核</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支出情况</w:t>
            </w:r>
          </w:p>
        </w:tc>
        <w:tc>
          <w:tcPr>
            <w:tcW w:w="2466" w:type="dxa"/>
            <w:vAlign w:val="center"/>
          </w:tcPr>
          <w:p>
            <w:pPr>
              <w:pStyle w:val="26"/>
            </w:pPr>
            <w:r>
              <w:t>每项工作开展的各种经费支出不超预算安排。</w:t>
            </w:r>
          </w:p>
        </w:tc>
        <w:tc>
          <w:tcPr>
            <w:tcW w:w="2466" w:type="dxa"/>
            <w:vAlign w:val="center"/>
          </w:tcPr>
          <w:p>
            <w:pPr>
              <w:pStyle w:val="26"/>
            </w:pPr>
            <w:r>
              <w:t>≥0.95支出情况</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发挥作用</w:t>
            </w:r>
          </w:p>
        </w:tc>
        <w:tc>
          <w:tcPr>
            <w:tcW w:w="2466" w:type="dxa"/>
            <w:vAlign w:val="center"/>
          </w:tcPr>
          <w:p>
            <w:pPr>
              <w:pStyle w:val="26"/>
            </w:pPr>
            <w:r>
              <w:t>提高公共管理和服务水平</w:t>
            </w:r>
          </w:p>
        </w:tc>
        <w:tc>
          <w:tcPr>
            <w:tcW w:w="2466" w:type="dxa"/>
            <w:vAlign w:val="center"/>
          </w:tcPr>
          <w:p>
            <w:pPr>
              <w:pStyle w:val="26"/>
            </w:pPr>
            <w:r>
              <w:t>≥0.95发挥作用</w:t>
            </w:r>
          </w:p>
        </w:tc>
        <w:tc>
          <w:tcPr>
            <w:tcW w:w="2466" w:type="dxa"/>
            <w:vAlign w:val="center"/>
          </w:tcPr>
          <w:p>
            <w:pPr>
              <w:pStyle w:val="26"/>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满意度</w:t>
            </w:r>
          </w:p>
        </w:tc>
        <w:tc>
          <w:tcPr>
            <w:tcW w:w="2466" w:type="dxa"/>
            <w:vAlign w:val="center"/>
          </w:tcPr>
          <w:p>
            <w:pPr>
              <w:pStyle w:val="26"/>
            </w:pPr>
            <w:r>
              <w:t>提高公共管理效率</w:t>
            </w:r>
          </w:p>
        </w:tc>
        <w:tc>
          <w:tcPr>
            <w:tcW w:w="2466" w:type="dxa"/>
            <w:vAlign w:val="center"/>
          </w:tcPr>
          <w:p>
            <w:pPr>
              <w:pStyle w:val="26"/>
            </w:pPr>
            <w:r>
              <w:t>≥0.95满意度</w:t>
            </w:r>
          </w:p>
        </w:tc>
        <w:tc>
          <w:tcPr>
            <w:tcW w:w="2466" w:type="dxa"/>
            <w:vAlign w:val="center"/>
          </w:tcPr>
          <w:p>
            <w:pPr>
              <w:pStyle w:val="26"/>
            </w:pPr>
            <w:r>
              <w:t>根据上级要求</w:t>
            </w:r>
          </w:p>
        </w:tc>
      </w:tr>
    </w:tbl>
    <w:p>
      <w:pPr>
        <w:pStyle w:val="24"/>
      </w:pPr>
    </w:p>
    <w:p>
      <w:pPr>
        <w:pStyle w:val="24"/>
        <w:spacing w:before="0" w:after="0"/>
        <w:ind w:firstLine="560"/>
        <w:jc w:val="left"/>
        <w:outlineLvl w:val="9"/>
      </w:pPr>
      <w:r>
        <w:rPr>
          <w:rFonts w:ascii="方正仿宋_GBK" w:hAnsi="方正仿宋_GBK" w:eastAsia="方正仿宋_GBK" w:cs="方正仿宋_GBK"/>
          <w:b/>
          <w:color w:val="000000"/>
          <w:sz w:val="28"/>
        </w:rPr>
        <w:t>13、综合治税经费绩效目标表</w:t>
      </w:r>
      <w:r>
        <w:rPr>
          <w:rFonts w:hint="eastAsia" w:ascii="方正仿宋_GBK" w:hAnsi="方正仿宋_GBK" w:eastAsia="方正仿宋_GBK" w:cs="方正仿宋_GBK"/>
          <w:b/>
          <w:color w:val="000000"/>
          <w:sz w:val="28"/>
          <w:lang w:val="en-US" w:eastAsia="zh-CN"/>
        </w:rPr>
        <w:t xml:space="preserve">                                                                                                                 </w:t>
      </w:r>
      <w:r>
        <w:rPr>
          <w:rFonts w:hint="eastAsia" w:ascii="方正书宋_GBK" w:hAnsi="方正书宋_GBK" w:eastAsia="方正书宋_GBK" w:cs="方正书宋_GBK"/>
          <w:sz w:val="21"/>
          <w:szCs w:val="24"/>
          <w:lang w:val="en-US" w:eastAsia="zh-CN" w:bidi="ar-SA"/>
        </w:rPr>
        <w:t>单位：万元</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5"/>
            </w:pPr>
            <w:r>
              <w:t>绩效目标</w:t>
            </w:r>
          </w:p>
        </w:tc>
        <w:tc>
          <w:tcPr>
            <w:tcW w:w="7399" w:type="dxa"/>
            <w:tcBorders>
              <w:bottom w:val="single" w:color="FFFFFF" w:sz="6" w:space="0"/>
            </w:tcBorders>
            <w:vAlign w:val="center"/>
          </w:tcPr>
          <w:p>
            <w:pPr>
              <w:pStyle w:val="26"/>
            </w:pPr>
            <w:r>
              <w:t>1.   一是加强政策宣讲，加大</w:t>
            </w:r>
            <w:r>
              <w:rPr>
                <w:rFonts w:hint="eastAsia"/>
                <w:lang w:eastAsia="zh-CN"/>
              </w:rPr>
              <w:t>减税降费</w:t>
            </w:r>
            <w:r>
              <w:t>政策落实督导力度，确保应减尽减，切实保障和激发市场主体活力。二是大力实施综合治税，完善涉税信息平台，整合部门涉税信息，健全税源台账，加强信息比对分析，精准开展以电控税、以地控税等专项清理，积极营造公平税收环境，促进行业健康发展。</w:t>
            </w:r>
            <w:r>
              <w:tab/>
            </w:r>
            <w:r>
              <w:tab/>
            </w:r>
            <w:r>
              <w:tab/>
            </w:r>
            <w:r>
              <w:tab/>
            </w:r>
          </w:p>
          <w:p>
            <w:pPr>
              <w:pStyle w:val="26"/>
            </w:pP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5"/>
            </w:pPr>
            <w:r>
              <w:t>一级指标</w:t>
            </w:r>
          </w:p>
        </w:tc>
        <w:tc>
          <w:tcPr>
            <w:tcW w:w="2466" w:type="dxa"/>
            <w:vAlign w:val="center"/>
          </w:tcPr>
          <w:p>
            <w:pPr>
              <w:pStyle w:val="25"/>
            </w:pPr>
            <w:r>
              <w:t>二级指标</w:t>
            </w:r>
          </w:p>
        </w:tc>
        <w:tc>
          <w:tcPr>
            <w:tcW w:w="2466" w:type="dxa"/>
            <w:vAlign w:val="center"/>
          </w:tcPr>
          <w:p>
            <w:pPr>
              <w:pStyle w:val="25"/>
            </w:pPr>
            <w:r>
              <w:t>三级指标</w:t>
            </w:r>
          </w:p>
        </w:tc>
        <w:tc>
          <w:tcPr>
            <w:tcW w:w="2466" w:type="dxa"/>
            <w:vAlign w:val="center"/>
          </w:tcPr>
          <w:p>
            <w:pPr>
              <w:pStyle w:val="25"/>
            </w:pPr>
            <w:r>
              <w:t>绩效指标描述</w:t>
            </w:r>
          </w:p>
        </w:tc>
        <w:tc>
          <w:tcPr>
            <w:tcW w:w="2466" w:type="dxa"/>
            <w:vAlign w:val="center"/>
          </w:tcPr>
          <w:p>
            <w:pPr>
              <w:pStyle w:val="25"/>
            </w:pPr>
            <w:r>
              <w:t>指标值</w:t>
            </w:r>
          </w:p>
        </w:tc>
        <w:tc>
          <w:tcPr>
            <w:tcW w:w="2466"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7"/>
            </w:pPr>
            <w:r>
              <w:t>产出指标</w:t>
            </w:r>
          </w:p>
        </w:tc>
        <w:tc>
          <w:tcPr>
            <w:tcW w:w="2466" w:type="dxa"/>
            <w:vAlign w:val="center"/>
          </w:tcPr>
          <w:p>
            <w:pPr>
              <w:pStyle w:val="26"/>
            </w:pPr>
            <w:r>
              <w:t>数量指标</w:t>
            </w:r>
          </w:p>
        </w:tc>
        <w:tc>
          <w:tcPr>
            <w:tcW w:w="2466" w:type="dxa"/>
            <w:vAlign w:val="center"/>
          </w:tcPr>
          <w:p>
            <w:pPr>
              <w:pStyle w:val="26"/>
            </w:pPr>
            <w:r>
              <w:t>深入重点企业调研；采集涉税信息，科学比对分析，依法征缴税收。</w:t>
            </w:r>
          </w:p>
        </w:tc>
        <w:tc>
          <w:tcPr>
            <w:tcW w:w="2466" w:type="dxa"/>
            <w:vAlign w:val="center"/>
          </w:tcPr>
          <w:p>
            <w:pPr>
              <w:pStyle w:val="26"/>
            </w:pPr>
            <w:r>
              <w:t>全年深入重点企业调研生产经营及税收变化、宣讲减税降费政策30次以上；采集涉税信息2万条以上，依法开展税收征缴工作。</w:t>
            </w:r>
          </w:p>
        </w:tc>
        <w:tc>
          <w:tcPr>
            <w:tcW w:w="2466" w:type="dxa"/>
            <w:vAlign w:val="center"/>
          </w:tcPr>
          <w:p>
            <w:pPr>
              <w:pStyle w:val="26"/>
            </w:pPr>
            <w:r>
              <w:t>≥0.95深入重点企业调研；采集涉税信息，科学比对分析，依法征缴税收。</w:t>
            </w:r>
          </w:p>
        </w:tc>
        <w:tc>
          <w:tcPr>
            <w:tcW w:w="2466" w:type="dxa"/>
            <w:vAlign w:val="center"/>
          </w:tcPr>
          <w:p>
            <w:pPr>
              <w:pStyle w:val="26"/>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质量指标</w:t>
            </w:r>
          </w:p>
        </w:tc>
        <w:tc>
          <w:tcPr>
            <w:tcW w:w="2466" w:type="dxa"/>
            <w:vAlign w:val="center"/>
          </w:tcPr>
          <w:p>
            <w:pPr>
              <w:pStyle w:val="26"/>
            </w:pPr>
            <w:r>
              <w:t>健全涉税信息报送机制，采集涉税信息，综合分析对比利用。</w:t>
            </w:r>
          </w:p>
        </w:tc>
        <w:tc>
          <w:tcPr>
            <w:tcW w:w="2466" w:type="dxa"/>
            <w:vAlign w:val="center"/>
          </w:tcPr>
          <w:p>
            <w:pPr>
              <w:pStyle w:val="26"/>
            </w:pPr>
            <w:r>
              <w:t>健全涉税信息报送机制，常态化采集综合治税成员单位涉税信息，联合税务部门分析对比、综合研判。</w:t>
            </w:r>
          </w:p>
        </w:tc>
        <w:tc>
          <w:tcPr>
            <w:tcW w:w="2466" w:type="dxa"/>
            <w:vAlign w:val="center"/>
          </w:tcPr>
          <w:p>
            <w:pPr>
              <w:pStyle w:val="26"/>
            </w:pPr>
            <w:r>
              <w:t>≥0.95健全涉税信息报送机制，采集涉税信息，综合分析对比利用。</w:t>
            </w:r>
          </w:p>
        </w:tc>
        <w:tc>
          <w:tcPr>
            <w:tcW w:w="2466" w:type="dxa"/>
            <w:vAlign w:val="center"/>
          </w:tcPr>
          <w:p>
            <w:pPr>
              <w:pStyle w:val="26"/>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时效指标</w:t>
            </w:r>
          </w:p>
        </w:tc>
        <w:tc>
          <w:tcPr>
            <w:tcW w:w="2466" w:type="dxa"/>
            <w:vAlign w:val="center"/>
          </w:tcPr>
          <w:p>
            <w:pPr>
              <w:pStyle w:val="26"/>
            </w:pPr>
            <w:r>
              <w:t>针对比对异常的信息，及时采取措施，确保取得实效。</w:t>
            </w:r>
          </w:p>
        </w:tc>
        <w:tc>
          <w:tcPr>
            <w:tcW w:w="2466" w:type="dxa"/>
            <w:vAlign w:val="center"/>
          </w:tcPr>
          <w:p>
            <w:pPr>
              <w:pStyle w:val="26"/>
            </w:pPr>
            <w:r>
              <w:t>针对比对异常的信息，及时研究开展专项行动，确保取得实效。</w:t>
            </w:r>
          </w:p>
        </w:tc>
        <w:tc>
          <w:tcPr>
            <w:tcW w:w="2466" w:type="dxa"/>
            <w:vAlign w:val="center"/>
          </w:tcPr>
          <w:p>
            <w:pPr>
              <w:pStyle w:val="26"/>
            </w:pPr>
            <w:r>
              <w:t>≥0.95针对比对异常的信息，及时采取措施，确保取得实效。</w:t>
            </w:r>
          </w:p>
        </w:tc>
        <w:tc>
          <w:tcPr>
            <w:tcW w:w="2466" w:type="dxa"/>
            <w:vAlign w:val="center"/>
          </w:tcPr>
          <w:p>
            <w:pPr>
              <w:pStyle w:val="26"/>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4"/>
            </w:pPr>
          </w:p>
        </w:tc>
        <w:tc>
          <w:tcPr>
            <w:tcW w:w="2466" w:type="dxa"/>
            <w:vAlign w:val="center"/>
          </w:tcPr>
          <w:p>
            <w:pPr>
              <w:pStyle w:val="26"/>
            </w:pPr>
            <w:r>
              <w:t>成本指标</w:t>
            </w:r>
          </w:p>
        </w:tc>
        <w:tc>
          <w:tcPr>
            <w:tcW w:w="2466" w:type="dxa"/>
            <w:vAlign w:val="center"/>
          </w:tcPr>
          <w:p>
            <w:pPr>
              <w:pStyle w:val="26"/>
            </w:pPr>
            <w:r>
              <w:t>采取综合治税措施，全年堵漏增收500万元以上。</w:t>
            </w:r>
          </w:p>
        </w:tc>
        <w:tc>
          <w:tcPr>
            <w:tcW w:w="2466" w:type="dxa"/>
            <w:vAlign w:val="center"/>
          </w:tcPr>
          <w:p>
            <w:pPr>
              <w:pStyle w:val="26"/>
            </w:pPr>
            <w:r>
              <w:t>采取综合治税措施，全年堵漏增收500万元以上。</w:t>
            </w:r>
          </w:p>
        </w:tc>
        <w:tc>
          <w:tcPr>
            <w:tcW w:w="2466" w:type="dxa"/>
            <w:vAlign w:val="center"/>
          </w:tcPr>
          <w:p>
            <w:pPr>
              <w:pStyle w:val="26"/>
            </w:pPr>
            <w:r>
              <w:t>≥0.95采取综合治税措施，全年堵漏增收500万元以上。</w:t>
            </w:r>
          </w:p>
        </w:tc>
        <w:tc>
          <w:tcPr>
            <w:tcW w:w="2466" w:type="dxa"/>
            <w:vAlign w:val="center"/>
          </w:tcPr>
          <w:p>
            <w:pPr>
              <w:pStyle w:val="26"/>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效益指标</w:t>
            </w:r>
          </w:p>
        </w:tc>
        <w:tc>
          <w:tcPr>
            <w:tcW w:w="2466" w:type="dxa"/>
            <w:vAlign w:val="center"/>
          </w:tcPr>
          <w:p>
            <w:pPr>
              <w:pStyle w:val="26"/>
            </w:pPr>
            <w:r>
              <w:t>社会效益指标</w:t>
            </w:r>
          </w:p>
        </w:tc>
        <w:tc>
          <w:tcPr>
            <w:tcW w:w="2466" w:type="dxa"/>
            <w:vAlign w:val="center"/>
          </w:tcPr>
          <w:p>
            <w:pPr>
              <w:pStyle w:val="26"/>
            </w:pPr>
            <w:r>
              <w:t>进一步规范税收秩序，着力构建营造更加公开公平公正的税收环境，持续优化营商环境，提升发展竞争力。</w:t>
            </w:r>
          </w:p>
        </w:tc>
        <w:tc>
          <w:tcPr>
            <w:tcW w:w="2466" w:type="dxa"/>
            <w:vAlign w:val="center"/>
          </w:tcPr>
          <w:p>
            <w:pPr>
              <w:pStyle w:val="26"/>
            </w:pPr>
            <w:r>
              <w:t>进一步规范税收秩序，着力构建营造更加公开公平公正的税收环境，持续优化营商环境，提升发展竞争力。</w:t>
            </w:r>
          </w:p>
        </w:tc>
        <w:tc>
          <w:tcPr>
            <w:tcW w:w="2466" w:type="dxa"/>
            <w:vAlign w:val="center"/>
          </w:tcPr>
          <w:p>
            <w:pPr>
              <w:pStyle w:val="26"/>
            </w:pPr>
            <w:r>
              <w:t>≥0.95进一步规范税收秩序，着力构建营造更加公开公平公正的税收环境，持续优化营商环境，提升发展竞争力。</w:t>
            </w:r>
          </w:p>
        </w:tc>
        <w:tc>
          <w:tcPr>
            <w:tcW w:w="2466" w:type="dxa"/>
            <w:vAlign w:val="center"/>
          </w:tcPr>
          <w:p>
            <w:pPr>
              <w:pStyle w:val="26"/>
            </w:pPr>
            <w: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7"/>
            </w:pPr>
            <w:r>
              <w:t>满意度指标</w:t>
            </w:r>
          </w:p>
        </w:tc>
        <w:tc>
          <w:tcPr>
            <w:tcW w:w="2466" w:type="dxa"/>
            <w:vAlign w:val="center"/>
          </w:tcPr>
          <w:p>
            <w:pPr>
              <w:pStyle w:val="26"/>
            </w:pPr>
            <w:r>
              <w:t>服务对象满意度指标</w:t>
            </w:r>
          </w:p>
        </w:tc>
        <w:tc>
          <w:tcPr>
            <w:tcW w:w="2466" w:type="dxa"/>
            <w:vAlign w:val="center"/>
          </w:tcPr>
          <w:p>
            <w:pPr>
              <w:pStyle w:val="26"/>
            </w:pPr>
            <w:r>
              <w:t>通过多种方式走访调查，评价对该项工作活动的认可程度。</w:t>
            </w:r>
          </w:p>
        </w:tc>
        <w:tc>
          <w:tcPr>
            <w:tcW w:w="2466" w:type="dxa"/>
            <w:vAlign w:val="center"/>
          </w:tcPr>
          <w:p>
            <w:pPr>
              <w:pStyle w:val="26"/>
            </w:pPr>
            <w:r>
              <w:t>通过多种方式走访调查，评价对该项工作活动的认可程度。</w:t>
            </w:r>
          </w:p>
        </w:tc>
        <w:tc>
          <w:tcPr>
            <w:tcW w:w="2466" w:type="dxa"/>
            <w:vAlign w:val="center"/>
          </w:tcPr>
          <w:p>
            <w:pPr>
              <w:pStyle w:val="26"/>
            </w:pPr>
            <w:r>
              <w:t>≥0.95通过多种方式走访调查，评价对该项工作活动的认可程度。</w:t>
            </w:r>
          </w:p>
        </w:tc>
        <w:tc>
          <w:tcPr>
            <w:tcW w:w="2466" w:type="dxa"/>
            <w:vAlign w:val="center"/>
          </w:tcPr>
          <w:p>
            <w:pPr>
              <w:pStyle w:val="26"/>
            </w:pPr>
            <w:r>
              <w:t>根据上级文件要求</w:t>
            </w:r>
          </w:p>
        </w:tc>
      </w:tr>
    </w:tbl>
    <w:p>
      <w:pPr>
        <w:pStyle w:val="24"/>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2022年，隆尧县人民政府办公室安排政府采购预算</w:t>
      </w:r>
      <w:r>
        <w:rPr>
          <w:rFonts w:hint="eastAsia" w:eastAsia="方正仿宋_GBK" w:cs="Times New Roman"/>
          <w:b w:val="0"/>
          <w:color w:val="000000"/>
          <w:sz w:val="28"/>
          <w:lang w:val="en-US" w:eastAsia="zh-CN"/>
        </w:rPr>
        <w:t>58.42</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pPr>
            <w:r>
              <w:t>434隆尧县人民政府办公室</w:t>
            </w:r>
            <w:r>
              <w:rPr>
                <w:rFonts w:hint="eastAsia"/>
                <w:lang w:val="en-US" w:eastAsia="zh-CN"/>
              </w:rPr>
              <w:t xml:space="preserve">                                                                                                                                                     </w:t>
            </w:r>
            <w:r>
              <w:rPr>
                <w:rFonts w:hint="eastAsia" w:ascii="方正书宋_GBK" w:hAnsi="方正书宋_GBK" w:eastAsia="方正书宋_GBK" w:cs="方正书宋_GBK"/>
                <w:sz w:val="21"/>
                <w:szCs w:val="24"/>
                <w:lang w:val="en-US" w:eastAsia="zh-CN" w:bidi="ar-S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8316" w:type="dxa"/>
            <w:gridSpan w:val="9"/>
            <w:vMerge w:val="restart"/>
            <w:vAlign w:val="center"/>
          </w:tcPr>
          <w:p>
            <w:pPr>
              <w:pStyle w:val="10"/>
              <w:jc w:val="both"/>
            </w:pPr>
            <w:r>
              <w:t>单价</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Merge w:val="continue"/>
            <w:vAlign w:val="top"/>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rPr>
                <w:rFonts w:hint="default" w:eastAsia="方正书宋_GBK"/>
                <w:lang w:val="en-US" w:eastAsia="zh-CN"/>
              </w:rPr>
            </w:pPr>
            <w:r>
              <w:rPr>
                <w:rFonts w:hint="eastAsia"/>
                <w:lang w:val="en-US" w:eastAsia="zh-CN"/>
              </w:rPr>
              <w:t>58.42</w:t>
            </w:r>
          </w:p>
        </w:tc>
        <w:tc>
          <w:tcPr>
            <w:tcW w:w="924" w:type="dxa"/>
            <w:vAlign w:val="center"/>
          </w:tcPr>
          <w:p>
            <w:pPr>
              <w:pStyle w:val="15"/>
            </w:pPr>
            <w:r>
              <w:rPr>
                <w:rFonts w:hint="eastAsia"/>
                <w:lang w:val="en-US" w:eastAsia="zh-CN"/>
              </w:rPr>
              <w:t>58.42</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rPr>
                <w:rFonts w:hint="eastAsia"/>
                <w:lang w:val="en-US" w:eastAsia="zh-CN"/>
              </w:rPr>
              <w:t>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隆尧县人民政府办公室本级小计</w:t>
            </w:r>
          </w:p>
        </w:tc>
        <w:tc>
          <w:tcPr>
            <w:tcW w:w="924" w:type="dxa"/>
            <w:vAlign w:val="center"/>
          </w:tcPr>
          <w:p>
            <w:pPr>
              <w:pStyle w:val="15"/>
              <w:rPr>
                <w:rFonts w:hint="default" w:eastAsia="方正书宋_GBK"/>
                <w:lang w:val="en-US" w:eastAsia="zh-CN"/>
              </w:rPr>
            </w:pPr>
            <w:r>
              <w:rPr>
                <w:rFonts w:hint="eastAsia"/>
                <w:lang w:val="en-US" w:eastAsia="zh-CN"/>
              </w:rPr>
              <w:t>58.42</w:t>
            </w: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rPr>
                <w:rFonts w:hint="eastAsia"/>
                <w:lang w:val="en-US" w:eastAsia="zh-CN"/>
              </w:rPr>
              <w:t>58.42</w:t>
            </w:r>
          </w:p>
        </w:tc>
        <w:tc>
          <w:tcPr>
            <w:tcW w:w="924" w:type="dxa"/>
            <w:vAlign w:val="center"/>
          </w:tcPr>
          <w:p>
            <w:pPr>
              <w:pStyle w:val="15"/>
            </w:pPr>
            <w:r>
              <w:rPr>
                <w:rFonts w:hint="eastAsia"/>
                <w:lang w:val="en-US" w:eastAsia="zh-CN"/>
              </w:rPr>
              <w:t>58.42</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rPr>
                <w:rFonts w:hint="eastAsia"/>
                <w:lang w:val="en-US" w:eastAsia="zh-CN"/>
              </w:rPr>
              <w:t>58.42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rPr>
                <w:rFonts w:hint="eastAsia" w:eastAsia="方正书宋_GBK"/>
                <w:lang w:eastAsia="zh-CN"/>
              </w:rPr>
            </w:pPr>
            <w:r>
              <w:rPr>
                <w:rFonts w:hint="eastAsia"/>
                <w:lang w:eastAsia="zh-CN"/>
              </w:rPr>
              <w:t>政府办专项公用经费</w:t>
            </w:r>
          </w:p>
        </w:tc>
        <w:tc>
          <w:tcPr>
            <w:tcW w:w="924" w:type="dxa"/>
            <w:vAlign w:val="center"/>
          </w:tcPr>
          <w:p>
            <w:pPr>
              <w:pStyle w:val="11"/>
              <w:rPr>
                <w:rFonts w:hint="default"/>
                <w:lang w:val="en-US" w:eastAsia="zh-CN"/>
              </w:rPr>
            </w:pPr>
            <w:r>
              <w:rPr>
                <w:rFonts w:hint="eastAsia"/>
                <w:lang w:val="en-US" w:eastAsia="zh-CN"/>
              </w:rPr>
              <w:t>5</w:t>
            </w:r>
          </w:p>
        </w:tc>
        <w:tc>
          <w:tcPr>
            <w:tcW w:w="924" w:type="dxa"/>
            <w:vAlign w:val="center"/>
          </w:tcPr>
          <w:p>
            <w:pPr>
              <w:pStyle w:val="12"/>
              <w:rPr>
                <w:rFonts w:hint="eastAsia" w:eastAsia="方正书宋_GBK"/>
                <w:lang w:eastAsia="zh-CN"/>
              </w:rPr>
            </w:pPr>
            <w:r>
              <w:rPr>
                <w:rFonts w:hint="eastAsia"/>
                <w:lang w:eastAsia="zh-CN"/>
              </w:rPr>
              <w:t>台式计算机</w:t>
            </w:r>
          </w:p>
        </w:tc>
        <w:tc>
          <w:tcPr>
            <w:tcW w:w="924" w:type="dxa"/>
            <w:vAlign w:val="center"/>
          </w:tcPr>
          <w:p>
            <w:pPr>
              <w:pStyle w:val="12"/>
              <w:rPr>
                <w:rFonts w:hint="default" w:eastAsia="方正书宋_GBK"/>
                <w:lang w:val="en-US" w:eastAsia="zh-CN"/>
              </w:rPr>
            </w:pPr>
            <w:r>
              <w:rPr>
                <w:rFonts w:hint="eastAsia"/>
                <w:lang w:val="en-US" w:eastAsia="zh-CN"/>
              </w:rPr>
              <w:t>A02</w:t>
            </w:r>
          </w:p>
        </w:tc>
        <w:tc>
          <w:tcPr>
            <w:tcW w:w="924" w:type="dxa"/>
            <w:vAlign w:val="center"/>
          </w:tcPr>
          <w:p>
            <w:pPr>
              <w:pStyle w:val="13"/>
              <w:rPr>
                <w:rFonts w:hint="eastAsia" w:eastAsia="方正书宋_GBK"/>
                <w:lang w:val="en-US" w:eastAsia="zh-CN"/>
              </w:rPr>
            </w:pPr>
            <w:r>
              <w:rPr>
                <w:rFonts w:hint="eastAsia"/>
                <w:lang w:val="en-US" w:eastAsia="zh-CN"/>
              </w:rPr>
              <w:t>台</w:t>
            </w:r>
          </w:p>
        </w:tc>
        <w:tc>
          <w:tcPr>
            <w:tcW w:w="924" w:type="dxa"/>
            <w:vAlign w:val="center"/>
          </w:tcPr>
          <w:p>
            <w:pPr>
              <w:pStyle w:val="11"/>
              <w:rPr>
                <w:rFonts w:hint="default" w:eastAsia="方正书宋_GBK"/>
                <w:lang w:val="en-US" w:eastAsia="zh-CN"/>
              </w:rPr>
            </w:pPr>
            <w:r>
              <w:rPr>
                <w:rFonts w:hint="eastAsia"/>
                <w:lang w:val="en-US" w:eastAsia="zh-CN"/>
              </w:rPr>
              <w:t>10</w:t>
            </w:r>
          </w:p>
        </w:tc>
        <w:tc>
          <w:tcPr>
            <w:tcW w:w="924" w:type="dxa"/>
            <w:vAlign w:val="center"/>
          </w:tcPr>
          <w:p>
            <w:pPr>
              <w:pStyle w:val="11"/>
              <w:rPr>
                <w:rFonts w:hint="default" w:eastAsia="方正书宋_GBK"/>
                <w:lang w:val="en-US" w:eastAsia="zh-CN"/>
              </w:rPr>
            </w:pPr>
            <w:r>
              <w:rPr>
                <w:rFonts w:hint="eastAsia"/>
                <w:lang w:val="en-US" w:eastAsia="zh-CN"/>
              </w:rPr>
              <w:t>0.5</w:t>
            </w:r>
          </w:p>
        </w:tc>
        <w:tc>
          <w:tcPr>
            <w:tcW w:w="924" w:type="dxa"/>
            <w:vAlign w:val="center"/>
          </w:tcPr>
          <w:p>
            <w:pPr>
              <w:pStyle w:val="11"/>
              <w:rPr>
                <w:rFonts w:hint="eastAsia" w:eastAsia="方正书宋_GBK"/>
                <w:lang w:val="en-US" w:eastAsia="zh-CN"/>
              </w:rPr>
            </w:pPr>
            <w:r>
              <w:rPr>
                <w:rFonts w:hint="eastAsia"/>
                <w:lang w:val="en-US" w:eastAsia="zh-CN"/>
              </w:rPr>
              <w:t>5</w:t>
            </w:r>
          </w:p>
        </w:tc>
        <w:tc>
          <w:tcPr>
            <w:tcW w:w="924" w:type="dxa"/>
            <w:vAlign w:val="center"/>
          </w:tcPr>
          <w:p>
            <w:pPr>
              <w:pStyle w:val="11"/>
              <w:rPr>
                <w:rFonts w:hint="eastAsia" w:eastAsia="方正书宋_GBK"/>
                <w:lang w:val="en-US" w:eastAsia="zh-CN"/>
              </w:rPr>
            </w:pPr>
            <w:r>
              <w:rPr>
                <w:rFonts w:hint="eastAsia"/>
                <w:lang w:val="en-US" w:eastAsia="zh-CN"/>
              </w:rPr>
              <w:t>5</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rPr>
                <w:rFonts w:hint="eastAsia" w:eastAsia="方正书宋_GBK"/>
                <w:lang w:val="en-US" w:eastAsia="zh-CN"/>
              </w:rPr>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rPr>
                <w:rFonts w:hint="eastAsia" w:eastAsia="方正书宋_GBK"/>
                <w:lang w:eastAsia="zh-CN"/>
              </w:rPr>
            </w:pPr>
            <w:r>
              <w:rPr>
                <w:rFonts w:hint="eastAsia"/>
                <w:lang w:eastAsia="zh-CN"/>
              </w:rPr>
              <w:t>智慧中心经费</w:t>
            </w:r>
          </w:p>
        </w:tc>
        <w:tc>
          <w:tcPr>
            <w:tcW w:w="924" w:type="dxa"/>
            <w:vAlign w:val="center"/>
          </w:tcPr>
          <w:p>
            <w:pPr>
              <w:pStyle w:val="11"/>
              <w:rPr>
                <w:rFonts w:hint="default"/>
                <w:lang w:val="en-US" w:eastAsia="zh-CN"/>
              </w:rPr>
            </w:pPr>
            <w:r>
              <w:rPr>
                <w:rFonts w:hint="eastAsia"/>
                <w:lang w:val="en-US" w:eastAsia="zh-CN"/>
              </w:rPr>
              <w:t>21.42</w:t>
            </w:r>
          </w:p>
        </w:tc>
        <w:tc>
          <w:tcPr>
            <w:tcW w:w="924" w:type="dxa"/>
            <w:vAlign w:val="center"/>
          </w:tcPr>
          <w:p>
            <w:pPr>
              <w:pStyle w:val="12"/>
              <w:rPr>
                <w:rFonts w:hint="eastAsia" w:eastAsia="方正书宋_GBK"/>
                <w:lang w:eastAsia="zh-CN"/>
              </w:rPr>
            </w:pPr>
            <w:r>
              <w:rPr>
                <w:rFonts w:hint="eastAsia"/>
                <w:lang w:eastAsia="zh-CN"/>
              </w:rPr>
              <w:t>基础软件</w:t>
            </w:r>
          </w:p>
        </w:tc>
        <w:tc>
          <w:tcPr>
            <w:tcW w:w="924" w:type="dxa"/>
            <w:vAlign w:val="center"/>
          </w:tcPr>
          <w:p>
            <w:pPr>
              <w:pStyle w:val="12"/>
              <w:rPr>
                <w:rFonts w:hint="default" w:eastAsia="方正书宋_GBK"/>
                <w:lang w:val="en-US" w:eastAsia="zh-CN"/>
              </w:rPr>
            </w:pPr>
            <w:r>
              <w:rPr>
                <w:rFonts w:hint="eastAsia"/>
                <w:lang w:val="en-US" w:eastAsia="zh-CN"/>
              </w:rPr>
              <w:t>A08</w:t>
            </w:r>
          </w:p>
        </w:tc>
        <w:tc>
          <w:tcPr>
            <w:tcW w:w="924" w:type="dxa"/>
            <w:vAlign w:val="center"/>
          </w:tcPr>
          <w:p>
            <w:pPr>
              <w:pStyle w:val="13"/>
              <w:rPr>
                <w:rFonts w:hint="eastAsia" w:eastAsia="方正书宋_GBK"/>
                <w:lang w:val="en-US" w:eastAsia="zh-CN"/>
              </w:rPr>
            </w:pPr>
            <w:r>
              <w:rPr>
                <w:rFonts w:hint="eastAsia"/>
                <w:lang w:val="en-US" w:eastAsia="zh-CN"/>
              </w:rPr>
              <w:t>项</w:t>
            </w:r>
          </w:p>
        </w:tc>
        <w:tc>
          <w:tcPr>
            <w:tcW w:w="924" w:type="dxa"/>
            <w:vAlign w:val="center"/>
          </w:tcPr>
          <w:p>
            <w:pPr>
              <w:pStyle w:val="11"/>
              <w:rPr>
                <w:rFonts w:hint="eastAsia" w:eastAsia="方正书宋_GBK"/>
                <w:lang w:val="en-US" w:eastAsia="zh-CN"/>
              </w:rPr>
            </w:pPr>
            <w:r>
              <w:rPr>
                <w:rFonts w:hint="eastAsia"/>
                <w:lang w:val="en-US" w:eastAsia="zh-CN"/>
              </w:rPr>
              <w:t>1</w:t>
            </w:r>
          </w:p>
        </w:tc>
        <w:tc>
          <w:tcPr>
            <w:tcW w:w="924" w:type="dxa"/>
            <w:vAlign w:val="center"/>
          </w:tcPr>
          <w:p>
            <w:pPr>
              <w:pStyle w:val="11"/>
              <w:rPr>
                <w:rFonts w:hint="default" w:eastAsia="方正书宋_GBK"/>
                <w:lang w:val="en-US" w:eastAsia="zh-CN"/>
              </w:rPr>
            </w:pPr>
            <w:r>
              <w:rPr>
                <w:rFonts w:hint="eastAsia"/>
                <w:lang w:val="en-US" w:eastAsia="zh-CN"/>
              </w:rPr>
              <w:t>21.42</w:t>
            </w:r>
          </w:p>
        </w:tc>
        <w:tc>
          <w:tcPr>
            <w:tcW w:w="924" w:type="dxa"/>
            <w:vAlign w:val="center"/>
          </w:tcPr>
          <w:p>
            <w:pPr>
              <w:pStyle w:val="11"/>
              <w:rPr>
                <w:rFonts w:hint="default" w:eastAsia="方正书宋_GBK"/>
                <w:lang w:val="en-US" w:eastAsia="zh-CN"/>
              </w:rPr>
            </w:pPr>
            <w:r>
              <w:rPr>
                <w:rFonts w:hint="eastAsia"/>
                <w:lang w:val="en-US" w:eastAsia="zh-CN"/>
              </w:rPr>
              <w:t>21.42</w:t>
            </w:r>
          </w:p>
        </w:tc>
        <w:tc>
          <w:tcPr>
            <w:tcW w:w="924" w:type="dxa"/>
            <w:vAlign w:val="center"/>
          </w:tcPr>
          <w:p>
            <w:pPr>
              <w:pStyle w:val="11"/>
              <w:rPr>
                <w:rFonts w:hint="default" w:eastAsia="方正书宋_GBK"/>
                <w:lang w:val="en-US" w:eastAsia="zh-CN"/>
              </w:rPr>
            </w:pPr>
            <w:r>
              <w:rPr>
                <w:rFonts w:hint="eastAsia"/>
                <w:lang w:val="en-US" w:eastAsia="zh-CN"/>
              </w:rPr>
              <w:t>21.42</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rPr>
                <w:rFonts w:hint="default" w:eastAsia="方正书宋_GBK"/>
                <w:lang w:val="en-US" w:eastAsia="zh-CN"/>
              </w:rPr>
            </w:pPr>
            <w:r>
              <w:rPr>
                <w:rFonts w:hint="eastAsia"/>
                <w:lang w:val="en-US" w:eastAsia="zh-CN"/>
              </w:rPr>
              <w:t>21.42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2"/>
            </w:pPr>
            <w:r>
              <w:t>智慧中心经费</w:t>
            </w:r>
          </w:p>
        </w:tc>
        <w:tc>
          <w:tcPr>
            <w:tcW w:w="924" w:type="dxa"/>
            <w:vAlign w:val="center"/>
          </w:tcPr>
          <w:p>
            <w:pPr>
              <w:pStyle w:val="11"/>
            </w:pPr>
            <w:r>
              <w:rPr>
                <w:rFonts w:hint="eastAsia"/>
                <w:lang w:val="en-US" w:eastAsia="zh-CN"/>
              </w:rPr>
              <w:t>32.</w:t>
            </w:r>
            <w:r>
              <w:t>00</w:t>
            </w:r>
          </w:p>
        </w:tc>
        <w:tc>
          <w:tcPr>
            <w:tcW w:w="924" w:type="dxa"/>
            <w:vAlign w:val="center"/>
          </w:tcPr>
          <w:p>
            <w:pPr>
              <w:pStyle w:val="12"/>
            </w:pPr>
            <w:r>
              <w:t>其他服务</w:t>
            </w:r>
          </w:p>
        </w:tc>
        <w:tc>
          <w:tcPr>
            <w:tcW w:w="924" w:type="dxa"/>
            <w:vAlign w:val="center"/>
          </w:tcPr>
          <w:p>
            <w:pPr>
              <w:pStyle w:val="12"/>
            </w:pPr>
            <w:r>
              <w:t>C99</w:t>
            </w:r>
          </w:p>
        </w:tc>
        <w:tc>
          <w:tcPr>
            <w:tcW w:w="924" w:type="dxa"/>
            <w:vAlign w:val="center"/>
          </w:tcPr>
          <w:p>
            <w:pPr>
              <w:pStyle w:val="13"/>
              <w:rPr>
                <w:rFonts w:hint="eastAsia" w:eastAsia="方正书宋_GBK"/>
                <w:lang w:eastAsia="zh-CN"/>
              </w:rPr>
            </w:pPr>
            <w:r>
              <w:rPr>
                <w:rFonts w:hint="eastAsia"/>
                <w:lang w:eastAsia="zh-CN"/>
              </w:rPr>
              <w:t>项</w:t>
            </w:r>
          </w:p>
        </w:tc>
        <w:tc>
          <w:tcPr>
            <w:tcW w:w="924" w:type="dxa"/>
            <w:vAlign w:val="center"/>
          </w:tcPr>
          <w:p>
            <w:pPr>
              <w:pStyle w:val="11"/>
            </w:pPr>
            <w:r>
              <w:t>1</w:t>
            </w:r>
          </w:p>
        </w:tc>
        <w:tc>
          <w:tcPr>
            <w:tcW w:w="924" w:type="dxa"/>
            <w:vAlign w:val="center"/>
          </w:tcPr>
          <w:p>
            <w:pPr>
              <w:pStyle w:val="11"/>
            </w:pPr>
            <w:r>
              <w:t>32.00</w:t>
            </w:r>
          </w:p>
        </w:tc>
        <w:tc>
          <w:tcPr>
            <w:tcW w:w="924" w:type="dxa"/>
            <w:vAlign w:val="center"/>
          </w:tcPr>
          <w:p>
            <w:pPr>
              <w:pStyle w:val="11"/>
            </w:pPr>
            <w:r>
              <w:t>32.00</w:t>
            </w:r>
          </w:p>
        </w:tc>
        <w:tc>
          <w:tcPr>
            <w:tcW w:w="924" w:type="dxa"/>
            <w:vAlign w:val="center"/>
          </w:tcPr>
          <w:p>
            <w:pPr>
              <w:pStyle w:val="11"/>
            </w:pPr>
            <w:r>
              <w:t>32.00</w:t>
            </w: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r>
              <w:t>32.00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w:t>
      </w:r>
      <w:r>
        <w:rPr>
          <w:rFonts w:hint="eastAsia" w:eastAsia="方正仿宋_GBK" w:cs="Times New Roman"/>
          <w:b w:val="0"/>
          <w:color w:val="000000"/>
          <w:sz w:val="28"/>
          <w:lang w:val="en-US" w:eastAsia="zh-CN"/>
        </w:rPr>
        <w:t>397.95</w:t>
      </w:r>
      <w:r>
        <w:rPr>
          <w:rFonts w:ascii="Times New Roman" w:hAnsi="Times New Roman" w:eastAsia="方正仿宋_GBK" w:cs="Times New Roman"/>
          <w:b w:val="0"/>
          <w:color w:val="000000"/>
          <w:sz w:val="28"/>
        </w:rPr>
        <w:t>万元（详见下表）。本年度拟购置固定资产总额为26.42万元</w:t>
      </w:r>
      <w:r>
        <w:rPr>
          <w:rFonts w:hint="eastAsia" w:eastAsia="方正仿宋_GBK" w:cs="Times New Roman"/>
          <w:b w:val="0"/>
          <w:color w:val="000000"/>
          <w:sz w:val="28"/>
          <w:lang w:val="en-US" w:eastAsia="zh-CN"/>
        </w:rPr>
        <w:t>,包括OA协同联动办公平台及办公电脑</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pPr>
            <w:r>
              <w:t>434隆尧县人民政府办公室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rPr>
                <w:rFonts w:hint="default" w:eastAsia="方正书宋_GBK"/>
                <w:lang w:val="en-US" w:eastAsia="zh-CN"/>
              </w:rPr>
            </w:pPr>
            <w:r>
              <w:rPr>
                <w:rFonts w:hint="eastAsia"/>
                <w:lang w:val="en-US" w:eastAsia="zh-CN"/>
              </w:rPr>
              <w:t>397.95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3"/>
            </w:pPr>
            <w:r>
              <w:t>6162.79</w:t>
            </w:r>
          </w:p>
        </w:tc>
        <w:tc>
          <w:tcPr>
            <w:tcW w:w="4933" w:type="dxa"/>
            <w:vAlign w:val="center"/>
          </w:tcPr>
          <w:p>
            <w:pPr>
              <w:pStyle w:val="11"/>
            </w:pPr>
            <w:r>
              <w:t>176.95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3340</w:t>
            </w:r>
          </w:p>
        </w:tc>
        <w:tc>
          <w:tcPr>
            <w:tcW w:w="4933" w:type="dxa"/>
            <w:vAlign w:val="center"/>
          </w:tcPr>
          <w:p>
            <w:pPr>
              <w:pStyle w:val="11"/>
            </w:pPr>
            <w:r>
              <w:t>101.67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3"/>
            </w:pPr>
            <w:r>
              <w:t>2061</w:t>
            </w:r>
          </w:p>
        </w:tc>
        <w:tc>
          <w:tcPr>
            <w:tcW w:w="4933" w:type="dxa"/>
            <w:vAlign w:val="center"/>
          </w:tcPr>
          <w:p>
            <w:pPr>
              <w:pStyle w:val="11"/>
            </w:pPr>
            <w:r>
              <w:t>205.40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BE1314"/>
    <w:multiLevelType w:val="singleLevel"/>
    <w:tmpl w:val="50BE131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DYwOWI2M2M0ZjlmOTQ2ZDY4ZWVmYjI2MjE1M2E1Y2UifQ=="/>
  </w:docVars>
  <w:rsids>
    <w:rsidRoot w:val="00172A27"/>
    <w:rsid w:val="00EE6D96"/>
    <w:rsid w:val="00FE004B"/>
    <w:rsid w:val="01235103"/>
    <w:rsid w:val="016D2BB6"/>
    <w:rsid w:val="01F55B88"/>
    <w:rsid w:val="024319A3"/>
    <w:rsid w:val="06CC7218"/>
    <w:rsid w:val="07515909"/>
    <w:rsid w:val="090C7B85"/>
    <w:rsid w:val="0B375598"/>
    <w:rsid w:val="11C171E0"/>
    <w:rsid w:val="15391A5F"/>
    <w:rsid w:val="180169EF"/>
    <w:rsid w:val="188D5226"/>
    <w:rsid w:val="190368E7"/>
    <w:rsid w:val="194B0C12"/>
    <w:rsid w:val="1A2067E1"/>
    <w:rsid w:val="1E5A6000"/>
    <w:rsid w:val="21792A60"/>
    <w:rsid w:val="26E3175D"/>
    <w:rsid w:val="273E5B72"/>
    <w:rsid w:val="2B9659FA"/>
    <w:rsid w:val="2FFD3830"/>
    <w:rsid w:val="310F4A30"/>
    <w:rsid w:val="311C4CF7"/>
    <w:rsid w:val="31E047FF"/>
    <w:rsid w:val="33483CCB"/>
    <w:rsid w:val="34794C54"/>
    <w:rsid w:val="35C64569"/>
    <w:rsid w:val="369B2795"/>
    <w:rsid w:val="38165AA2"/>
    <w:rsid w:val="39C43BF3"/>
    <w:rsid w:val="3BBD5453"/>
    <w:rsid w:val="3C14299D"/>
    <w:rsid w:val="3C415D6A"/>
    <w:rsid w:val="3DBB547A"/>
    <w:rsid w:val="3E8916FE"/>
    <w:rsid w:val="3ED323F0"/>
    <w:rsid w:val="3F6E01EF"/>
    <w:rsid w:val="3FFD1F6A"/>
    <w:rsid w:val="41C23E6E"/>
    <w:rsid w:val="442238E0"/>
    <w:rsid w:val="453427F6"/>
    <w:rsid w:val="47944E9E"/>
    <w:rsid w:val="4842641D"/>
    <w:rsid w:val="4A70372C"/>
    <w:rsid w:val="4B446F88"/>
    <w:rsid w:val="4B847D71"/>
    <w:rsid w:val="4C7C5D8B"/>
    <w:rsid w:val="4E04568A"/>
    <w:rsid w:val="4EEE6DF1"/>
    <w:rsid w:val="51193B9B"/>
    <w:rsid w:val="55211BEA"/>
    <w:rsid w:val="58AE7FA4"/>
    <w:rsid w:val="59D71FC1"/>
    <w:rsid w:val="5FBA666C"/>
    <w:rsid w:val="61B3527C"/>
    <w:rsid w:val="63755A13"/>
    <w:rsid w:val="639F66A6"/>
    <w:rsid w:val="643A1700"/>
    <w:rsid w:val="6DA73C10"/>
    <w:rsid w:val="6F2140E1"/>
    <w:rsid w:val="73A81F4C"/>
    <w:rsid w:val="744359CE"/>
    <w:rsid w:val="75B72ACA"/>
    <w:rsid w:val="766C7F70"/>
    <w:rsid w:val="769A577B"/>
    <w:rsid w:val="769B7055"/>
    <w:rsid w:val="78006BAD"/>
    <w:rsid w:val="7F4209AC"/>
    <w:rsid w:val="7FDC3C85"/>
    <w:rsid w:val="7FFE5D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0" w:name="header"/>
    <w:lsdException w:qFormat="1"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0"/>
    <w:pPr>
      <w:tabs>
        <w:tab w:val="center" w:pos="4153"/>
        <w:tab w:val="right" w:pos="8306"/>
      </w:tabs>
      <w:snapToGrid w:val="0"/>
      <w:jc w:val="left"/>
    </w:pPr>
    <w:rPr>
      <w:sz w:val="18"/>
    </w:rPr>
  </w:style>
  <w:style w:type="paragraph" w:styleId="3">
    <w:name w:val="header"/>
    <w:basedOn w:val="1"/>
    <w:semiHidden/>
    <w:unhideWhenUsed/>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8c6ee200-6e56-4c8d-9dd0-f220223ca9fe"/>
    <w:qFormat/>
    <w:uiPriority w:val="0"/>
    <w:rPr>
      <w:rFonts w:ascii="Times New Roman" w:hAnsi="Times New Roman" w:eastAsia="Times New Roman" w:cs="Times New Roman"/>
      <w:sz w:val="24"/>
      <w:szCs w:val="24"/>
      <w:lang w:val="en-US" w:eastAsia="zh-CN" w:bidi="ar-SA"/>
    </w:rPr>
  </w:style>
  <w:style w:type="paragraph" w:customStyle="1" w:styleId="25">
    <w:name w:val="单元格样式1_cf6c126f-2905-463d-9110-6932903aebf7"/>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3bc20f89-955a-4b74-be51-f23f9742779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42bc3220-7462-41f1-8f20-e9e6b7f3e10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90</Pages>
  <Words>23159</Words>
  <Characters>26589</Characters>
  <Lines>0</Lines>
  <Paragraphs>0</Paragraphs>
  <TotalTime>0</TotalTime>
  <ScaleCrop>false</ScaleCrop>
  <LinksUpToDate>false</LinksUpToDate>
  <CharactersWithSpaces>30726</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2022-02-15T18:42:00Z</dcterms:created>
  <dc:creator>Administrator</dc:creator>
  <cp:lastModifiedBy>work</cp:lastModifiedBy>
  <dcterms:modified xsi:type="dcterms:W3CDTF">2025-05-29T17:24:25Z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BF5A0863BABE487AA5BB9AC1D29DA5E0</vt:lpwstr>
  </property>
</Properties>
</file>