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bookmarkStart w:id="1" w:name="_GoBack"/>
      <w:bookmarkEnd w:id="1"/>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方正小标宋简体" w:hAnsi="方正小标宋简体" w:eastAsia="方正小标宋简体" w:cs="方正小标宋简体"/>
          <w:b/>
          <w:color w:val="000000"/>
          <w:sz w:val="52"/>
          <w:szCs w:val="52"/>
        </w:rPr>
      </w:pPr>
      <w:bookmarkStart w:id="0" w:name="_Toc_4_4_0000000019"/>
      <w:r>
        <w:rPr>
          <w:rFonts w:hint="eastAsia" w:ascii="方正小标宋简体" w:hAnsi="方正小标宋简体" w:eastAsia="方正小标宋简体" w:cs="方正小标宋简体"/>
          <w:b/>
          <w:color w:val="000000"/>
          <w:sz w:val="52"/>
          <w:szCs w:val="52"/>
          <w:lang w:eastAsia="zh-CN"/>
        </w:rPr>
        <w:t>隆尧县人民政府办公室</w:t>
      </w:r>
      <w:r>
        <w:rPr>
          <w:rFonts w:hint="eastAsia" w:ascii="方正小标宋简体" w:hAnsi="方正小标宋简体" w:eastAsia="方正小标宋简体" w:cs="方正小标宋简体"/>
          <w:b/>
          <w:color w:val="000000"/>
          <w:sz w:val="52"/>
          <w:szCs w:val="52"/>
        </w:rPr>
        <w:t>2022年</w:t>
      </w:r>
      <w:r>
        <w:rPr>
          <w:rFonts w:hint="eastAsia" w:ascii="方正小标宋简体" w:hAnsi="方正小标宋简体" w:eastAsia="方正小标宋简体" w:cs="方正小标宋简体"/>
          <w:b/>
          <w:color w:val="000000"/>
          <w:sz w:val="52"/>
          <w:szCs w:val="52"/>
          <w:lang w:eastAsia="zh-CN"/>
        </w:rPr>
        <w:t>单位</w:t>
      </w:r>
      <w:r>
        <w:rPr>
          <w:rFonts w:hint="eastAsia" w:ascii="方正小标宋简体" w:hAnsi="方正小标宋简体" w:eastAsia="方正小标宋简体" w:cs="方正小标宋简体"/>
          <w:b/>
          <w:color w:val="000000"/>
          <w:sz w:val="52"/>
          <w:szCs w:val="52"/>
        </w:rPr>
        <w:t>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5"/>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rPr>
          <w:rFonts w:hint="eastAsia"/>
          <w:lang w:eastAsia="zh-CN"/>
        </w:rPr>
        <w:t>单位</w:t>
      </w:r>
      <w:r>
        <w:t>预算收支总表</w:t>
      </w:r>
      <w:r>
        <w:tab/>
      </w:r>
      <w:r>
        <w:rPr>
          <w:rFonts w:hint="eastAsia"/>
          <w:lang w:val="en-US" w:eastAsia="zh-CN"/>
        </w:rPr>
        <w:t>4</w:t>
      </w:r>
      <w:r>
        <w:fldChar w:fldCharType="end"/>
      </w:r>
    </w:p>
    <w:p>
      <w:pPr>
        <w:pStyle w:val="35"/>
        <w:tabs>
          <w:tab w:val="right" w:leader="dot" w:pos="14562"/>
        </w:tabs>
      </w:pPr>
      <w:r>
        <w:fldChar w:fldCharType="begin"/>
      </w:r>
      <w:r>
        <w:instrText xml:space="preserve">HYPERLINK  \l "_Toc_2_2_0000000002" </w:instrText>
      </w:r>
      <w:r>
        <w:fldChar w:fldCharType="separate"/>
      </w:r>
      <w:r>
        <w:rPr>
          <w:rFonts w:hint="eastAsia"/>
          <w:lang w:eastAsia="zh-CN"/>
        </w:rPr>
        <w:t>单位</w:t>
      </w:r>
      <w:r>
        <w:t>预算收入总表</w:t>
      </w:r>
      <w:r>
        <w:tab/>
      </w:r>
      <w:r>
        <w:rPr>
          <w:rFonts w:hint="eastAsia"/>
          <w:lang w:val="en-US" w:eastAsia="zh-CN"/>
        </w:rPr>
        <w:t>7</w:t>
      </w:r>
      <w:r>
        <w:fldChar w:fldCharType="end"/>
      </w:r>
    </w:p>
    <w:p>
      <w:pPr>
        <w:pStyle w:val="35"/>
        <w:tabs>
          <w:tab w:val="right" w:leader="dot" w:pos="14562"/>
        </w:tabs>
        <w:rPr>
          <w:rFonts w:hint="eastAsia" w:eastAsia="方正仿宋_GBK"/>
          <w:lang w:val="en-US" w:eastAsia="zh-CN"/>
        </w:rPr>
      </w:pPr>
      <w:r>
        <w:fldChar w:fldCharType="begin"/>
      </w:r>
      <w:r>
        <w:instrText xml:space="preserve">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2</w:t>
      </w:r>
    </w:p>
    <w:p>
      <w:pPr>
        <w:pStyle w:val="35"/>
        <w:tabs>
          <w:tab w:val="right" w:leader="dot" w:pos="14562"/>
        </w:tabs>
        <w:rPr>
          <w:rFonts w:hint="eastAsia" w:eastAsia="方正仿宋_GBK"/>
          <w:lang w:val="en-US" w:eastAsia="zh-CN"/>
        </w:rPr>
      </w:pPr>
      <w:r>
        <w:fldChar w:fldCharType="begin"/>
      </w:r>
      <w:r>
        <w:instrText xml:space="preserve">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3</w:t>
      </w:r>
    </w:p>
    <w:p>
      <w:pPr>
        <w:pStyle w:val="35"/>
        <w:tabs>
          <w:tab w:val="right" w:leader="dot" w:pos="14562"/>
        </w:tabs>
        <w:rPr>
          <w:rFonts w:hint="eastAsia" w:eastAsia="方正仿宋_GBK"/>
          <w:lang w:val="en-US" w:eastAsia="zh-CN"/>
        </w:rPr>
      </w:pPr>
      <w:r>
        <w:fldChar w:fldCharType="begin"/>
      </w:r>
      <w:r>
        <w:instrText xml:space="preserve">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9</w:t>
      </w:r>
    </w:p>
    <w:p>
      <w:pPr>
        <w:pStyle w:val="35"/>
        <w:tabs>
          <w:tab w:val="right" w:leader="dot" w:pos="14562"/>
        </w:tabs>
        <w:rPr>
          <w:rFonts w:hint="eastAsia" w:eastAsia="方正仿宋_GBK"/>
          <w:lang w:val="en-US" w:eastAsia="zh-CN"/>
        </w:rPr>
      </w:pPr>
      <w:r>
        <w:fldChar w:fldCharType="begin"/>
      </w:r>
      <w:r>
        <w:instrText xml:space="preserve">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1</w:t>
      </w:r>
    </w:p>
    <w:p>
      <w:pPr>
        <w:pStyle w:val="35"/>
        <w:tabs>
          <w:tab w:val="right" w:leader="dot" w:pos="14562"/>
        </w:tabs>
        <w:rPr>
          <w:rFonts w:hint="eastAsia" w:eastAsia="方正仿宋_GBK"/>
          <w:lang w:val="en-US" w:eastAsia="zh-CN"/>
        </w:rPr>
      </w:pPr>
      <w:r>
        <w:fldChar w:fldCharType="begin"/>
      </w:r>
      <w:r>
        <w:instrText xml:space="preserve">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2</w:t>
      </w:r>
      <w:r>
        <w:fldChar w:fldCharType="end"/>
      </w:r>
      <w:r>
        <w:rPr>
          <w:rFonts w:hint="eastAsia"/>
          <w:lang w:val="en-US" w:eastAsia="zh-CN"/>
        </w:rPr>
        <w:t>3</w:t>
      </w:r>
    </w:p>
    <w:p>
      <w:pPr>
        <w:pStyle w:val="35"/>
        <w:tabs>
          <w:tab w:val="right" w:leader="dot" w:pos="14562"/>
        </w:tabs>
        <w:rPr>
          <w:rFonts w:hint="eastAsia" w:eastAsia="方正仿宋_GBK"/>
          <w:lang w:val="en-US" w:eastAsia="zh-CN"/>
        </w:rPr>
      </w:pPr>
      <w:r>
        <w:fldChar w:fldCharType="begin"/>
      </w:r>
      <w:r>
        <w:instrText xml:space="preserve">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2</w:t>
      </w:r>
      <w:r>
        <w:fldChar w:fldCharType="end"/>
      </w:r>
      <w:r>
        <w:fldChar w:fldCharType="end"/>
      </w:r>
      <w:r>
        <w:rPr>
          <w:rFonts w:hint="eastAsia"/>
          <w:lang w:val="en-US" w:eastAsia="zh-CN"/>
        </w:rPr>
        <w:t>4</w:t>
      </w:r>
    </w:p>
    <w:p>
      <w:pPr>
        <w:pStyle w:val="35"/>
        <w:tabs>
          <w:tab w:val="right" w:leader="dot" w:pos="14562"/>
        </w:tabs>
        <w:rPr>
          <w:rFonts w:hint="default" w:eastAsia="方正仿宋_GBK"/>
          <w:lang w:val="en-US" w:eastAsia="zh-CN"/>
        </w:rPr>
      </w:pPr>
      <w:r>
        <w:fldChar w:fldCharType="begin"/>
      </w:r>
      <w:r>
        <w:instrText xml:space="preserve">HYPERLINK  \l "_Toc_2_2_0000000009" </w:instrText>
      </w:r>
      <w:r>
        <w:fldChar w:fldCharType="separate"/>
      </w:r>
      <w:r>
        <w:rPr>
          <w:rFonts w:hint="eastAsia"/>
          <w:lang w:eastAsia="zh-CN"/>
        </w:rPr>
        <w:t>单位</w:t>
      </w:r>
      <w:r>
        <w:t>预算财政拨款“三公”经费支出表</w:t>
      </w:r>
      <w:r>
        <w:tab/>
      </w:r>
      <w:r>
        <w:fldChar w:fldCharType="end"/>
      </w:r>
      <w:r>
        <w:rPr>
          <w:rFonts w:hint="eastAsia"/>
          <w:lang w:val="en-US" w:eastAsia="zh-CN"/>
        </w:rPr>
        <w:t>25</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7</w:t>
      </w:r>
    </w:p>
    <w:p>
      <w:pPr>
        <w:pStyle w:val="35"/>
        <w:tabs>
          <w:tab w:val="right" w:leader="dot" w:pos="14562"/>
        </w:tabs>
        <w:rPr>
          <w:rFonts w:hint="eastAsia" w:eastAsia="方正仿宋_GBK"/>
          <w:lang w:val="en-US" w:eastAsia="zh-CN"/>
        </w:rPr>
      </w:pPr>
      <w:r>
        <w:fldChar w:fldCharType="begin"/>
      </w:r>
      <w:r>
        <w:instrText xml:space="preserve">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9</w:t>
      </w:r>
    </w:p>
    <w:p>
      <w:pPr>
        <w:pStyle w:val="35"/>
        <w:tabs>
          <w:tab w:val="right" w:leader="dot" w:pos="14562"/>
        </w:tabs>
        <w:rPr>
          <w:rFonts w:hint="eastAsia" w:eastAsia="方正仿宋_GBK"/>
          <w:lang w:val="en-US" w:eastAsia="zh-CN"/>
        </w:rPr>
      </w:pPr>
      <w:r>
        <w:fldChar w:fldCharType="begin"/>
      </w:r>
      <w:r>
        <w:instrText xml:space="preserve">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0</w:t>
      </w:r>
    </w:p>
    <w:p>
      <w:pPr>
        <w:pStyle w:val="35"/>
        <w:tabs>
          <w:tab w:val="right" w:leader="dot" w:pos="14562"/>
        </w:tabs>
        <w:rPr>
          <w:rFonts w:hint="eastAsia" w:eastAsia="方正仿宋_GBK"/>
          <w:lang w:val="en-US" w:eastAsia="zh-CN"/>
        </w:rPr>
      </w:pPr>
      <w:r>
        <w:fldChar w:fldCharType="begin"/>
      </w:r>
      <w:r>
        <w:instrText xml:space="preserve">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0</w:t>
      </w:r>
    </w:p>
    <w:p>
      <w:pPr>
        <w:pStyle w:val="35"/>
        <w:tabs>
          <w:tab w:val="right" w:leader="dot" w:pos="14562"/>
        </w:tabs>
        <w:rPr>
          <w:rFonts w:hint="eastAsia" w:eastAsia="方正仿宋_GBK"/>
          <w:lang w:val="en-US" w:eastAsia="zh-CN"/>
        </w:rPr>
      </w:pPr>
      <w:r>
        <w:fldChar w:fldCharType="begin"/>
      </w:r>
      <w:r>
        <w:instrText xml:space="preserve">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1</w:t>
      </w:r>
    </w:p>
    <w:p>
      <w:pPr>
        <w:pStyle w:val="35"/>
        <w:tabs>
          <w:tab w:val="right" w:leader="dot" w:pos="14562"/>
        </w:tabs>
        <w:rPr>
          <w:rFonts w:hint="eastAsia" w:eastAsia="方正仿宋_GBK"/>
          <w:lang w:val="en-US" w:eastAsia="zh-CN"/>
        </w:rPr>
      </w:pPr>
      <w:r>
        <w:fldChar w:fldCharType="begin"/>
      </w:r>
      <w:r>
        <w:instrText xml:space="preserve">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3</w:t>
      </w:r>
    </w:p>
    <w:p>
      <w:pPr>
        <w:pStyle w:val="35"/>
        <w:tabs>
          <w:tab w:val="right" w:leader="dot" w:pos="14562"/>
        </w:tabs>
        <w:rPr>
          <w:rFonts w:hint="eastAsia" w:eastAsia="方正仿宋_GBK"/>
          <w:lang w:val="en-US" w:eastAsia="zh-CN"/>
        </w:rPr>
      </w:pPr>
      <w:r>
        <w:fldChar w:fldCharType="begin"/>
      </w:r>
      <w:r>
        <w:instrText xml:space="preserve">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3</w:t>
      </w:r>
    </w:p>
    <w:p>
      <w:pPr>
        <w:pStyle w:val="35"/>
        <w:tabs>
          <w:tab w:val="right" w:leader="dot" w:pos="14562"/>
        </w:tabs>
        <w:rPr>
          <w:rFonts w:hint="eastAsia" w:eastAsia="方正仿宋_GBK"/>
          <w:lang w:val="en-US" w:eastAsia="zh-CN"/>
        </w:rPr>
      </w:pPr>
      <w:r>
        <w:fldChar w:fldCharType="begin"/>
      </w:r>
      <w:r>
        <w:instrText xml:space="preserve">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4</w:t>
      </w:r>
    </w:p>
    <w:p>
      <w:pPr>
        <w:pStyle w:val="35"/>
        <w:tabs>
          <w:tab w:val="right" w:leader="dot" w:pos="14562"/>
        </w:tabs>
        <w:rPr>
          <w:rFonts w:hint="eastAsia" w:eastAsia="方正仿宋_GBK"/>
          <w:lang w:val="en-US" w:eastAsia="zh-CN"/>
        </w:rPr>
      </w:pPr>
      <w:r>
        <w:fldChar w:fldCharType="begin"/>
      </w:r>
      <w:r>
        <w:instrText xml:space="preserve">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5</w:t>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一、隆尧县人民政府办公室本级收支预算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8"/>
            </w:pPr>
            <w:r>
              <w:t>434001隆尧县人民政府办公室本级</w:t>
            </w:r>
          </w:p>
        </w:tc>
        <w:tc>
          <w:tcPr>
            <w:tcW w:w="8877" w:type="dxa"/>
            <w:gridSpan w:val="3"/>
            <w:tcBorders>
              <w:top w:val="single" w:color="FFFFFF" w:sz="6" w:space="0"/>
              <w:left w:val="single" w:color="FFFFFF" w:sz="6" w:space="0"/>
              <w:right w:val="single" w:color="FFFFFF" w:sz="6" w:space="0"/>
            </w:tcBorders>
            <w:vAlign w:val="center"/>
          </w:tcPr>
          <w:p>
            <w:pPr>
              <w:pStyle w:val="7"/>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vMerge w:val="restart"/>
            <w:vAlign w:val="center"/>
          </w:tcPr>
          <w:p>
            <w:pPr>
              <w:pStyle w:val="9"/>
              <w:ind w:firstLine="1265" w:firstLineChars="600"/>
              <w:jc w:val="both"/>
            </w:pPr>
            <w:r>
              <w:t>序号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vAlign w:val="top"/>
          </w:tcPr>
          <w:p/>
        </w:tc>
        <w:tc>
          <w:tcPr>
            <w:tcW w:w="2959" w:type="dxa"/>
            <w:vAlign w:val="center"/>
          </w:tcPr>
          <w:p>
            <w:pPr>
              <w:pStyle w:val="9"/>
            </w:pPr>
            <w:r>
              <w:t>项  目</w:t>
            </w:r>
          </w:p>
        </w:tc>
        <w:tc>
          <w:tcPr>
            <w:tcW w:w="2959" w:type="dxa"/>
            <w:vAlign w:val="center"/>
          </w:tcPr>
          <w:p>
            <w:pPr>
              <w:pStyle w:val="9"/>
            </w:pPr>
            <w:r>
              <w:t>预算数</w:t>
            </w:r>
          </w:p>
        </w:tc>
        <w:tc>
          <w:tcPr>
            <w:tcW w:w="2959" w:type="dxa"/>
            <w:vAlign w:val="center"/>
          </w:tcPr>
          <w:p>
            <w:pPr>
              <w:pStyle w:val="9"/>
            </w:pPr>
            <w:r>
              <w:t>项  目</w:t>
            </w:r>
          </w:p>
        </w:tc>
        <w:tc>
          <w:tcPr>
            <w:tcW w:w="2959"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9"/>
            </w:pPr>
            <w:r>
              <w:t>栏次</w:t>
            </w:r>
          </w:p>
        </w:tc>
        <w:tc>
          <w:tcPr>
            <w:tcW w:w="2959" w:type="dxa"/>
            <w:vAlign w:val="center"/>
          </w:tcPr>
          <w:p>
            <w:pPr>
              <w:pStyle w:val="9"/>
            </w:pPr>
            <w:r>
              <w:t>1</w:t>
            </w:r>
          </w:p>
        </w:tc>
        <w:tc>
          <w:tcPr>
            <w:tcW w:w="2959" w:type="dxa"/>
            <w:vAlign w:val="center"/>
          </w:tcPr>
          <w:p>
            <w:pPr>
              <w:pStyle w:val="9"/>
            </w:pPr>
            <w:r>
              <w:t>2</w:t>
            </w:r>
          </w:p>
        </w:tc>
        <w:tc>
          <w:tcPr>
            <w:tcW w:w="2959" w:type="dxa"/>
            <w:vAlign w:val="center"/>
          </w:tcPr>
          <w:p>
            <w:pPr>
              <w:pStyle w:val="9"/>
            </w:pPr>
            <w:r>
              <w:t>3</w:t>
            </w:r>
          </w:p>
        </w:tc>
        <w:tc>
          <w:tcPr>
            <w:tcW w:w="2959"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w:t>
            </w:r>
          </w:p>
        </w:tc>
        <w:tc>
          <w:tcPr>
            <w:tcW w:w="2959" w:type="dxa"/>
            <w:vAlign w:val="center"/>
          </w:tcPr>
          <w:p>
            <w:pPr>
              <w:pStyle w:val="11"/>
            </w:pPr>
            <w:r>
              <w:t>一、一般公共预算拨款收入</w:t>
            </w:r>
          </w:p>
        </w:tc>
        <w:tc>
          <w:tcPr>
            <w:tcW w:w="2959" w:type="dxa"/>
            <w:vAlign w:val="center"/>
          </w:tcPr>
          <w:p>
            <w:pPr>
              <w:pStyle w:val="10"/>
            </w:pPr>
            <w:r>
              <w:t>969.25</w:t>
            </w:r>
          </w:p>
        </w:tc>
        <w:tc>
          <w:tcPr>
            <w:tcW w:w="2959" w:type="dxa"/>
            <w:vAlign w:val="center"/>
          </w:tcPr>
          <w:p>
            <w:pPr>
              <w:pStyle w:val="11"/>
            </w:pPr>
            <w:r>
              <w:t>一、一般公共服务支出</w:t>
            </w:r>
          </w:p>
        </w:tc>
        <w:tc>
          <w:tcPr>
            <w:tcW w:w="2959" w:type="dxa"/>
            <w:vAlign w:val="center"/>
          </w:tcPr>
          <w:p>
            <w:pPr>
              <w:pStyle w:val="10"/>
            </w:pPr>
            <w:r>
              <w:t>873.04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w:t>
            </w:r>
          </w:p>
        </w:tc>
        <w:tc>
          <w:tcPr>
            <w:tcW w:w="2959" w:type="dxa"/>
            <w:vAlign w:val="center"/>
          </w:tcPr>
          <w:p>
            <w:pPr>
              <w:pStyle w:val="11"/>
            </w:pPr>
            <w:r>
              <w:t>二、政府性基金预算拨款收入</w:t>
            </w:r>
          </w:p>
        </w:tc>
        <w:tc>
          <w:tcPr>
            <w:tcW w:w="2959" w:type="dxa"/>
            <w:vAlign w:val="center"/>
          </w:tcPr>
          <w:p>
            <w:pPr>
              <w:pStyle w:val="10"/>
            </w:pPr>
          </w:p>
        </w:tc>
        <w:tc>
          <w:tcPr>
            <w:tcW w:w="2959" w:type="dxa"/>
            <w:vAlign w:val="center"/>
          </w:tcPr>
          <w:p>
            <w:pPr>
              <w:pStyle w:val="11"/>
            </w:pPr>
            <w:r>
              <w:t>二、外交支出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3</w:t>
            </w:r>
          </w:p>
        </w:tc>
        <w:tc>
          <w:tcPr>
            <w:tcW w:w="2959" w:type="dxa"/>
            <w:vAlign w:val="center"/>
          </w:tcPr>
          <w:p>
            <w:pPr>
              <w:pStyle w:val="11"/>
            </w:pPr>
            <w:r>
              <w:t>三、国有资本经营预算拨款收入</w:t>
            </w:r>
          </w:p>
        </w:tc>
        <w:tc>
          <w:tcPr>
            <w:tcW w:w="2959" w:type="dxa"/>
            <w:vAlign w:val="center"/>
          </w:tcPr>
          <w:p>
            <w:pPr>
              <w:pStyle w:val="10"/>
            </w:pPr>
          </w:p>
        </w:tc>
        <w:tc>
          <w:tcPr>
            <w:tcW w:w="2959" w:type="dxa"/>
            <w:vAlign w:val="center"/>
          </w:tcPr>
          <w:p>
            <w:pPr>
              <w:pStyle w:val="11"/>
            </w:pPr>
            <w:r>
              <w:t>三、国防支出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4</w:t>
            </w:r>
          </w:p>
        </w:tc>
        <w:tc>
          <w:tcPr>
            <w:tcW w:w="2959" w:type="dxa"/>
            <w:vAlign w:val="center"/>
          </w:tcPr>
          <w:p>
            <w:pPr>
              <w:pStyle w:val="11"/>
            </w:pPr>
            <w:r>
              <w:t>四、财政专户管理资金收入</w:t>
            </w:r>
          </w:p>
        </w:tc>
        <w:tc>
          <w:tcPr>
            <w:tcW w:w="2959" w:type="dxa"/>
            <w:vAlign w:val="center"/>
          </w:tcPr>
          <w:p>
            <w:pPr>
              <w:pStyle w:val="10"/>
            </w:pPr>
          </w:p>
        </w:tc>
        <w:tc>
          <w:tcPr>
            <w:tcW w:w="2959" w:type="dxa"/>
            <w:vAlign w:val="center"/>
          </w:tcPr>
          <w:p>
            <w:pPr>
              <w:pStyle w:val="11"/>
            </w:pPr>
            <w:r>
              <w:t>四、公共安全支出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5</w:t>
            </w:r>
          </w:p>
        </w:tc>
        <w:tc>
          <w:tcPr>
            <w:tcW w:w="2959" w:type="dxa"/>
            <w:vAlign w:val="center"/>
          </w:tcPr>
          <w:p>
            <w:pPr>
              <w:pStyle w:val="11"/>
            </w:pPr>
            <w:r>
              <w:t>五、事业收入</w:t>
            </w:r>
          </w:p>
        </w:tc>
        <w:tc>
          <w:tcPr>
            <w:tcW w:w="2959" w:type="dxa"/>
            <w:vAlign w:val="center"/>
          </w:tcPr>
          <w:p>
            <w:pPr>
              <w:pStyle w:val="10"/>
            </w:pPr>
          </w:p>
        </w:tc>
        <w:tc>
          <w:tcPr>
            <w:tcW w:w="2959" w:type="dxa"/>
            <w:vAlign w:val="center"/>
          </w:tcPr>
          <w:p>
            <w:pPr>
              <w:pStyle w:val="11"/>
            </w:pPr>
            <w:r>
              <w:t>五、教育支出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6</w:t>
            </w:r>
          </w:p>
        </w:tc>
        <w:tc>
          <w:tcPr>
            <w:tcW w:w="2959" w:type="dxa"/>
            <w:vAlign w:val="center"/>
          </w:tcPr>
          <w:p>
            <w:pPr>
              <w:pStyle w:val="11"/>
            </w:pPr>
            <w:r>
              <w:t>六、事业单位经营收入</w:t>
            </w:r>
          </w:p>
        </w:tc>
        <w:tc>
          <w:tcPr>
            <w:tcW w:w="2959" w:type="dxa"/>
            <w:vAlign w:val="center"/>
          </w:tcPr>
          <w:p>
            <w:pPr>
              <w:pStyle w:val="10"/>
            </w:pPr>
          </w:p>
        </w:tc>
        <w:tc>
          <w:tcPr>
            <w:tcW w:w="2959" w:type="dxa"/>
            <w:vAlign w:val="center"/>
          </w:tcPr>
          <w:p>
            <w:pPr>
              <w:pStyle w:val="11"/>
            </w:pPr>
            <w:r>
              <w:t>六、科学技术支出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7</w:t>
            </w:r>
          </w:p>
        </w:tc>
        <w:tc>
          <w:tcPr>
            <w:tcW w:w="2959" w:type="dxa"/>
            <w:vAlign w:val="center"/>
          </w:tcPr>
          <w:p>
            <w:pPr>
              <w:pStyle w:val="11"/>
            </w:pPr>
            <w:r>
              <w:t>七、上级补助收入</w:t>
            </w:r>
          </w:p>
        </w:tc>
        <w:tc>
          <w:tcPr>
            <w:tcW w:w="2959" w:type="dxa"/>
            <w:vAlign w:val="center"/>
          </w:tcPr>
          <w:p>
            <w:pPr>
              <w:pStyle w:val="10"/>
            </w:pPr>
          </w:p>
        </w:tc>
        <w:tc>
          <w:tcPr>
            <w:tcW w:w="2959" w:type="dxa"/>
            <w:vAlign w:val="center"/>
          </w:tcPr>
          <w:p>
            <w:pPr>
              <w:pStyle w:val="11"/>
            </w:pPr>
            <w:r>
              <w:t>七、文化旅游体育与传媒支出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8</w:t>
            </w:r>
          </w:p>
        </w:tc>
        <w:tc>
          <w:tcPr>
            <w:tcW w:w="2959" w:type="dxa"/>
            <w:vAlign w:val="center"/>
          </w:tcPr>
          <w:p>
            <w:pPr>
              <w:pStyle w:val="11"/>
            </w:pPr>
            <w:r>
              <w:t>八、附属单位上缴收入</w:t>
            </w:r>
          </w:p>
        </w:tc>
        <w:tc>
          <w:tcPr>
            <w:tcW w:w="2959" w:type="dxa"/>
            <w:vAlign w:val="center"/>
          </w:tcPr>
          <w:p>
            <w:pPr>
              <w:pStyle w:val="10"/>
            </w:pPr>
          </w:p>
        </w:tc>
        <w:tc>
          <w:tcPr>
            <w:tcW w:w="2959" w:type="dxa"/>
            <w:vAlign w:val="center"/>
          </w:tcPr>
          <w:p>
            <w:pPr>
              <w:pStyle w:val="11"/>
            </w:pPr>
            <w:r>
              <w:t>八、社会保障和就业支出</w:t>
            </w:r>
          </w:p>
        </w:tc>
        <w:tc>
          <w:tcPr>
            <w:tcW w:w="2959" w:type="dxa"/>
            <w:vAlign w:val="center"/>
          </w:tcPr>
          <w:p>
            <w:pPr>
              <w:pStyle w:val="10"/>
            </w:pPr>
            <w:r>
              <w:t>41.55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9</w:t>
            </w:r>
          </w:p>
        </w:tc>
        <w:tc>
          <w:tcPr>
            <w:tcW w:w="2959" w:type="dxa"/>
            <w:vAlign w:val="center"/>
          </w:tcPr>
          <w:p>
            <w:pPr>
              <w:pStyle w:val="11"/>
            </w:pPr>
            <w:r>
              <w:t>九、其他收入</w:t>
            </w:r>
          </w:p>
        </w:tc>
        <w:tc>
          <w:tcPr>
            <w:tcW w:w="2959" w:type="dxa"/>
            <w:vAlign w:val="center"/>
          </w:tcPr>
          <w:p>
            <w:pPr>
              <w:pStyle w:val="10"/>
            </w:pPr>
          </w:p>
        </w:tc>
        <w:tc>
          <w:tcPr>
            <w:tcW w:w="2959" w:type="dxa"/>
            <w:vAlign w:val="center"/>
          </w:tcPr>
          <w:p>
            <w:pPr>
              <w:pStyle w:val="11"/>
            </w:pPr>
            <w:r>
              <w:t>九、社会保险基金支出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10</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十、卫生健康支出</w:t>
            </w:r>
          </w:p>
        </w:tc>
        <w:tc>
          <w:tcPr>
            <w:tcW w:w="2959" w:type="dxa"/>
            <w:vAlign w:val="center"/>
          </w:tcPr>
          <w:p>
            <w:pPr>
              <w:pStyle w:val="10"/>
            </w:pPr>
            <w:r>
              <w:t>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11</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十一、节能环保支出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12</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十二、城乡社区支出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13</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十三、农林水支出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14</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十四、交通运输支出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15</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十五、资源勘探工业信息等支出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16</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十六、商业服务业等支出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17</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十七、金融支出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18</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十八、援助其他地区支出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19</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十九、自然资源海洋气象等支出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20</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二十、住房保障支出</w:t>
            </w:r>
          </w:p>
        </w:tc>
        <w:tc>
          <w:tcPr>
            <w:tcW w:w="2959" w:type="dxa"/>
            <w:vAlign w:val="center"/>
          </w:tcPr>
          <w:p>
            <w:pPr>
              <w:pStyle w:val="10"/>
            </w:pPr>
            <w:r>
              <w:t>35.12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21</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二十一、粮油物资储备支出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22</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二十二、国有资本经营预算支出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23</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二十三、灾害防治及应急管理支出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24</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二十四、预备费</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25</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二十五、其他支出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26</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二十六、年初预留</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27</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二十七、转移性支出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28</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二十八、债务还本支出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29</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二十九、债务付息支出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30</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三十、债务发行费用支出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31</w:t>
            </w:r>
          </w:p>
        </w:tc>
        <w:tc>
          <w:tcPr>
            <w:tcW w:w="2959" w:type="dxa"/>
            <w:vAlign w:val="center"/>
          </w:tcPr>
          <w:p>
            <w:pPr>
              <w:pStyle w:val="11"/>
            </w:pPr>
          </w:p>
        </w:tc>
        <w:tc>
          <w:tcPr>
            <w:tcW w:w="2959" w:type="dxa"/>
            <w:vAlign w:val="center"/>
          </w:tcPr>
          <w:p>
            <w:pPr>
              <w:pStyle w:val="10"/>
            </w:pPr>
          </w:p>
        </w:tc>
        <w:tc>
          <w:tcPr>
            <w:tcW w:w="2959" w:type="dxa"/>
            <w:vAlign w:val="center"/>
          </w:tcPr>
          <w:p>
            <w:pPr>
              <w:pStyle w:val="11"/>
            </w:pPr>
            <w:r>
              <w:t>三十一、抗疫特别国债安排的支出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32</w:t>
            </w:r>
          </w:p>
        </w:tc>
        <w:tc>
          <w:tcPr>
            <w:tcW w:w="2959" w:type="dxa"/>
            <w:vAlign w:val="center"/>
          </w:tcPr>
          <w:p>
            <w:pPr>
              <w:pStyle w:val="13"/>
            </w:pPr>
            <w:r>
              <w:t>本年收入合计</w:t>
            </w:r>
          </w:p>
        </w:tc>
        <w:tc>
          <w:tcPr>
            <w:tcW w:w="2959" w:type="dxa"/>
            <w:vAlign w:val="center"/>
          </w:tcPr>
          <w:p>
            <w:pPr>
              <w:pStyle w:val="14"/>
            </w:pPr>
            <w:r>
              <w:t>969.25</w:t>
            </w:r>
          </w:p>
        </w:tc>
        <w:tc>
          <w:tcPr>
            <w:tcW w:w="2959" w:type="dxa"/>
            <w:vAlign w:val="center"/>
          </w:tcPr>
          <w:p>
            <w:pPr>
              <w:pStyle w:val="13"/>
            </w:pPr>
            <w:r>
              <w:t>本年支出合计</w:t>
            </w:r>
          </w:p>
        </w:tc>
        <w:tc>
          <w:tcPr>
            <w:tcW w:w="2959" w:type="dxa"/>
            <w:vAlign w:val="center"/>
          </w:tcPr>
          <w:p>
            <w:pPr>
              <w:pStyle w:val="14"/>
            </w:pPr>
            <w:r>
              <w:t>969.25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33</w:t>
            </w:r>
          </w:p>
        </w:tc>
        <w:tc>
          <w:tcPr>
            <w:tcW w:w="2959" w:type="dxa"/>
            <w:vAlign w:val="center"/>
          </w:tcPr>
          <w:p>
            <w:pPr>
              <w:pStyle w:val="11"/>
            </w:pPr>
            <w:r>
              <w:t>上年结转结余</w:t>
            </w:r>
          </w:p>
        </w:tc>
        <w:tc>
          <w:tcPr>
            <w:tcW w:w="2959" w:type="dxa"/>
            <w:vAlign w:val="center"/>
          </w:tcPr>
          <w:p>
            <w:pPr>
              <w:pStyle w:val="10"/>
            </w:pPr>
          </w:p>
        </w:tc>
        <w:tc>
          <w:tcPr>
            <w:tcW w:w="2959" w:type="dxa"/>
            <w:vAlign w:val="center"/>
          </w:tcPr>
          <w:p>
            <w:pPr>
              <w:pStyle w:val="11"/>
            </w:pPr>
            <w:r>
              <w:t>年终结转结余</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2"/>
            </w:pPr>
            <w:r>
              <w:t>34</w:t>
            </w:r>
          </w:p>
        </w:tc>
        <w:tc>
          <w:tcPr>
            <w:tcW w:w="2959" w:type="dxa"/>
            <w:vAlign w:val="center"/>
          </w:tcPr>
          <w:p>
            <w:pPr>
              <w:pStyle w:val="13"/>
            </w:pPr>
            <w:r>
              <w:t>收入总计</w:t>
            </w:r>
          </w:p>
        </w:tc>
        <w:tc>
          <w:tcPr>
            <w:tcW w:w="2959" w:type="dxa"/>
            <w:vAlign w:val="center"/>
          </w:tcPr>
          <w:p>
            <w:pPr>
              <w:pStyle w:val="14"/>
            </w:pPr>
            <w:r>
              <w:t>969.25</w:t>
            </w:r>
          </w:p>
        </w:tc>
        <w:tc>
          <w:tcPr>
            <w:tcW w:w="2959" w:type="dxa"/>
            <w:vAlign w:val="center"/>
          </w:tcPr>
          <w:p>
            <w:pPr>
              <w:pStyle w:val="13"/>
            </w:pPr>
            <w:r>
              <w:t>支出总计</w:t>
            </w:r>
          </w:p>
        </w:tc>
        <w:tc>
          <w:tcPr>
            <w:tcW w:w="2959" w:type="dxa"/>
            <w:vAlign w:val="center"/>
          </w:tcPr>
          <w:p>
            <w:pPr>
              <w:pStyle w:val="14"/>
            </w:pPr>
            <w:r>
              <w:t>969.25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4" w:type="dxa"/>
            <w:gridSpan w:val="13"/>
            <w:tcBorders>
              <w:top w:val="single" w:color="FFFFFF" w:sz="6" w:space="0"/>
              <w:left w:val="single" w:color="FFFFFF" w:sz="6" w:space="0"/>
              <w:right w:val="single" w:color="FFFFFF" w:sz="6" w:space="0"/>
            </w:tcBorders>
            <w:vAlign w:val="center"/>
          </w:tcPr>
          <w:p>
            <w:pPr>
              <w:pStyle w:val="8"/>
            </w:pPr>
            <w:r>
              <w:t>434001隆尧县人民政府办公室本级</w:t>
            </w:r>
            <w:r>
              <w:rPr>
                <w:rFonts w:hint="eastAsia"/>
                <w:lang w:val="en-US" w:eastAsia="zh-CN"/>
              </w:rPr>
              <w:t xml:space="preserve">        预算年度：2022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4" w:type="dxa"/>
            <w:gridSpan w:val="3"/>
            <w:vMerge w:val="restart"/>
            <w:vAlign w:val="center"/>
          </w:tcPr>
          <w:p>
            <w:pPr>
              <w:pStyle w:val="9"/>
              <w:tabs>
                <w:tab w:val="left" w:pos="250"/>
                <w:tab w:val="center" w:pos="1089"/>
              </w:tabs>
              <w:jc w:val="left"/>
            </w:pPr>
            <w:r>
              <w:t>序号</w:t>
            </w:r>
          </w:p>
        </w:tc>
        <w:tc>
          <w:tcPr>
            <w:tcW w:w="6822" w:type="dxa"/>
            <w:gridSpan w:val="9"/>
            <w:vMerge w:val="restart"/>
            <w:vAlign w:val="center"/>
          </w:tcPr>
          <w:p>
            <w:pPr>
              <w:pStyle w:val="9"/>
              <w:jc w:val="both"/>
            </w:pPr>
            <w:r>
              <w:t>合计</w:t>
            </w:r>
          </w:p>
        </w:tc>
        <w:tc>
          <w:tcPr>
            <w:tcW w:w="758"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tc>
        <w:tc>
          <w:tcPr>
            <w:tcW w:w="758" w:type="dxa"/>
            <w:vAlign w:val="center"/>
          </w:tcPr>
          <w:p>
            <w:pPr>
              <w:pStyle w:val="9"/>
            </w:pPr>
            <w:r>
              <w:t>科目    编码</w:t>
            </w:r>
          </w:p>
        </w:tc>
        <w:tc>
          <w:tcPr>
            <w:tcW w:w="758" w:type="dxa"/>
            <w:vAlign w:val="center"/>
          </w:tcPr>
          <w:p>
            <w:pPr>
              <w:pStyle w:val="9"/>
            </w:pPr>
            <w:r>
              <w:t>科目名称</w:t>
            </w:r>
          </w:p>
        </w:tc>
        <w:tc>
          <w:tcPr>
            <w:tcW w:w="758" w:type="dxa"/>
            <w:vMerge w:val="continue"/>
            <w:vAlign w:val="top"/>
          </w:tcPr>
          <w:p/>
        </w:tc>
        <w:tc>
          <w:tcPr>
            <w:tcW w:w="758" w:type="dxa"/>
            <w:vAlign w:val="center"/>
          </w:tcPr>
          <w:p>
            <w:pPr>
              <w:pStyle w:val="9"/>
            </w:pPr>
            <w:r>
              <w:t>小计</w:t>
            </w:r>
          </w:p>
        </w:tc>
        <w:tc>
          <w:tcPr>
            <w:tcW w:w="758" w:type="dxa"/>
            <w:vAlign w:val="center"/>
          </w:tcPr>
          <w:p>
            <w:pPr>
              <w:pStyle w:val="9"/>
            </w:pPr>
            <w:r>
              <w:t>财政拨款 收入</w:t>
            </w:r>
          </w:p>
        </w:tc>
        <w:tc>
          <w:tcPr>
            <w:tcW w:w="758" w:type="dxa"/>
            <w:vAlign w:val="center"/>
          </w:tcPr>
          <w:p>
            <w:pPr>
              <w:pStyle w:val="9"/>
            </w:pPr>
            <w:r>
              <w:t>财政专户 收入</w:t>
            </w:r>
          </w:p>
        </w:tc>
        <w:tc>
          <w:tcPr>
            <w:tcW w:w="758" w:type="dxa"/>
            <w:vAlign w:val="center"/>
          </w:tcPr>
          <w:p>
            <w:pPr>
              <w:pStyle w:val="9"/>
            </w:pPr>
            <w:r>
              <w:t>事业收入</w:t>
            </w:r>
          </w:p>
        </w:tc>
        <w:tc>
          <w:tcPr>
            <w:tcW w:w="758" w:type="dxa"/>
            <w:vAlign w:val="center"/>
          </w:tcPr>
          <w:p>
            <w:pPr>
              <w:pStyle w:val="9"/>
            </w:pPr>
            <w:r>
              <w:t>经营收入</w:t>
            </w:r>
          </w:p>
        </w:tc>
        <w:tc>
          <w:tcPr>
            <w:tcW w:w="758" w:type="dxa"/>
            <w:vAlign w:val="center"/>
          </w:tcPr>
          <w:p>
            <w:pPr>
              <w:pStyle w:val="9"/>
            </w:pPr>
            <w:r>
              <w:t>上级补助收入</w:t>
            </w:r>
          </w:p>
        </w:tc>
        <w:tc>
          <w:tcPr>
            <w:tcW w:w="758" w:type="dxa"/>
            <w:vAlign w:val="center"/>
          </w:tcPr>
          <w:p>
            <w:pPr>
              <w:pStyle w:val="9"/>
            </w:pPr>
            <w:r>
              <w:t>附属单位上缴收入</w:t>
            </w:r>
          </w:p>
        </w:tc>
        <w:tc>
          <w:tcPr>
            <w:tcW w:w="758" w:type="dxa"/>
            <w:vAlign w:val="center"/>
          </w:tcPr>
          <w:p>
            <w:pPr>
              <w:pStyle w:val="9"/>
            </w:pPr>
            <w:r>
              <w:t>其他收入</w:t>
            </w:r>
          </w:p>
        </w:tc>
        <w:tc>
          <w:tcPr>
            <w:tcW w:w="758"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9"/>
            </w:pPr>
            <w:r>
              <w:t>栏次</w:t>
            </w:r>
          </w:p>
        </w:tc>
        <w:tc>
          <w:tcPr>
            <w:tcW w:w="758" w:type="dxa"/>
            <w:vAlign w:val="center"/>
          </w:tcPr>
          <w:p>
            <w:pPr>
              <w:pStyle w:val="9"/>
            </w:pPr>
            <w:r>
              <w:t>1</w:t>
            </w:r>
          </w:p>
        </w:tc>
        <w:tc>
          <w:tcPr>
            <w:tcW w:w="758" w:type="dxa"/>
            <w:vAlign w:val="center"/>
          </w:tcPr>
          <w:p>
            <w:pPr>
              <w:pStyle w:val="9"/>
            </w:pPr>
            <w:r>
              <w:t>2</w:t>
            </w:r>
          </w:p>
        </w:tc>
        <w:tc>
          <w:tcPr>
            <w:tcW w:w="758" w:type="dxa"/>
            <w:vAlign w:val="center"/>
          </w:tcPr>
          <w:p>
            <w:pPr>
              <w:pStyle w:val="9"/>
            </w:pPr>
            <w:r>
              <w:t>3</w:t>
            </w:r>
          </w:p>
        </w:tc>
        <w:tc>
          <w:tcPr>
            <w:tcW w:w="758" w:type="dxa"/>
            <w:vAlign w:val="center"/>
          </w:tcPr>
          <w:p>
            <w:pPr>
              <w:pStyle w:val="9"/>
            </w:pPr>
            <w:r>
              <w:t>4</w:t>
            </w:r>
          </w:p>
        </w:tc>
        <w:tc>
          <w:tcPr>
            <w:tcW w:w="758" w:type="dxa"/>
            <w:vAlign w:val="center"/>
          </w:tcPr>
          <w:p>
            <w:pPr>
              <w:pStyle w:val="9"/>
            </w:pPr>
            <w:r>
              <w:t>5</w:t>
            </w:r>
          </w:p>
        </w:tc>
        <w:tc>
          <w:tcPr>
            <w:tcW w:w="758" w:type="dxa"/>
            <w:vAlign w:val="center"/>
          </w:tcPr>
          <w:p>
            <w:pPr>
              <w:pStyle w:val="9"/>
            </w:pPr>
            <w:r>
              <w:t>6</w:t>
            </w:r>
          </w:p>
        </w:tc>
        <w:tc>
          <w:tcPr>
            <w:tcW w:w="758" w:type="dxa"/>
            <w:vAlign w:val="center"/>
          </w:tcPr>
          <w:p>
            <w:pPr>
              <w:pStyle w:val="9"/>
            </w:pPr>
            <w:r>
              <w:t>7</w:t>
            </w:r>
          </w:p>
        </w:tc>
        <w:tc>
          <w:tcPr>
            <w:tcW w:w="758" w:type="dxa"/>
            <w:vAlign w:val="center"/>
          </w:tcPr>
          <w:p>
            <w:pPr>
              <w:pStyle w:val="9"/>
            </w:pPr>
            <w:r>
              <w:t>8</w:t>
            </w:r>
          </w:p>
        </w:tc>
        <w:tc>
          <w:tcPr>
            <w:tcW w:w="758" w:type="dxa"/>
            <w:vAlign w:val="center"/>
          </w:tcPr>
          <w:p>
            <w:pPr>
              <w:pStyle w:val="9"/>
            </w:pPr>
            <w:r>
              <w:t>9</w:t>
            </w:r>
          </w:p>
        </w:tc>
        <w:tc>
          <w:tcPr>
            <w:tcW w:w="758" w:type="dxa"/>
            <w:vAlign w:val="center"/>
          </w:tcPr>
          <w:p>
            <w:pPr>
              <w:pStyle w:val="9"/>
            </w:pPr>
            <w:r>
              <w:t>10</w:t>
            </w:r>
          </w:p>
        </w:tc>
        <w:tc>
          <w:tcPr>
            <w:tcW w:w="758" w:type="dxa"/>
            <w:vAlign w:val="center"/>
          </w:tcPr>
          <w:p>
            <w:pPr>
              <w:pStyle w:val="9"/>
            </w:pPr>
            <w:r>
              <w:t>11</w:t>
            </w:r>
          </w:p>
        </w:tc>
        <w:tc>
          <w:tcPr>
            <w:tcW w:w="758"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w:t>
            </w:r>
          </w:p>
        </w:tc>
        <w:tc>
          <w:tcPr>
            <w:tcW w:w="758" w:type="dxa"/>
            <w:vAlign w:val="center"/>
          </w:tcPr>
          <w:p>
            <w:pPr>
              <w:pStyle w:val="15"/>
            </w:pPr>
          </w:p>
        </w:tc>
        <w:tc>
          <w:tcPr>
            <w:tcW w:w="758" w:type="dxa"/>
            <w:vAlign w:val="center"/>
          </w:tcPr>
          <w:p>
            <w:pPr>
              <w:pStyle w:val="13"/>
            </w:pPr>
            <w:r>
              <w:t>合计</w:t>
            </w:r>
          </w:p>
        </w:tc>
        <w:tc>
          <w:tcPr>
            <w:tcW w:w="758" w:type="dxa"/>
            <w:vAlign w:val="center"/>
          </w:tcPr>
          <w:p>
            <w:pPr>
              <w:pStyle w:val="14"/>
            </w:pPr>
            <w:r>
              <w:t>969.25</w:t>
            </w:r>
          </w:p>
        </w:tc>
        <w:tc>
          <w:tcPr>
            <w:tcW w:w="758" w:type="dxa"/>
            <w:vAlign w:val="center"/>
          </w:tcPr>
          <w:p>
            <w:pPr>
              <w:pStyle w:val="14"/>
            </w:pPr>
            <w:r>
              <w:t>969.25</w:t>
            </w:r>
          </w:p>
        </w:tc>
        <w:tc>
          <w:tcPr>
            <w:tcW w:w="758" w:type="dxa"/>
            <w:vAlign w:val="center"/>
          </w:tcPr>
          <w:p>
            <w:pPr>
              <w:pStyle w:val="14"/>
            </w:pPr>
            <w:r>
              <w:t>969.25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2</w:t>
            </w:r>
          </w:p>
        </w:tc>
        <w:tc>
          <w:tcPr>
            <w:tcW w:w="758" w:type="dxa"/>
            <w:vAlign w:val="center"/>
          </w:tcPr>
          <w:p>
            <w:pPr>
              <w:pStyle w:val="11"/>
            </w:pPr>
            <w:r>
              <w:t>201</w:t>
            </w:r>
          </w:p>
        </w:tc>
        <w:tc>
          <w:tcPr>
            <w:tcW w:w="758" w:type="dxa"/>
            <w:vAlign w:val="center"/>
          </w:tcPr>
          <w:p>
            <w:pPr>
              <w:pStyle w:val="11"/>
            </w:pPr>
            <w:r>
              <w:t>一般公共服务支出</w:t>
            </w:r>
          </w:p>
        </w:tc>
        <w:tc>
          <w:tcPr>
            <w:tcW w:w="758" w:type="dxa"/>
            <w:vAlign w:val="center"/>
          </w:tcPr>
          <w:p>
            <w:pPr>
              <w:pStyle w:val="10"/>
            </w:pPr>
            <w:r>
              <w:t>873.04</w:t>
            </w:r>
          </w:p>
        </w:tc>
        <w:tc>
          <w:tcPr>
            <w:tcW w:w="758" w:type="dxa"/>
            <w:vAlign w:val="center"/>
          </w:tcPr>
          <w:p>
            <w:pPr>
              <w:pStyle w:val="10"/>
            </w:pPr>
            <w:r>
              <w:t>873.04</w:t>
            </w:r>
          </w:p>
        </w:tc>
        <w:tc>
          <w:tcPr>
            <w:tcW w:w="758" w:type="dxa"/>
            <w:vAlign w:val="center"/>
          </w:tcPr>
          <w:p>
            <w:pPr>
              <w:pStyle w:val="10"/>
            </w:pPr>
            <w:r>
              <w:t>873.04</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3</w:t>
            </w:r>
          </w:p>
        </w:tc>
        <w:tc>
          <w:tcPr>
            <w:tcW w:w="758" w:type="dxa"/>
            <w:vAlign w:val="center"/>
          </w:tcPr>
          <w:p>
            <w:pPr>
              <w:pStyle w:val="11"/>
            </w:pPr>
            <w:r>
              <w:t>20103</w:t>
            </w:r>
          </w:p>
        </w:tc>
        <w:tc>
          <w:tcPr>
            <w:tcW w:w="758" w:type="dxa"/>
            <w:vAlign w:val="center"/>
          </w:tcPr>
          <w:p>
            <w:pPr>
              <w:pStyle w:val="11"/>
            </w:pPr>
            <w:r>
              <w:t>政府办公厅（室）及相关机构事务</w:t>
            </w:r>
          </w:p>
        </w:tc>
        <w:tc>
          <w:tcPr>
            <w:tcW w:w="758" w:type="dxa"/>
            <w:vAlign w:val="center"/>
          </w:tcPr>
          <w:p>
            <w:pPr>
              <w:pStyle w:val="10"/>
            </w:pPr>
            <w:r>
              <w:t>873.04</w:t>
            </w:r>
          </w:p>
        </w:tc>
        <w:tc>
          <w:tcPr>
            <w:tcW w:w="758" w:type="dxa"/>
            <w:vAlign w:val="center"/>
          </w:tcPr>
          <w:p>
            <w:pPr>
              <w:pStyle w:val="10"/>
            </w:pPr>
            <w:r>
              <w:t>873.04</w:t>
            </w:r>
          </w:p>
        </w:tc>
        <w:tc>
          <w:tcPr>
            <w:tcW w:w="758" w:type="dxa"/>
            <w:vAlign w:val="center"/>
          </w:tcPr>
          <w:p>
            <w:pPr>
              <w:pStyle w:val="10"/>
            </w:pPr>
            <w:r>
              <w:t>873.04</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4</w:t>
            </w:r>
          </w:p>
        </w:tc>
        <w:tc>
          <w:tcPr>
            <w:tcW w:w="758" w:type="dxa"/>
            <w:vAlign w:val="center"/>
          </w:tcPr>
          <w:p>
            <w:pPr>
              <w:pStyle w:val="11"/>
            </w:pPr>
            <w:r>
              <w:t>2010301</w:t>
            </w:r>
          </w:p>
        </w:tc>
        <w:tc>
          <w:tcPr>
            <w:tcW w:w="758" w:type="dxa"/>
            <w:vAlign w:val="center"/>
          </w:tcPr>
          <w:p>
            <w:pPr>
              <w:pStyle w:val="11"/>
            </w:pPr>
            <w:r>
              <w:t>行政运行</w:t>
            </w:r>
          </w:p>
        </w:tc>
        <w:tc>
          <w:tcPr>
            <w:tcW w:w="758" w:type="dxa"/>
            <w:vAlign w:val="center"/>
          </w:tcPr>
          <w:p>
            <w:pPr>
              <w:pStyle w:val="10"/>
            </w:pPr>
            <w:r>
              <w:t>422.54</w:t>
            </w:r>
          </w:p>
        </w:tc>
        <w:tc>
          <w:tcPr>
            <w:tcW w:w="758" w:type="dxa"/>
            <w:vAlign w:val="center"/>
          </w:tcPr>
          <w:p>
            <w:pPr>
              <w:pStyle w:val="10"/>
            </w:pPr>
            <w:r>
              <w:t>422.54</w:t>
            </w:r>
          </w:p>
        </w:tc>
        <w:tc>
          <w:tcPr>
            <w:tcW w:w="758" w:type="dxa"/>
            <w:vAlign w:val="center"/>
          </w:tcPr>
          <w:p>
            <w:pPr>
              <w:pStyle w:val="10"/>
            </w:pPr>
            <w:r>
              <w:t>422.54</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5</w:t>
            </w:r>
          </w:p>
        </w:tc>
        <w:tc>
          <w:tcPr>
            <w:tcW w:w="758" w:type="dxa"/>
            <w:vAlign w:val="center"/>
          </w:tcPr>
          <w:p>
            <w:pPr>
              <w:pStyle w:val="11"/>
            </w:pPr>
            <w:r>
              <w:t>2010302</w:t>
            </w:r>
          </w:p>
        </w:tc>
        <w:tc>
          <w:tcPr>
            <w:tcW w:w="758" w:type="dxa"/>
            <w:vAlign w:val="center"/>
          </w:tcPr>
          <w:p>
            <w:pPr>
              <w:pStyle w:val="11"/>
            </w:pPr>
            <w:r>
              <w:t>一般行政管理事务</w:t>
            </w:r>
          </w:p>
        </w:tc>
        <w:tc>
          <w:tcPr>
            <w:tcW w:w="758" w:type="dxa"/>
            <w:vAlign w:val="center"/>
          </w:tcPr>
          <w:p>
            <w:pPr>
              <w:pStyle w:val="10"/>
              <w:jc w:val="both"/>
            </w:pPr>
            <w:r>
              <w:t>450.50</w:t>
            </w:r>
          </w:p>
        </w:tc>
        <w:tc>
          <w:tcPr>
            <w:tcW w:w="758" w:type="dxa"/>
            <w:vAlign w:val="center"/>
          </w:tcPr>
          <w:p>
            <w:pPr>
              <w:pStyle w:val="10"/>
            </w:pPr>
            <w:r>
              <w:t>450.50</w:t>
            </w:r>
          </w:p>
        </w:tc>
        <w:tc>
          <w:tcPr>
            <w:tcW w:w="758" w:type="dxa"/>
            <w:vAlign w:val="center"/>
          </w:tcPr>
          <w:p>
            <w:pPr>
              <w:pStyle w:val="10"/>
            </w:pPr>
            <w:r>
              <w:t>450.50</w:t>
            </w:r>
          </w:p>
        </w:tc>
        <w:tc>
          <w:tcPr>
            <w:tcW w:w="758" w:type="dxa"/>
            <w:vAlign w:val="center"/>
          </w:tcPr>
          <w:p>
            <w:pPr>
              <w:pStyle w:val="10"/>
            </w:pPr>
          </w:p>
        </w:tc>
        <w:tc>
          <w:tcPr>
            <w:tcW w:w="758" w:type="dxa"/>
            <w:vAlign w:val="center"/>
          </w:tcPr>
          <w:p>
            <w:pPr>
              <w:pStyle w:val="10"/>
              <w:jc w:val="both"/>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6</w:t>
            </w:r>
          </w:p>
        </w:tc>
        <w:tc>
          <w:tcPr>
            <w:tcW w:w="758" w:type="dxa"/>
            <w:vAlign w:val="center"/>
          </w:tcPr>
          <w:p>
            <w:pPr>
              <w:pStyle w:val="11"/>
            </w:pPr>
            <w:r>
              <w:t>208</w:t>
            </w:r>
          </w:p>
        </w:tc>
        <w:tc>
          <w:tcPr>
            <w:tcW w:w="758" w:type="dxa"/>
            <w:vAlign w:val="center"/>
          </w:tcPr>
          <w:p>
            <w:pPr>
              <w:pStyle w:val="11"/>
            </w:pPr>
            <w:r>
              <w:t>社会保障和就业支出</w:t>
            </w:r>
          </w:p>
        </w:tc>
        <w:tc>
          <w:tcPr>
            <w:tcW w:w="758" w:type="dxa"/>
            <w:vAlign w:val="center"/>
          </w:tcPr>
          <w:p>
            <w:pPr>
              <w:pStyle w:val="10"/>
            </w:pPr>
            <w:r>
              <w:t>41.55</w:t>
            </w:r>
          </w:p>
        </w:tc>
        <w:tc>
          <w:tcPr>
            <w:tcW w:w="758" w:type="dxa"/>
            <w:vAlign w:val="center"/>
          </w:tcPr>
          <w:p>
            <w:pPr>
              <w:pStyle w:val="10"/>
            </w:pPr>
            <w:r>
              <w:t>41.55</w:t>
            </w:r>
          </w:p>
        </w:tc>
        <w:tc>
          <w:tcPr>
            <w:tcW w:w="758" w:type="dxa"/>
            <w:vAlign w:val="center"/>
          </w:tcPr>
          <w:p>
            <w:pPr>
              <w:pStyle w:val="10"/>
            </w:pPr>
            <w:r>
              <w:t>41.55</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7</w:t>
            </w:r>
          </w:p>
        </w:tc>
        <w:tc>
          <w:tcPr>
            <w:tcW w:w="758" w:type="dxa"/>
            <w:vAlign w:val="center"/>
          </w:tcPr>
          <w:p>
            <w:pPr>
              <w:pStyle w:val="11"/>
            </w:pPr>
            <w:r>
              <w:t>20805</w:t>
            </w:r>
          </w:p>
        </w:tc>
        <w:tc>
          <w:tcPr>
            <w:tcW w:w="758" w:type="dxa"/>
            <w:vAlign w:val="center"/>
          </w:tcPr>
          <w:p>
            <w:pPr>
              <w:pStyle w:val="11"/>
            </w:pPr>
            <w:r>
              <w:t>行政事业单位养老支出</w:t>
            </w:r>
          </w:p>
        </w:tc>
        <w:tc>
          <w:tcPr>
            <w:tcW w:w="758" w:type="dxa"/>
            <w:vAlign w:val="center"/>
          </w:tcPr>
          <w:p>
            <w:pPr>
              <w:pStyle w:val="10"/>
            </w:pPr>
            <w:r>
              <w:t>41.55</w:t>
            </w:r>
          </w:p>
        </w:tc>
        <w:tc>
          <w:tcPr>
            <w:tcW w:w="758" w:type="dxa"/>
            <w:vAlign w:val="center"/>
          </w:tcPr>
          <w:p>
            <w:pPr>
              <w:pStyle w:val="10"/>
            </w:pPr>
            <w:r>
              <w:t>41.55</w:t>
            </w:r>
          </w:p>
        </w:tc>
        <w:tc>
          <w:tcPr>
            <w:tcW w:w="758" w:type="dxa"/>
            <w:vAlign w:val="center"/>
          </w:tcPr>
          <w:p>
            <w:pPr>
              <w:pStyle w:val="10"/>
            </w:pPr>
            <w:r>
              <w:t>41.55</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8</w:t>
            </w:r>
          </w:p>
        </w:tc>
        <w:tc>
          <w:tcPr>
            <w:tcW w:w="758" w:type="dxa"/>
            <w:vAlign w:val="center"/>
          </w:tcPr>
          <w:p>
            <w:pPr>
              <w:pStyle w:val="11"/>
            </w:pPr>
            <w:r>
              <w:t>2080505</w:t>
            </w:r>
          </w:p>
        </w:tc>
        <w:tc>
          <w:tcPr>
            <w:tcW w:w="758" w:type="dxa"/>
            <w:vAlign w:val="center"/>
          </w:tcPr>
          <w:p>
            <w:pPr>
              <w:pStyle w:val="11"/>
            </w:pPr>
            <w:r>
              <w:t>机关事业单位基本养老保险缴费支出</w:t>
            </w:r>
          </w:p>
        </w:tc>
        <w:tc>
          <w:tcPr>
            <w:tcW w:w="758" w:type="dxa"/>
            <w:vAlign w:val="center"/>
          </w:tcPr>
          <w:p>
            <w:pPr>
              <w:pStyle w:val="10"/>
            </w:pPr>
            <w:r>
              <w:t>41.55</w:t>
            </w:r>
          </w:p>
        </w:tc>
        <w:tc>
          <w:tcPr>
            <w:tcW w:w="758" w:type="dxa"/>
            <w:vAlign w:val="center"/>
          </w:tcPr>
          <w:p>
            <w:pPr>
              <w:pStyle w:val="10"/>
            </w:pPr>
            <w:r>
              <w:t>41.55</w:t>
            </w:r>
          </w:p>
        </w:tc>
        <w:tc>
          <w:tcPr>
            <w:tcW w:w="758" w:type="dxa"/>
            <w:vAlign w:val="center"/>
          </w:tcPr>
          <w:p>
            <w:pPr>
              <w:pStyle w:val="10"/>
            </w:pPr>
            <w:r>
              <w:t>41.55</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9</w:t>
            </w:r>
          </w:p>
        </w:tc>
        <w:tc>
          <w:tcPr>
            <w:tcW w:w="758" w:type="dxa"/>
            <w:vAlign w:val="center"/>
          </w:tcPr>
          <w:p>
            <w:pPr>
              <w:pStyle w:val="11"/>
            </w:pPr>
            <w:r>
              <w:t>210</w:t>
            </w:r>
          </w:p>
        </w:tc>
        <w:tc>
          <w:tcPr>
            <w:tcW w:w="758" w:type="dxa"/>
            <w:vAlign w:val="center"/>
          </w:tcPr>
          <w:p>
            <w:pPr>
              <w:pStyle w:val="11"/>
            </w:pPr>
            <w:r>
              <w:t>卫生健康支出</w:t>
            </w:r>
          </w:p>
        </w:tc>
        <w:tc>
          <w:tcPr>
            <w:tcW w:w="758" w:type="dxa"/>
            <w:vAlign w:val="center"/>
          </w:tcPr>
          <w:p>
            <w:pPr>
              <w:pStyle w:val="10"/>
            </w:pPr>
            <w:r>
              <w:t>19.53</w:t>
            </w:r>
          </w:p>
        </w:tc>
        <w:tc>
          <w:tcPr>
            <w:tcW w:w="758" w:type="dxa"/>
            <w:vAlign w:val="center"/>
          </w:tcPr>
          <w:p>
            <w:pPr>
              <w:pStyle w:val="10"/>
            </w:pPr>
            <w:r>
              <w:t>19.53</w:t>
            </w:r>
          </w:p>
        </w:tc>
        <w:tc>
          <w:tcPr>
            <w:tcW w:w="758" w:type="dxa"/>
            <w:vAlign w:val="center"/>
          </w:tcPr>
          <w:p>
            <w:pPr>
              <w:pStyle w:val="10"/>
            </w:pPr>
            <w:r>
              <w:t>19.53</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10</w:t>
            </w:r>
          </w:p>
        </w:tc>
        <w:tc>
          <w:tcPr>
            <w:tcW w:w="758" w:type="dxa"/>
            <w:vAlign w:val="center"/>
          </w:tcPr>
          <w:p>
            <w:pPr>
              <w:pStyle w:val="11"/>
            </w:pPr>
            <w:r>
              <w:t>21011</w:t>
            </w:r>
          </w:p>
        </w:tc>
        <w:tc>
          <w:tcPr>
            <w:tcW w:w="758" w:type="dxa"/>
            <w:vAlign w:val="center"/>
          </w:tcPr>
          <w:p>
            <w:pPr>
              <w:pStyle w:val="11"/>
            </w:pPr>
            <w:r>
              <w:t>行政事业单位医疗</w:t>
            </w:r>
          </w:p>
        </w:tc>
        <w:tc>
          <w:tcPr>
            <w:tcW w:w="758" w:type="dxa"/>
            <w:vAlign w:val="center"/>
          </w:tcPr>
          <w:p>
            <w:pPr>
              <w:pStyle w:val="10"/>
            </w:pPr>
            <w:r>
              <w:t>19.53</w:t>
            </w:r>
          </w:p>
        </w:tc>
        <w:tc>
          <w:tcPr>
            <w:tcW w:w="758" w:type="dxa"/>
            <w:vAlign w:val="center"/>
          </w:tcPr>
          <w:p>
            <w:pPr>
              <w:pStyle w:val="10"/>
            </w:pPr>
            <w:r>
              <w:t>19.53</w:t>
            </w:r>
          </w:p>
        </w:tc>
        <w:tc>
          <w:tcPr>
            <w:tcW w:w="758" w:type="dxa"/>
            <w:vAlign w:val="center"/>
          </w:tcPr>
          <w:p>
            <w:pPr>
              <w:pStyle w:val="10"/>
            </w:pPr>
            <w:r>
              <w:t>19.53</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11</w:t>
            </w:r>
          </w:p>
        </w:tc>
        <w:tc>
          <w:tcPr>
            <w:tcW w:w="758" w:type="dxa"/>
            <w:vAlign w:val="center"/>
          </w:tcPr>
          <w:p>
            <w:pPr>
              <w:pStyle w:val="11"/>
            </w:pPr>
            <w:r>
              <w:t>2101101</w:t>
            </w:r>
          </w:p>
        </w:tc>
        <w:tc>
          <w:tcPr>
            <w:tcW w:w="758" w:type="dxa"/>
            <w:vAlign w:val="center"/>
          </w:tcPr>
          <w:p>
            <w:pPr>
              <w:pStyle w:val="11"/>
            </w:pPr>
            <w:r>
              <w:t>行政单位医疗</w:t>
            </w:r>
          </w:p>
        </w:tc>
        <w:tc>
          <w:tcPr>
            <w:tcW w:w="758" w:type="dxa"/>
            <w:vAlign w:val="center"/>
          </w:tcPr>
          <w:p>
            <w:pPr>
              <w:pStyle w:val="10"/>
            </w:pPr>
            <w:r>
              <w:t>19.53</w:t>
            </w:r>
          </w:p>
        </w:tc>
        <w:tc>
          <w:tcPr>
            <w:tcW w:w="758" w:type="dxa"/>
            <w:vAlign w:val="center"/>
          </w:tcPr>
          <w:p>
            <w:pPr>
              <w:pStyle w:val="10"/>
            </w:pPr>
            <w:r>
              <w:t>19.53</w:t>
            </w:r>
          </w:p>
        </w:tc>
        <w:tc>
          <w:tcPr>
            <w:tcW w:w="758" w:type="dxa"/>
            <w:vAlign w:val="center"/>
          </w:tcPr>
          <w:p>
            <w:pPr>
              <w:pStyle w:val="10"/>
            </w:pPr>
            <w:r>
              <w:t>19.53</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12</w:t>
            </w:r>
          </w:p>
        </w:tc>
        <w:tc>
          <w:tcPr>
            <w:tcW w:w="758" w:type="dxa"/>
            <w:vAlign w:val="center"/>
          </w:tcPr>
          <w:p>
            <w:pPr>
              <w:pStyle w:val="11"/>
            </w:pPr>
            <w:r>
              <w:t>221</w:t>
            </w:r>
          </w:p>
        </w:tc>
        <w:tc>
          <w:tcPr>
            <w:tcW w:w="758" w:type="dxa"/>
            <w:vAlign w:val="center"/>
          </w:tcPr>
          <w:p>
            <w:pPr>
              <w:pStyle w:val="11"/>
            </w:pPr>
            <w:r>
              <w:t>住房保障支出</w:t>
            </w:r>
          </w:p>
        </w:tc>
        <w:tc>
          <w:tcPr>
            <w:tcW w:w="758" w:type="dxa"/>
            <w:vAlign w:val="center"/>
          </w:tcPr>
          <w:p>
            <w:pPr>
              <w:pStyle w:val="10"/>
            </w:pPr>
            <w:r>
              <w:t>35.12</w:t>
            </w:r>
          </w:p>
        </w:tc>
        <w:tc>
          <w:tcPr>
            <w:tcW w:w="758" w:type="dxa"/>
            <w:vAlign w:val="center"/>
          </w:tcPr>
          <w:p>
            <w:pPr>
              <w:pStyle w:val="10"/>
            </w:pPr>
            <w:r>
              <w:t>35.12</w:t>
            </w:r>
          </w:p>
        </w:tc>
        <w:tc>
          <w:tcPr>
            <w:tcW w:w="758" w:type="dxa"/>
            <w:vAlign w:val="center"/>
          </w:tcPr>
          <w:p>
            <w:pPr>
              <w:pStyle w:val="10"/>
            </w:pPr>
            <w:r>
              <w:t>35.12</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13</w:t>
            </w:r>
          </w:p>
        </w:tc>
        <w:tc>
          <w:tcPr>
            <w:tcW w:w="758" w:type="dxa"/>
            <w:vAlign w:val="center"/>
          </w:tcPr>
          <w:p>
            <w:pPr>
              <w:pStyle w:val="11"/>
            </w:pPr>
            <w:r>
              <w:t>22102</w:t>
            </w:r>
          </w:p>
        </w:tc>
        <w:tc>
          <w:tcPr>
            <w:tcW w:w="758" w:type="dxa"/>
            <w:vAlign w:val="center"/>
          </w:tcPr>
          <w:p>
            <w:pPr>
              <w:pStyle w:val="11"/>
            </w:pPr>
            <w:r>
              <w:t>住房改革支出</w:t>
            </w:r>
          </w:p>
        </w:tc>
        <w:tc>
          <w:tcPr>
            <w:tcW w:w="758" w:type="dxa"/>
            <w:vAlign w:val="center"/>
          </w:tcPr>
          <w:p>
            <w:pPr>
              <w:pStyle w:val="10"/>
            </w:pPr>
            <w:r>
              <w:t>35.12</w:t>
            </w:r>
          </w:p>
        </w:tc>
        <w:tc>
          <w:tcPr>
            <w:tcW w:w="758" w:type="dxa"/>
            <w:vAlign w:val="center"/>
          </w:tcPr>
          <w:p>
            <w:pPr>
              <w:pStyle w:val="10"/>
            </w:pPr>
            <w:r>
              <w:t>35.12</w:t>
            </w:r>
          </w:p>
        </w:tc>
        <w:tc>
          <w:tcPr>
            <w:tcW w:w="758" w:type="dxa"/>
            <w:vAlign w:val="center"/>
          </w:tcPr>
          <w:p>
            <w:pPr>
              <w:pStyle w:val="10"/>
            </w:pPr>
            <w:r>
              <w:t>35.12</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14</w:t>
            </w:r>
          </w:p>
        </w:tc>
        <w:tc>
          <w:tcPr>
            <w:tcW w:w="758" w:type="dxa"/>
            <w:vAlign w:val="center"/>
          </w:tcPr>
          <w:p>
            <w:pPr>
              <w:pStyle w:val="11"/>
            </w:pPr>
            <w:r>
              <w:t>2210201</w:t>
            </w:r>
          </w:p>
        </w:tc>
        <w:tc>
          <w:tcPr>
            <w:tcW w:w="758" w:type="dxa"/>
            <w:vAlign w:val="center"/>
          </w:tcPr>
          <w:p>
            <w:pPr>
              <w:pStyle w:val="11"/>
            </w:pPr>
            <w:r>
              <w:t>住房公积金</w:t>
            </w:r>
          </w:p>
        </w:tc>
        <w:tc>
          <w:tcPr>
            <w:tcW w:w="758" w:type="dxa"/>
            <w:vAlign w:val="center"/>
          </w:tcPr>
          <w:p>
            <w:pPr>
              <w:pStyle w:val="10"/>
            </w:pPr>
            <w:r>
              <w:t>35.12</w:t>
            </w:r>
          </w:p>
        </w:tc>
        <w:tc>
          <w:tcPr>
            <w:tcW w:w="758" w:type="dxa"/>
            <w:vAlign w:val="center"/>
          </w:tcPr>
          <w:p>
            <w:pPr>
              <w:pStyle w:val="10"/>
            </w:pPr>
            <w:r>
              <w:t>35.12</w:t>
            </w:r>
          </w:p>
        </w:tc>
        <w:tc>
          <w:tcPr>
            <w:tcW w:w="758" w:type="dxa"/>
            <w:vAlign w:val="center"/>
          </w:tcPr>
          <w:p>
            <w:pPr>
              <w:pStyle w:val="10"/>
            </w:pPr>
            <w:r>
              <w:t>35.12</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vAlign w:val="center"/>
          </w:tcPr>
          <w:p>
            <w:pPr>
              <w:pStyle w:val="8"/>
              <w:rPr>
                <w:rFonts w:hint="default" w:eastAsia="方正小标宋_GBK"/>
                <w:lang w:val="en-US" w:eastAsia="zh-CN"/>
              </w:rPr>
            </w:pPr>
            <w:r>
              <w:t>434001隆尧县人民政府办公室本级</w:t>
            </w:r>
            <w:r>
              <w:rPr>
                <w:rFonts w:hint="eastAsia"/>
                <w:lang w:val="en-US" w:eastAsia="zh-CN"/>
              </w:rPr>
              <w:t xml:space="preserve">               </w:t>
            </w:r>
            <w:r>
              <w:rPr>
                <w:rFonts w:hint="eastAsia"/>
                <w:lang w:eastAsia="zh-CN"/>
              </w:rPr>
              <w:t>预算年度：</w:t>
            </w:r>
            <w:r>
              <w:rPr>
                <w:rFonts w:hint="eastAsia"/>
                <w:lang w:val="en-US" w:eastAsia="zh-CN"/>
              </w:rPr>
              <w:t>2022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vMerge w:val="restart"/>
            <w:vAlign w:val="center"/>
          </w:tcPr>
          <w:p>
            <w:pPr>
              <w:pStyle w:val="9"/>
              <w:ind w:firstLine="211" w:firstLineChars="100"/>
              <w:jc w:val="both"/>
            </w:pPr>
            <w:r>
              <w:t>序号</w:t>
            </w:r>
          </w:p>
        </w:tc>
        <w:tc>
          <w:tcPr>
            <w:tcW w:w="1095" w:type="dxa"/>
            <w:vMerge w:val="restart"/>
            <w:vAlign w:val="center"/>
          </w:tcPr>
          <w:p>
            <w:pPr>
              <w:pStyle w:val="9"/>
            </w:pPr>
            <w:r>
              <w:t>合计</w:t>
            </w:r>
          </w:p>
        </w:tc>
        <w:tc>
          <w:tcPr>
            <w:tcW w:w="1095" w:type="dxa"/>
            <w:vMerge w:val="restart"/>
            <w:vAlign w:val="center"/>
          </w:tcPr>
          <w:p>
            <w:pPr>
              <w:pStyle w:val="9"/>
            </w:pPr>
            <w:r>
              <w:t>基本支出</w:t>
            </w:r>
          </w:p>
        </w:tc>
        <w:tc>
          <w:tcPr>
            <w:tcW w:w="1095" w:type="dxa"/>
            <w:vMerge w:val="restart"/>
            <w:vAlign w:val="center"/>
          </w:tcPr>
          <w:p>
            <w:pPr>
              <w:pStyle w:val="9"/>
            </w:pPr>
            <w:r>
              <w:t>项目支出</w:t>
            </w:r>
          </w:p>
        </w:tc>
        <w:tc>
          <w:tcPr>
            <w:tcW w:w="1095" w:type="dxa"/>
            <w:vMerge w:val="restart"/>
            <w:vAlign w:val="center"/>
          </w:tcPr>
          <w:p>
            <w:pPr>
              <w:pStyle w:val="9"/>
            </w:pPr>
            <w:r>
              <w:t>经营支出</w:t>
            </w:r>
          </w:p>
        </w:tc>
        <w:tc>
          <w:tcPr>
            <w:tcW w:w="1095" w:type="dxa"/>
            <w:vMerge w:val="restart"/>
            <w:vAlign w:val="center"/>
          </w:tcPr>
          <w:p>
            <w:pPr>
              <w:pStyle w:val="9"/>
            </w:pPr>
            <w:r>
              <w:t>上解上级     支出</w:t>
            </w:r>
          </w:p>
        </w:tc>
        <w:tc>
          <w:tcPr>
            <w:tcW w:w="1095"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tc>
        <w:tc>
          <w:tcPr>
            <w:tcW w:w="1095" w:type="dxa"/>
            <w:vAlign w:val="center"/>
          </w:tcPr>
          <w:p>
            <w:pPr>
              <w:pStyle w:val="9"/>
            </w:pPr>
            <w:r>
              <w:t>科目    编码</w:t>
            </w:r>
          </w:p>
        </w:tc>
        <w:tc>
          <w:tcPr>
            <w:tcW w:w="1095" w:type="dxa"/>
            <w:vAlign w:val="center"/>
          </w:tcPr>
          <w:p>
            <w:pPr>
              <w:pStyle w:val="9"/>
            </w:pPr>
            <w:r>
              <w:t>科目名称</w:t>
            </w: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9"/>
            </w:pPr>
            <w:r>
              <w:t>栏次</w:t>
            </w:r>
          </w:p>
        </w:tc>
        <w:tc>
          <w:tcPr>
            <w:tcW w:w="1095" w:type="dxa"/>
            <w:vAlign w:val="center"/>
          </w:tcPr>
          <w:p>
            <w:pPr>
              <w:pStyle w:val="9"/>
            </w:pPr>
            <w:r>
              <w:t>1</w:t>
            </w:r>
          </w:p>
        </w:tc>
        <w:tc>
          <w:tcPr>
            <w:tcW w:w="1095" w:type="dxa"/>
            <w:vAlign w:val="center"/>
          </w:tcPr>
          <w:p>
            <w:pPr>
              <w:pStyle w:val="9"/>
            </w:pPr>
            <w:r>
              <w:t>2</w:t>
            </w:r>
          </w:p>
        </w:tc>
        <w:tc>
          <w:tcPr>
            <w:tcW w:w="1095" w:type="dxa"/>
            <w:vAlign w:val="center"/>
          </w:tcPr>
          <w:p>
            <w:pPr>
              <w:pStyle w:val="9"/>
            </w:pPr>
            <w:r>
              <w:t>3</w:t>
            </w:r>
          </w:p>
        </w:tc>
        <w:tc>
          <w:tcPr>
            <w:tcW w:w="1095" w:type="dxa"/>
            <w:vAlign w:val="center"/>
          </w:tcPr>
          <w:p>
            <w:pPr>
              <w:pStyle w:val="9"/>
            </w:pPr>
            <w:r>
              <w:t>4</w:t>
            </w:r>
          </w:p>
        </w:tc>
        <w:tc>
          <w:tcPr>
            <w:tcW w:w="1095" w:type="dxa"/>
            <w:vAlign w:val="center"/>
          </w:tcPr>
          <w:p>
            <w:pPr>
              <w:pStyle w:val="9"/>
            </w:pPr>
            <w:r>
              <w:t>5</w:t>
            </w:r>
          </w:p>
        </w:tc>
        <w:tc>
          <w:tcPr>
            <w:tcW w:w="1095" w:type="dxa"/>
            <w:vAlign w:val="center"/>
          </w:tcPr>
          <w:p>
            <w:pPr>
              <w:pStyle w:val="9"/>
            </w:pPr>
            <w:r>
              <w:t>6</w:t>
            </w:r>
          </w:p>
        </w:tc>
        <w:tc>
          <w:tcPr>
            <w:tcW w:w="1095" w:type="dxa"/>
            <w:vAlign w:val="center"/>
          </w:tcPr>
          <w:p>
            <w:pPr>
              <w:pStyle w:val="9"/>
            </w:pPr>
            <w:r>
              <w:t>7</w:t>
            </w:r>
          </w:p>
        </w:tc>
        <w:tc>
          <w:tcPr>
            <w:tcW w:w="1095"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w:t>
            </w:r>
          </w:p>
        </w:tc>
        <w:tc>
          <w:tcPr>
            <w:tcW w:w="1095" w:type="dxa"/>
            <w:vAlign w:val="center"/>
          </w:tcPr>
          <w:p>
            <w:pPr>
              <w:pStyle w:val="15"/>
            </w:pPr>
          </w:p>
        </w:tc>
        <w:tc>
          <w:tcPr>
            <w:tcW w:w="1095" w:type="dxa"/>
            <w:vAlign w:val="center"/>
          </w:tcPr>
          <w:p>
            <w:pPr>
              <w:pStyle w:val="13"/>
            </w:pPr>
            <w:r>
              <w:t>合计</w:t>
            </w:r>
          </w:p>
        </w:tc>
        <w:tc>
          <w:tcPr>
            <w:tcW w:w="1095" w:type="dxa"/>
            <w:vAlign w:val="center"/>
          </w:tcPr>
          <w:p>
            <w:pPr>
              <w:pStyle w:val="14"/>
            </w:pPr>
            <w:r>
              <w:t>969.25</w:t>
            </w:r>
          </w:p>
        </w:tc>
        <w:tc>
          <w:tcPr>
            <w:tcW w:w="1095" w:type="dxa"/>
            <w:vAlign w:val="center"/>
          </w:tcPr>
          <w:p>
            <w:pPr>
              <w:pStyle w:val="14"/>
            </w:pPr>
            <w:r>
              <w:t>518.75</w:t>
            </w:r>
          </w:p>
        </w:tc>
        <w:tc>
          <w:tcPr>
            <w:tcW w:w="1095" w:type="dxa"/>
            <w:vAlign w:val="center"/>
          </w:tcPr>
          <w:p>
            <w:pPr>
              <w:pStyle w:val="14"/>
            </w:pPr>
            <w:r>
              <w:t>450.50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2</w:t>
            </w:r>
          </w:p>
        </w:tc>
        <w:tc>
          <w:tcPr>
            <w:tcW w:w="1095" w:type="dxa"/>
            <w:vAlign w:val="center"/>
          </w:tcPr>
          <w:p>
            <w:pPr>
              <w:pStyle w:val="11"/>
            </w:pPr>
            <w:r>
              <w:t>201</w:t>
            </w:r>
          </w:p>
        </w:tc>
        <w:tc>
          <w:tcPr>
            <w:tcW w:w="1095" w:type="dxa"/>
            <w:vAlign w:val="center"/>
          </w:tcPr>
          <w:p>
            <w:pPr>
              <w:pStyle w:val="11"/>
            </w:pPr>
            <w:r>
              <w:t>一般公共服务支出</w:t>
            </w:r>
          </w:p>
        </w:tc>
        <w:tc>
          <w:tcPr>
            <w:tcW w:w="1095" w:type="dxa"/>
            <w:vAlign w:val="center"/>
          </w:tcPr>
          <w:p>
            <w:pPr>
              <w:pStyle w:val="10"/>
            </w:pPr>
            <w:r>
              <w:t>873.04</w:t>
            </w:r>
          </w:p>
        </w:tc>
        <w:tc>
          <w:tcPr>
            <w:tcW w:w="1095" w:type="dxa"/>
            <w:vAlign w:val="center"/>
          </w:tcPr>
          <w:p>
            <w:pPr>
              <w:pStyle w:val="10"/>
            </w:pPr>
            <w:r>
              <w:t>422.54</w:t>
            </w:r>
          </w:p>
        </w:tc>
        <w:tc>
          <w:tcPr>
            <w:tcW w:w="1095" w:type="dxa"/>
            <w:vAlign w:val="center"/>
          </w:tcPr>
          <w:p>
            <w:pPr>
              <w:pStyle w:val="10"/>
            </w:pPr>
            <w:r>
              <w:t>450.50</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3</w:t>
            </w:r>
          </w:p>
        </w:tc>
        <w:tc>
          <w:tcPr>
            <w:tcW w:w="1095" w:type="dxa"/>
            <w:vAlign w:val="center"/>
          </w:tcPr>
          <w:p>
            <w:pPr>
              <w:pStyle w:val="11"/>
            </w:pPr>
            <w:r>
              <w:t>20103</w:t>
            </w:r>
          </w:p>
        </w:tc>
        <w:tc>
          <w:tcPr>
            <w:tcW w:w="1095" w:type="dxa"/>
            <w:vAlign w:val="center"/>
          </w:tcPr>
          <w:p>
            <w:pPr>
              <w:pStyle w:val="11"/>
            </w:pPr>
            <w:r>
              <w:t>政府办公厅（室）及相关机构事务</w:t>
            </w:r>
          </w:p>
        </w:tc>
        <w:tc>
          <w:tcPr>
            <w:tcW w:w="1095" w:type="dxa"/>
            <w:vAlign w:val="center"/>
          </w:tcPr>
          <w:p>
            <w:pPr>
              <w:pStyle w:val="10"/>
            </w:pPr>
            <w:r>
              <w:t>873.04</w:t>
            </w:r>
          </w:p>
        </w:tc>
        <w:tc>
          <w:tcPr>
            <w:tcW w:w="1095" w:type="dxa"/>
            <w:vAlign w:val="center"/>
          </w:tcPr>
          <w:p>
            <w:pPr>
              <w:pStyle w:val="10"/>
            </w:pPr>
            <w:r>
              <w:t>422.54</w:t>
            </w:r>
          </w:p>
        </w:tc>
        <w:tc>
          <w:tcPr>
            <w:tcW w:w="1095" w:type="dxa"/>
            <w:vAlign w:val="center"/>
          </w:tcPr>
          <w:p>
            <w:pPr>
              <w:pStyle w:val="10"/>
            </w:pPr>
            <w:r>
              <w:t>450.50</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4</w:t>
            </w:r>
          </w:p>
        </w:tc>
        <w:tc>
          <w:tcPr>
            <w:tcW w:w="1095" w:type="dxa"/>
            <w:vAlign w:val="center"/>
          </w:tcPr>
          <w:p>
            <w:pPr>
              <w:pStyle w:val="11"/>
            </w:pPr>
            <w:r>
              <w:t>2010301</w:t>
            </w:r>
          </w:p>
        </w:tc>
        <w:tc>
          <w:tcPr>
            <w:tcW w:w="1095" w:type="dxa"/>
            <w:vAlign w:val="center"/>
          </w:tcPr>
          <w:p>
            <w:pPr>
              <w:pStyle w:val="11"/>
            </w:pPr>
            <w:r>
              <w:t>行政运行</w:t>
            </w:r>
          </w:p>
        </w:tc>
        <w:tc>
          <w:tcPr>
            <w:tcW w:w="1095" w:type="dxa"/>
            <w:vAlign w:val="center"/>
          </w:tcPr>
          <w:p>
            <w:pPr>
              <w:pStyle w:val="10"/>
            </w:pPr>
            <w:r>
              <w:t>422.54</w:t>
            </w:r>
          </w:p>
        </w:tc>
        <w:tc>
          <w:tcPr>
            <w:tcW w:w="1095" w:type="dxa"/>
            <w:vAlign w:val="center"/>
          </w:tcPr>
          <w:p>
            <w:pPr>
              <w:pStyle w:val="10"/>
            </w:pPr>
            <w:r>
              <w:t>422.54</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5</w:t>
            </w:r>
          </w:p>
        </w:tc>
        <w:tc>
          <w:tcPr>
            <w:tcW w:w="1095" w:type="dxa"/>
            <w:vAlign w:val="center"/>
          </w:tcPr>
          <w:p>
            <w:pPr>
              <w:pStyle w:val="11"/>
            </w:pPr>
            <w:r>
              <w:t>2010302</w:t>
            </w:r>
          </w:p>
        </w:tc>
        <w:tc>
          <w:tcPr>
            <w:tcW w:w="1095" w:type="dxa"/>
            <w:vAlign w:val="center"/>
          </w:tcPr>
          <w:p>
            <w:pPr>
              <w:pStyle w:val="11"/>
            </w:pPr>
            <w:r>
              <w:t>一般行政管理事务</w:t>
            </w:r>
          </w:p>
        </w:tc>
        <w:tc>
          <w:tcPr>
            <w:tcW w:w="1095" w:type="dxa"/>
            <w:vAlign w:val="center"/>
          </w:tcPr>
          <w:p>
            <w:pPr>
              <w:pStyle w:val="10"/>
            </w:pPr>
            <w:r>
              <w:t>450.50</w:t>
            </w:r>
          </w:p>
        </w:tc>
        <w:tc>
          <w:tcPr>
            <w:tcW w:w="1095" w:type="dxa"/>
            <w:vAlign w:val="center"/>
          </w:tcPr>
          <w:p>
            <w:pPr>
              <w:pStyle w:val="10"/>
            </w:pPr>
          </w:p>
        </w:tc>
        <w:tc>
          <w:tcPr>
            <w:tcW w:w="1095" w:type="dxa"/>
            <w:vAlign w:val="center"/>
          </w:tcPr>
          <w:p>
            <w:pPr>
              <w:pStyle w:val="10"/>
            </w:pPr>
            <w:r>
              <w:t>450.50</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6</w:t>
            </w:r>
          </w:p>
        </w:tc>
        <w:tc>
          <w:tcPr>
            <w:tcW w:w="1095" w:type="dxa"/>
            <w:vAlign w:val="center"/>
          </w:tcPr>
          <w:p>
            <w:pPr>
              <w:pStyle w:val="11"/>
            </w:pPr>
            <w:r>
              <w:t>208</w:t>
            </w:r>
          </w:p>
        </w:tc>
        <w:tc>
          <w:tcPr>
            <w:tcW w:w="1095" w:type="dxa"/>
            <w:vAlign w:val="center"/>
          </w:tcPr>
          <w:p>
            <w:pPr>
              <w:pStyle w:val="11"/>
            </w:pPr>
            <w:r>
              <w:t>社会保障和就业支出</w:t>
            </w:r>
          </w:p>
        </w:tc>
        <w:tc>
          <w:tcPr>
            <w:tcW w:w="1095" w:type="dxa"/>
            <w:vAlign w:val="center"/>
          </w:tcPr>
          <w:p>
            <w:pPr>
              <w:pStyle w:val="10"/>
            </w:pPr>
            <w:r>
              <w:t>41.55</w:t>
            </w:r>
          </w:p>
        </w:tc>
        <w:tc>
          <w:tcPr>
            <w:tcW w:w="1095" w:type="dxa"/>
            <w:vAlign w:val="center"/>
          </w:tcPr>
          <w:p>
            <w:pPr>
              <w:pStyle w:val="10"/>
            </w:pPr>
            <w:r>
              <w:t>41.55</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7</w:t>
            </w:r>
          </w:p>
        </w:tc>
        <w:tc>
          <w:tcPr>
            <w:tcW w:w="1095" w:type="dxa"/>
            <w:vAlign w:val="center"/>
          </w:tcPr>
          <w:p>
            <w:pPr>
              <w:pStyle w:val="11"/>
            </w:pPr>
            <w:r>
              <w:t>20805</w:t>
            </w:r>
          </w:p>
        </w:tc>
        <w:tc>
          <w:tcPr>
            <w:tcW w:w="1095" w:type="dxa"/>
            <w:vAlign w:val="center"/>
          </w:tcPr>
          <w:p>
            <w:pPr>
              <w:pStyle w:val="11"/>
            </w:pPr>
            <w:r>
              <w:t>行政事业单位养老支出</w:t>
            </w:r>
          </w:p>
        </w:tc>
        <w:tc>
          <w:tcPr>
            <w:tcW w:w="1095" w:type="dxa"/>
            <w:vAlign w:val="center"/>
          </w:tcPr>
          <w:p>
            <w:pPr>
              <w:pStyle w:val="10"/>
            </w:pPr>
            <w:r>
              <w:t>41.55</w:t>
            </w:r>
          </w:p>
        </w:tc>
        <w:tc>
          <w:tcPr>
            <w:tcW w:w="1095" w:type="dxa"/>
            <w:vAlign w:val="center"/>
          </w:tcPr>
          <w:p>
            <w:pPr>
              <w:pStyle w:val="10"/>
            </w:pPr>
            <w:r>
              <w:t>41.55</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8</w:t>
            </w:r>
          </w:p>
        </w:tc>
        <w:tc>
          <w:tcPr>
            <w:tcW w:w="1095" w:type="dxa"/>
            <w:vAlign w:val="center"/>
          </w:tcPr>
          <w:p>
            <w:pPr>
              <w:pStyle w:val="11"/>
            </w:pPr>
            <w:r>
              <w:t>2080505</w:t>
            </w:r>
          </w:p>
        </w:tc>
        <w:tc>
          <w:tcPr>
            <w:tcW w:w="1095" w:type="dxa"/>
            <w:vAlign w:val="center"/>
          </w:tcPr>
          <w:p>
            <w:pPr>
              <w:pStyle w:val="11"/>
            </w:pPr>
            <w:r>
              <w:t>机关事业单位基本养老保险缴费支出</w:t>
            </w:r>
          </w:p>
        </w:tc>
        <w:tc>
          <w:tcPr>
            <w:tcW w:w="1095" w:type="dxa"/>
            <w:vAlign w:val="center"/>
          </w:tcPr>
          <w:p>
            <w:pPr>
              <w:pStyle w:val="10"/>
            </w:pPr>
            <w:r>
              <w:t>41.55</w:t>
            </w:r>
          </w:p>
        </w:tc>
        <w:tc>
          <w:tcPr>
            <w:tcW w:w="1095" w:type="dxa"/>
            <w:vAlign w:val="center"/>
          </w:tcPr>
          <w:p>
            <w:pPr>
              <w:pStyle w:val="10"/>
            </w:pPr>
            <w:r>
              <w:t>41.55</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9</w:t>
            </w:r>
          </w:p>
        </w:tc>
        <w:tc>
          <w:tcPr>
            <w:tcW w:w="1095" w:type="dxa"/>
            <w:vAlign w:val="center"/>
          </w:tcPr>
          <w:p>
            <w:pPr>
              <w:pStyle w:val="11"/>
            </w:pPr>
            <w:r>
              <w:t>210</w:t>
            </w:r>
          </w:p>
        </w:tc>
        <w:tc>
          <w:tcPr>
            <w:tcW w:w="1095" w:type="dxa"/>
            <w:vAlign w:val="center"/>
          </w:tcPr>
          <w:p>
            <w:pPr>
              <w:pStyle w:val="11"/>
            </w:pPr>
            <w:r>
              <w:t>卫生健康支出</w:t>
            </w:r>
          </w:p>
        </w:tc>
        <w:tc>
          <w:tcPr>
            <w:tcW w:w="1095" w:type="dxa"/>
            <w:vAlign w:val="center"/>
          </w:tcPr>
          <w:p>
            <w:pPr>
              <w:pStyle w:val="10"/>
            </w:pPr>
            <w:r>
              <w:t>19.53</w:t>
            </w:r>
          </w:p>
        </w:tc>
        <w:tc>
          <w:tcPr>
            <w:tcW w:w="1095" w:type="dxa"/>
            <w:vAlign w:val="center"/>
          </w:tcPr>
          <w:p>
            <w:pPr>
              <w:pStyle w:val="10"/>
            </w:pPr>
            <w:r>
              <w:t>19.53</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10</w:t>
            </w:r>
          </w:p>
        </w:tc>
        <w:tc>
          <w:tcPr>
            <w:tcW w:w="1095" w:type="dxa"/>
            <w:vAlign w:val="center"/>
          </w:tcPr>
          <w:p>
            <w:pPr>
              <w:pStyle w:val="11"/>
            </w:pPr>
            <w:r>
              <w:t>21011</w:t>
            </w:r>
          </w:p>
        </w:tc>
        <w:tc>
          <w:tcPr>
            <w:tcW w:w="1095" w:type="dxa"/>
            <w:vAlign w:val="center"/>
          </w:tcPr>
          <w:p>
            <w:pPr>
              <w:pStyle w:val="11"/>
            </w:pPr>
            <w:r>
              <w:t>行政事业单位医疗</w:t>
            </w:r>
          </w:p>
        </w:tc>
        <w:tc>
          <w:tcPr>
            <w:tcW w:w="1095" w:type="dxa"/>
            <w:vAlign w:val="center"/>
          </w:tcPr>
          <w:p>
            <w:pPr>
              <w:pStyle w:val="10"/>
            </w:pPr>
            <w:r>
              <w:t>19.53</w:t>
            </w:r>
          </w:p>
        </w:tc>
        <w:tc>
          <w:tcPr>
            <w:tcW w:w="1095" w:type="dxa"/>
            <w:vAlign w:val="center"/>
          </w:tcPr>
          <w:p>
            <w:pPr>
              <w:pStyle w:val="10"/>
            </w:pPr>
            <w:r>
              <w:t>19.53</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11</w:t>
            </w:r>
          </w:p>
        </w:tc>
        <w:tc>
          <w:tcPr>
            <w:tcW w:w="1095" w:type="dxa"/>
            <w:vAlign w:val="center"/>
          </w:tcPr>
          <w:p>
            <w:pPr>
              <w:pStyle w:val="11"/>
            </w:pPr>
            <w:r>
              <w:t>2101101</w:t>
            </w:r>
          </w:p>
        </w:tc>
        <w:tc>
          <w:tcPr>
            <w:tcW w:w="1095" w:type="dxa"/>
            <w:vAlign w:val="center"/>
          </w:tcPr>
          <w:p>
            <w:pPr>
              <w:pStyle w:val="11"/>
            </w:pPr>
            <w:r>
              <w:t>行政单位医疗</w:t>
            </w:r>
          </w:p>
        </w:tc>
        <w:tc>
          <w:tcPr>
            <w:tcW w:w="1095" w:type="dxa"/>
            <w:vAlign w:val="center"/>
          </w:tcPr>
          <w:p>
            <w:pPr>
              <w:pStyle w:val="10"/>
            </w:pPr>
            <w:r>
              <w:t>19.53</w:t>
            </w:r>
          </w:p>
        </w:tc>
        <w:tc>
          <w:tcPr>
            <w:tcW w:w="1095" w:type="dxa"/>
            <w:vAlign w:val="center"/>
          </w:tcPr>
          <w:p>
            <w:pPr>
              <w:pStyle w:val="10"/>
            </w:pPr>
            <w:r>
              <w:t>19.53</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12</w:t>
            </w:r>
          </w:p>
        </w:tc>
        <w:tc>
          <w:tcPr>
            <w:tcW w:w="1095" w:type="dxa"/>
            <w:vAlign w:val="center"/>
          </w:tcPr>
          <w:p>
            <w:pPr>
              <w:pStyle w:val="11"/>
            </w:pPr>
            <w:r>
              <w:t>221</w:t>
            </w:r>
          </w:p>
        </w:tc>
        <w:tc>
          <w:tcPr>
            <w:tcW w:w="1095" w:type="dxa"/>
            <w:vAlign w:val="center"/>
          </w:tcPr>
          <w:p>
            <w:pPr>
              <w:pStyle w:val="11"/>
            </w:pPr>
            <w:r>
              <w:t>住房保障支出</w:t>
            </w:r>
          </w:p>
        </w:tc>
        <w:tc>
          <w:tcPr>
            <w:tcW w:w="1095" w:type="dxa"/>
            <w:vAlign w:val="center"/>
          </w:tcPr>
          <w:p>
            <w:pPr>
              <w:pStyle w:val="10"/>
            </w:pPr>
            <w:r>
              <w:t>35.12</w:t>
            </w:r>
          </w:p>
        </w:tc>
        <w:tc>
          <w:tcPr>
            <w:tcW w:w="1095" w:type="dxa"/>
            <w:vAlign w:val="center"/>
          </w:tcPr>
          <w:p>
            <w:pPr>
              <w:pStyle w:val="10"/>
            </w:pPr>
            <w:r>
              <w:t>35.12</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13</w:t>
            </w:r>
          </w:p>
        </w:tc>
        <w:tc>
          <w:tcPr>
            <w:tcW w:w="1095" w:type="dxa"/>
            <w:vAlign w:val="center"/>
          </w:tcPr>
          <w:p>
            <w:pPr>
              <w:pStyle w:val="11"/>
            </w:pPr>
            <w:r>
              <w:t>22102</w:t>
            </w:r>
          </w:p>
        </w:tc>
        <w:tc>
          <w:tcPr>
            <w:tcW w:w="1095" w:type="dxa"/>
            <w:vAlign w:val="center"/>
          </w:tcPr>
          <w:p>
            <w:pPr>
              <w:pStyle w:val="11"/>
            </w:pPr>
            <w:r>
              <w:t>住房改革支出</w:t>
            </w:r>
          </w:p>
        </w:tc>
        <w:tc>
          <w:tcPr>
            <w:tcW w:w="1095" w:type="dxa"/>
            <w:vAlign w:val="center"/>
          </w:tcPr>
          <w:p>
            <w:pPr>
              <w:pStyle w:val="10"/>
            </w:pPr>
            <w:r>
              <w:t>35.12</w:t>
            </w:r>
          </w:p>
        </w:tc>
        <w:tc>
          <w:tcPr>
            <w:tcW w:w="1095" w:type="dxa"/>
            <w:vAlign w:val="center"/>
          </w:tcPr>
          <w:p>
            <w:pPr>
              <w:pStyle w:val="10"/>
            </w:pPr>
            <w:r>
              <w:t>35.12</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14</w:t>
            </w:r>
          </w:p>
        </w:tc>
        <w:tc>
          <w:tcPr>
            <w:tcW w:w="1095" w:type="dxa"/>
            <w:vAlign w:val="center"/>
          </w:tcPr>
          <w:p>
            <w:pPr>
              <w:pStyle w:val="11"/>
            </w:pPr>
            <w:r>
              <w:t>2210201</w:t>
            </w:r>
          </w:p>
        </w:tc>
        <w:tc>
          <w:tcPr>
            <w:tcW w:w="1095" w:type="dxa"/>
            <w:vAlign w:val="center"/>
          </w:tcPr>
          <w:p>
            <w:pPr>
              <w:pStyle w:val="11"/>
            </w:pPr>
            <w:r>
              <w:t>住房公积金</w:t>
            </w:r>
          </w:p>
        </w:tc>
        <w:tc>
          <w:tcPr>
            <w:tcW w:w="1095" w:type="dxa"/>
            <w:vAlign w:val="center"/>
          </w:tcPr>
          <w:p>
            <w:pPr>
              <w:pStyle w:val="10"/>
            </w:pPr>
            <w:r>
              <w:t>35.12</w:t>
            </w:r>
          </w:p>
        </w:tc>
        <w:tc>
          <w:tcPr>
            <w:tcW w:w="1095" w:type="dxa"/>
            <w:vAlign w:val="center"/>
          </w:tcPr>
          <w:p>
            <w:pPr>
              <w:pStyle w:val="10"/>
            </w:pPr>
            <w:r>
              <w:t>35.12</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8"/>
            </w:pPr>
            <w:r>
              <w:t>434001隆尧县人民政府办公室本级</w:t>
            </w:r>
          </w:p>
        </w:tc>
        <w:tc>
          <w:tcPr>
            <w:tcW w:w="6160" w:type="dxa"/>
            <w:gridSpan w:val="5"/>
            <w:tcBorders>
              <w:top w:val="single" w:color="FFFFFF" w:sz="6" w:space="0"/>
              <w:left w:val="single" w:color="FFFFFF" w:sz="6" w:space="0"/>
              <w:right w:val="single" w:color="FFFFFF" w:sz="6" w:space="0"/>
            </w:tcBorders>
            <w:vAlign w:val="center"/>
          </w:tcPr>
          <w:p>
            <w:pPr>
              <w:pStyle w:val="7"/>
              <w:ind w:firstLine="480" w:firstLineChars="200"/>
              <w:jc w:val="both"/>
              <w:rPr>
                <w:rFonts w:hint="eastAsia" w:eastAsia="方正小标宋_GBK"/>
                <w:lang w:eastAsia="zh-CN"/>
              </w:rPr>
            </w:pPr>
            <w:r>
              <w:t>预算年度：2022</w:t>
            </w:r>
            <w:r>
              <w:rPr>
                <w:rFonts w:hint="eastAsia"/>
                <w:lang w:val="en-US" w:eastAsia="zh-CN"/>
              </w:rPr>
              <w:t xml:space="preserve">                                  </w:t>
            </w: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vMerge w:val="restart"/>
            <w:vAlign w:val="center"/>
          </w:tcPr>
          <w:p>
            <w:pPr>
              <w:pStyle w:val="9"/>
              <w:ind w:firstLine="211" w:firstLineChars="100"/>
              <w:jc w:val="both"/>
            </w:pPr>
            <w:r>
              <w:t>序号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tc>
        <w:tc>
          <w:tcPr>
            <w:tcW w:w="1232" w:type="dxa"/>
            <w:vAlign w:val="center"/>
          </w:tcPr>
          <w:p>
            <w:pPr>
              <w:pStyle w:val="9"/>
            </w:pPr>
            <w:r>
              <w:t>项  目</w:t>
            </w:r>
          </w:p>
        </w:tc>
        <w:tc>
          <w:tcPr>
            <w:tcW w:w="1232" w:type="dxa"/>
            <w:vAlign w:val="center"/>
          </w:tcPr>
          <w:p>
            <w:pPr>
              <w:pStyle w:val="9"/>
            </w:pPr>
            <w:r>
              <w:t>金额</w:t>
            </w:r>
          </w:p>
        </w:tc>
        <w:tc>
          <w:tcPr>
            <w:tcW w:w="1232" w:type="dxa"/>
            <w:vAlign w:val="center"/>
          </w:tcPr>
          <w:p>
            <w:pPr>
              <w:pStyle w:val="9"/>
            </w:pPr>
            <w:r>
              <w:t>项  目</w:t>
            </w:r>
          </w:p>
        </w:tc>
        <w:tc>
          <w:tcPr>
            <w:tcW w:w="1232" w:type="dxa"/>
            <w:vAlign w:val="center"/>
          </w:tcPr>
          <w:p>
            <w:pPr>
              <w:pStyle w:val="9"/>
            </w:pPr>
            <w:r>
              <w:t>合计</w:t>
            </w:r>
          </w:p>
        </w:tc>
        <w:tc>
          <w:tcPr>
            <w:tcW w:w="1232" w:type="dxa"/>
            <w:vAlign w:val="center"/>
          </w:tcPr>
          <w:p>
            <w:pPr>
              <w:pStyle w:val="9"/>
            </w:pPr>
            <w:r>
              <w:t>一般公共预算财政拨款</w:t>
            </w:r>
          </w:p>
        </w:tc>
        <w:tc>
          <w:tcPr>
            <w:tcW w:w="1232" w:type="dxa"/>
            <w:vAlign w:val="center"/>
          </w:tcPr>
          <w:p>
            <w:pPr>
              <w:pStyle w:val="9"/>
            </w:pPr>
            <w:r>
              <w:t>政府性基金预算财政    拨款</w:t>
            </w:r>
          </w:p>
        </w:tc>
        <w:tc>
          <w:tcPr>
            <w:tcW w:w="1232"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9"/>
            </w:pPr>
            <w:r>
              <w:t>栏次</w:t>
            </w:r>
          </w:p>
        </w:tc>
        <w:tc>
          <w:tcPr>
            <w:tcW w:w="1232" w:type="dxa"/>
            <w:vAlign w:val="center"/>
          </w:tcPr>
          <w:p>
            <w:pPr>
              <w:pStyle w:val="9"/>
            </w:pPr>
            <w:r>
              <w:t>1</w:t>
            </w:r>
          </w:p>
        </w:tc>
        <w:tc>
          <w:tcPr>
            <w:tcW w:w="1232" w:type="dxa"/>
            <w:vAlign w:val="center"/>
          </w:tcPr>
          <w:p>
            <w:pPr>
              <w:pStyle w:val="9"/>
            </w:pPr>
            <w:r>
              <w:t>2</w:t>
            </w:r>
          </w:p>
        </w:tc>
        <w:tc>
          <w:tcPr>
            <w:tcW w:w="1232" w:type="dxa"/>
            <w:vAlign w:val="center"/>
          </w:tcPr>
          <w:p>
            <w:pPr>
              <w:pStyle w:val="9"/>
            </w:pPr>
            <w:r>
              <w:t>3</w:t>
            </w:r>
          </w:p>
        </w:tc>
        <w:tc>
          <w:tcPr>
            <w:tcW w:w="1232" w:type="dxa"/>
            <w:vAlign w:val="center"/>
          </w:tcPr>
          <w:p>
            <w:pPr>
              <w:pStyle w:val="9"/>
            </w:pPr>
            <w:r>
              <w:t>4</w:t>
            </w:r>
          </w:p>
        </w:tc>
        <w:tc>
          <w:tcPr>
            <w:tcW w:w="1232" w:type="dxa"/>
            <w:vAlign w:val="center"/>
          </w:tcPr>
          <w:p>
            <w:pPr>
              <w:pStyle w:val="9"/>
            </w:pPr>
            <w:r>
              <w:t>5</w:t>
            </w:r>
          </w:p>
        </w:tc>
        <w:tc>
          <w:tcPr>
            <w:tcW w:w="1232" w:type="dxa"/>
            <w:vAlign w:val="center"/>
          </w:tcPr>
          <w:p>
            <w:pPr>
              <w:pStyle w:val="9"/>
            </w:pPr>
            <w:r>
              <w:t>6</w:t>
            </w:r>
          </w:p>
        </w:tc>
        <w:tc>
          <w:tcPr>
            <w:tcW w:w="1232"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w:t>
            </w:r>
          </w:p>
        </w:tc>
        <w:tc>
          <w:tcPr>
            <w:tcW w:w="1232" w:type="dxa"/>
            <w:vAlign w:val="center"/>
          </w:tcPr>
          <w:p>
            <w:pPr>
              <w:pStyle w:val="11"/>
            </w:pPr>
            <w:r>
              <w:t>一、一般公共预算拨款</w:t>
            </w:r>
          </w:p>
        </w:tc>
        <w:tc>
          <w:tcPr>
            <w:tcW w:w="1232" w:type="dxa"/>
            <w:vAlign w:val="center"/>
          </w:tcPr>
          <w:p>
            <w:pPr>
              <w:pStyle w:val="10"/>
            </w:pPr>
            <w:r>
              <w:t>969.25</w:t>
            </w:r>
          </w:p>
        </w:tc>
        <w:tc>
          <w:tcPr>
            <w:tcW w:w="1232" w:type="dxa"/>
            <w:vAlign w:val="center"/>
          </w:tcPr>
          <w:p>
            <w:pPr>
              <w:pStyle w:val="11"/>
            </w:pPr>
            <w:r>
              <w:t>一、一般公共服务支出</w:t>
            </w:r>
          </w:p>
        </w:tc>
        <w:tc>
          <w:tcPr>
            <w:tcW w:w="1232" w:type="dxa"/>
            <w:vAlign w:val="center"/>
          </w:tcPr>
          <w:p>
            <w:pPr>
              <w:pStyle w:val="10"/>
            </w:pPr>
            <w:r>
              <w:t>873.04</w:t>
            </w:r>
          </w:p>
        </w:tc>
        <w:tc>
          <w:tcPr>
            <w:tcW w:w="1232" w:type="dxa"/>
            <w:vAlign w:val="center"/>
          </w:tcPr>
          <w:p>
            <w:pPr>
              <w:pStyle w:val="10"/>
            </w:pPr>
            <w:r>
              <w:t>873.04</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w:t>
            </w:r>
          </w:p>
        </w:tc>
        <w:tc>
          <w:tcPr>
            <w:tcW w:w="1232" w:type="dxa"/>
            <w:vAlign w:val="center"/>
          </w:tcPr>
          <w:p>
            <w:pPr>
              <w:pStyle w:val="11"/>
            </w:pPr>
            <w:r>
              <w:t>二、政府性基金预算拨款</w:t>
            </w:r>
          </w:p>
        </w:tc>
        <w:tc>
          <w:tcPr>
            <w:tcW w:w="1232" w:type="dxa"/>
            <w:vAlign w:val="center"/>
          </w:tcPr>
          <w:p>
            <w:pPr>
              <w:pStyle w:val="10"/>
            </w:pPr>
          </w:p>
        </w:tc>
        <w:tc>
          <w:tcPr>
            <w:tcW w:w="1232" w:type="dxa"/>
            <w:vAlign w:val="center"/>
          </w:tcPr>
          <w:p>
            <w:pPr>
              <w:pStyle w:val="11"/>
            </w:pPr>
            <w:r>
              <w:t>二、外交支出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w:t>
            </w:r>
          </w:p>
        </w:tc>
        <w:tc>
          <w:tcPr>
            <w:tcW w:w="1232" w:type="dxa"/>
            <w:vAlign w:val="center"/>
          </w:tcPr>
          <w:p>
            <w:pPr>
              <w:pStyle w:val="11"/>
            </w:pPr>
            <w:r>
              <w:t>三、国有资本经营预算拨款</w:t>
            </w:r>
          </w:p>
        </w:tc>
        <w:tc>
          <w:tcPr>
            <w:tcW w:w="1232" w:type="dxa"/>
            <w:vAlign w:val="center"/>
          </w:tcPr>
          <w:p>
            <w:pPr>
              <w:pStyle w:val="10"/>
            </w:pPr>
          </w:p>
        </w:tc>
        <w:tc>
          <w:tcPr>
            <w:tcW w:w="1232" w:type="dxa"/>
            <w:vAlign w:val="center"/>
          </w:tcPr>
          <w:p>
            <w:pPr>
              <w:pStyle w:val="11"/>
            </w:pPr>
            <w:r>
              <w:t>三、国防支出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4</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四、公共安全支出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5</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五、教育支出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6</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六、科学技术支出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7</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七、文化旅游体育与传媒支出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8</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八、社会保障和就业支出</w:t>
            </w:r>
          </w:p>
        </w:tc>
        <w:tc>
          <w:tcPr>
            <w:tcW w:w="1232" w:type="dxa"/>
            <w:vAlign w:val="center"/>
          </w:tcPr>
          <w:p>
            <w:pPr>
              <w:pStyle w:val="10"/>
            </w:pPr>
            <w:r>
              <w:t>41.55</w:t>
            </w:r>
          </w:p>
        </w:tc>
        <w:tc>
          <w:tcPr>
            <w:tcW w:w="1232" w:type="dxa"/>
            <w:vAlign w:val="center"/>
          </w:tcPr>
          <w:p>
            <w:pPr>
              <w:pStyle w:val="10"/>
            </w:pPr>
            <w:r>
              <w:t>41.55</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9</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九、社会保险基金支出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10</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十、卫生健康支出</w:t>
            </w:r>
          </w:p>
        </w:tc>
        <w:tc>
          <w:tcPr>
            <w:tcW w:w="1232" w:type="dxa"/>
            <w:vAlign w:val="center"/>
          </w:tcPr>
          <w:p>
            <w:pPr>
              <w:pStyle w:val="10"/>
            </w:pPr>
            <w:r>
              <w:t>19.53</w:t>
            </w:r>
          </w:p>
        </w:tc>
        <w:tc>
          <w:tcPr>
            <w:tcW w:w="1232" w:type="dxa"/>
            <w:vAlign w:val="center"/>
          </w:tcPr>
          <w:p>
            <w:pPr>
              <w:pStyle w:val="10"/>
            </w:pPr>
            <w:r>
              <w:t>19.53</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11</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十一、节能环保支出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12</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十二、城乡社区支出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13</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十三、农林水支出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14</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十四、交通运输支出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15</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十五、资源勘探工业信息等支出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16</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十六、商业服务业等支出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17</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十七、金融支出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18</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十八、援助其他地区支出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19</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十九、自然资源海洋气象等支出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20</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二十、住房保障支出</w:t>
            </w:r>
          </w:p>
        </w:tc>
        <w:tc>
          <w:tcPr>
            <w:tcW w:w="1232" w:type="dxa"/>
            <w:vAlign w:val="center"/>
          </w:tcPr>
          <w:p>
            <w:pPr>
              <w:pStyle w:val="10"/>
            </w:pPr>
            <w:r>
              <w:t>35.12</w:t>
            </w:r>
          </w:p>
        </w:tc>
        <w:tc>
          <w:tcPr>
            <w:tcW w:w="1232" w:type="dxa"/>
            <w:vAlign w:val="center"/>
          </w:tcPr>
          <w:p>
            <w:pPr>
              <w:pStyle w:val="10"/>
            </w:pPr>
            <w:r>
              <w:t>35.12</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21</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二十一、粮油物资储备支出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22</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二十二、国有资本经营预算支出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23</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二十三、灾害防治及应急管理支出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24</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二十四、预备费</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25</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二十五、其他支出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26</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二十六、年初预留</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27</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二十七、转移性支出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28</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二十八、债务还本支出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29</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二十九、债务付息支出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30</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三十、债务发行费用支出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31</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r>
              <w:t>三十一、抗疫特别国债安排的支出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32</w:t>
            </w:r>
          </w:p>
        </w:tc>
        <w:tc>
          <w:tcPr>
            <w:tcW w:w="1232" w:type="dxa"/>
            <w:vAlign w:val="center"/>
          </w:tcPr>
          <w:p>
            <w:pPr>
              <w:pStyle w:val="13"/>
            </w:pPr>
            <w:r>
              <w:t>本年收入合计</w:t>
            </w:r>
          </w:p>
        </w:tc>
        <w:tc>
          <w:tcPr>
            <w:tcW w:w="1232" w:type="dxa"/>
            <w:vAlign w:val="center"/>
          </w:tcPr>
          <w:p>
            <w:pPr>
              <w:pStyle w:val="14"/>
            </w:pPr>
            <w:r>
              <w:t>969.25</w:t>
            </w:r>
          </w:p>
        </w:tc>
        <w:tc>
          <w:tcPr>
            <w:tcW w:w="1232" w:type="dxa"/>
            <w:vAlign w:val="center"/>
          </w:tcPr>
          <w:p>
            <w:pPr>
              <w:pStyle w:val="13"/>
            </w:pPr>
            <w:r>
              <w:t>本年支出合计</w:t>
            </w:r>
          </w:p>
        </w:tc>
        <w:tc>
          <w:tcPr>
            <w:tcW w:w="1232" w:type="dxa"/>
            <w:vAlign w:val="center"/>
          </w:tcPr>
          <w:p>
            <w:pPr>
              <w:pStyle w:val="14"/>
            </w:pPr>
            <w:r>
              <w:t>969.25</w:t>
            </w:r>
          </w:p>
        </w:tc>
        <w:tc>
          <w:tcPr>
            <w:tcW w:w="1232" w:type="dxa"/>
            <w:vAlign w:val="center"/>
          </w:tcPr>
          <w:p>
            <w:pPr>
              <w:pStyle w:val="14"/>
            </w:pPr>
            <w:r>
              <w:t>969.25</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33</w:t>
            </w:r>
          </w:p>
        </w:tc>
        <w:tc>
          <w:tcPr>
            <w:tcW w:w="1232" w:type="dxa"/>
            <w:vAlign w:val="center"/>
          </w:tcPr>
          <w:p>
            <w:pPr>
              <w:pStyle w:val="11"/>
            </w:pPr>
            <w:r>
              <w:t>年初财政拨款结转和结余</w:t>
            </w:r>
          </w:p>
        </w:tc>
        <w:tc>
          <w:tcPr>
            <w:tcW w:w="1232" w:type="dxa"/>
            <w:vAlign w:val="center"/>
          </w:tcPr>
          <w:p>
            <w:pPr>
              <w:pStyle w:val="10"/>
            </w:pPr>
          </w:p>
        </w:tc>
        <w:tc>
          <w:tcPr>
            <w:tcW w:w="1232" w:type="dxa"/>
            <w:vAlign w:val="center"/>
          </w:tcPr>
          <w:p>
            <w:pPr>
              <w:pStyle w:val="11"/>
            </w:pPr>
            <w:r>
              <w:t>年末财政拨款结转和结余</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34</w:t>
            </w:r>
          </w:p>
        </w:tc>
        <w:tc>
          <w:tcPr>
            <w:tcW w:w="1232" w:type="dxa"/>
            <w:vAlign w:val="center"/>
          </w:tcPr>
          <w:p>
            <w:pPr>
              <w:pStyle w:val="11"/>
            </w:pPr>
            <w:r>
              <w:t>一、一般公共预算拨款</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35</w:t>
            </w:r>
          </w:p>
        </w:tc>
        <w:tc>
          <w:tcPr>
            <w:tcW w:w="1232" w:type="dxa"/>
            <w:vAlign w:val="center"/>
          </w:tcPr>
          <w:p>
            <w:pPr>
              <w:pStyle w:val="11"/>
            </w:pPr>
            <w:r>
              <w:t>二、政府性基金预算拨款</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36</w:t>
            </w:r>
          </w:p>
        </w:tc>
        <w:tc>
          <w:tcPr>
            <w:tcW w:w="1232" w:type="dxa"/>
            <w:vAlign w:val="center"/>
          </w:tcPr>
          <w:p>
            <w:pPr>
              <w:pStyle w:val="11"/>
            </w:pPr>
            <w:r>
              <w:t>三、国有资本经营预算拨款</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37</w:t>
            </w:r>
          </w:p>
        </w:tc>
        <w:tc>
          <w:tcPr>
            <w:tcW w:w="1232" w:type="dxa"/>
            <w:vAlign w:val="center"/>
          </w:tcPr>
          <w:p>
            <w:pPr>
              <w:pStyle w:val="13"/>
            </w:pPr>
            <w:r>
              <w:t>收入总计</w:t>
            </w:r>
          </w:p>
        </w:tc>
        <w:tc>
          <w:tcPr>
            <w:tcW w:w="1232" w:type="dxa"/>
            <w:vAlign w:val="center"/>
          </w:tcPr>
          <w:p>
            <w:pPr>
              <w:pStyle w:val="14"/>
            </w:pPr>
            <w:r>
              <w:t>969.25</w:t>
            </w:r>
          </w:p>
        </w:tc>
        <w:tc>
          <w:tcPr>
            <w:tcW w:w="1232" w:type="dxa"/>
            <w:vAlign w:val="center"/>
          </w:tcPr>
          <w:p>
            <w:pPr>
              <w:pStyle w:val="13"/>
            </w:pPr>
            <w:r>
              <w:t>支出总计</w:t>
            </w:r>
          </w:p>
        </w:tc>
        <w:tc>
          <w:tcPr>
            <w:tcW w:w="1232" w:type="dxa"/>
            <w:vAlign w:val="center"/>
          </w:tcPr>
          <w:p>
            <w:pPr>
              <w:pStyle w:val="14"/>
            </w:pPr>
            <w:r>
              <w:t>969.25</w:t>
            </w:r>
          </w:p>
        </w:tc>
        <w:tc>
          <w:tcPr>
            <w:tcW w:w="1232" w:type="dxa"/>
            <w:vAlign w:val="center"/>
          </w:tcPr>
          <w:p>
            <w:pPr>
              <w:pStyle w:val="14"/>
            </w:pPr>
            <w:r>
              <w:t>969.25</w:t>
            </w:r>
          </w:p>
        </w:tc>
        <w:tc>
          <w:tcPr>
            <w:tcW w:w="1232" w:type="dxa"/>
            <w:vAlign w:val="center"/>
          </w:tcPr>
          <w:p>
            <w:pPr>
              <w:pStyle w:val="14"/>
            </w:pPr>
          </w:p>
        </w:tc>
        <w:tc>
          <w:tcPr>
            <w:tcW w:w="1232"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434001隆尧县人民政府办公室本级</w:t>
            </w:r>
          </w:p>
        </w:tc>
        <w:tc>
          <w:tcPr>
            <w:tcW w:w="4929" w:type="dxa"/>
            <w:gridSpan w:val="3"/>
            <w:tcBorders>
              <w:top w:val="single" w:color="FFFFFF" w:sz="6" w:space="0"/>
              <w:left w:val="single" w:color="FFFFFF" w:sz="6" w:space="0"/>
              <w:right w:val="single" w:color="FFFFFF" w:sz="6" w:space="0"/>
            </w:tcBorders>
            <w:vAlign w:val="center"/>
          </w:tcPr>
          <w:p>
            <w:pPr>
              <w:pStyle w:val="7"/>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9"/>
              <w:ind w:firstLine="422" w:firstLineChars="200"/>
              <w:jc w:val="both"/>
            </w:pPr>
            <w:r>
              <w:t>序号</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5"/>
            </w:pPr>
          </w:p>
        </w:tc>
        <w:tc>
          <w:tcPr>
            <w:tcW w:w="1643" w:type="dxa"/>
            <w:vAlign w:val="center"/>
          </w:tcPr>
          <w:p>
            <w:pPr>
              <w:pStyle w:val="13"/>
            </w:pPr>
            <w:r>
              <w:t>合计</w:t>
            </w:r>
          </w:p>
        </w:tc>
        <w:tc>
          <w:tcPr>
            <w:tcW w:w="1643" w:type="dxa"/>
            <w:vAlign w:val="center"/>
          </w:tcPr>
          <w:p>
            <w:pPr>
              <w:pStyle w:val="14"/>
            </w:pPr>
            <w:r>
              <w:t>969.25</w:t>
            </w:r>
          </w:p>
        </w:tc>
        <w:tc>
          <w:tcPr>
            <w:tcW w:w="1643" w:type="dxa"/>
            <w:vAlign w:val="center"/>
          </w:tcPr>
          <w:p>
            <w:pPr>
              <w:pStyle w:val="14"/>
            </w:pPr>
            <w:r>
              <w:t>518.75</w:t>
            </w:r>
          </w:p>
        </w:tc>
        <w:tc>
          <w:tcPr>
            <w:tcW w:w="1643" w:type="dxa"/>
            <w:vAlign w:val="center"/>
          </w:tcPr>
          <w:p>
            <w:pPr>
              <w:pStyle w:val="14"/>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1"/>
            </w:pPr>
            <w:r>
              <w:t>201</w:t>
            </w:r>
          </w:p>
        </w:tc>
        <w:tc>
          <w:tcPr>
            <w:tcW w:w="1643" w:type="dxa"/>
            <w:vAlign w:val="center"/>
          </w:tcPr>
          <w:p>
            <w:pPr>
              <w:pStyle w:val="11"/>
            </w:pPr>
            <w:r>
              <w:t>一般公共服务支出</w:t>
            </w:r>
          </w:p>
        </w:tc>
        <w:tc>
          <w:tcPr>
            <w:tcW w:w="1643" w:type="dxa"/>
            <w:vAlign w:val="center"/>
          </w:tcPr>
          <w:p>
            <w:pPr>
              <w:pStyle w:val="10"/>
            </w:pPr>
            <w:r>
              <w:t>873.04</w:t>
            </w:r>
          </w:p>
        </w:tc>
        <w:tc>
          <w:tcPr>
            <w:tcW w:w="1643" w:type="dxa"/>
            <w:vAlign w:val="center"/>
          </w:tcPr>
          <w:p>
            <w:pPr>
              <w:pStyle w:val="10"/>
            </w:pPr>
            <w:r>
              <w:t>422.54</w:t>
            </w:r>
          </w:p>
        </w:tc>
        <w:tc>
          <w:tcPr>
            <w:tcW w:w="1643" w:type="dxa"/>
            <w:vAlign w:val="center"/>
          </w:tcPr>
          <w:p>
            <w:pPr>
              <w:pStyle w:val="10"/>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1"/>
            </w:pPr>
            <w:r>
              <w:t>20103</w:t>
            </w:r>
          </w:p>
        </w:tc>
        <w:tc>
          <w:tcPr>
            <w:tcW w:w="1643" w:type="dxa"/>
            <w:vAlign w:val="center"/>
          </w:tcPr>
          <w:p>
            <w:pPr>
              <w:pStyle w:val="11"/>
            </w:pPr>
            <w:r>
              <w:t>政府办公厅（室）及相关机构事务</w:t>
            </w:r>
          </w:p>
        </w:tc>
        <w:tc>
          <w:tcPr>
            <w:tcW w:w="1643" w:type="dxa"/>
            <w:vAlign w:val="center"/>
          </w:tcPr>
          <w:p>
            <w:pPr>
              <w:pStyle w:val="10"/>
            </w:pPr>
            <w:r>
              <w:t>873.04</w:t>
            </w:r>
          </w:p>
        </w:tc>
        <w:tc>
          <w:tcPr>
            <w:tcW w:w="1643" w:type="dxa"/>
            <w:vAlign w:val="center"/>
          </w:tcPr>
          <w:p>
            <w:pPr>
              <w:pStyle w:val="10"/>
            </w:pPr>
            <w:r>
              <w:t>422.54</w:t>
            </w:r>
          </w:p>
        </w:tc>
        <w:tc>
          <w:tcPr>
            <w:tcW w:w="1643" w:type="dxa"/>
            <w:vAlign w:val="center"/>
          </w:tcPr>
          <w:p>
            <w:pPr>
              <w:pStyle w:val="10"/>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1"/>
            </w:pPr>
            <w:r>
              <w:t>2010301</w:t>
            </w:r>
          </w:p>
        </w:tc>
        <w:tc>
          <w:tcPr>
            <w:tcW w:w="1643" w:type="dxa"/>
            <w:vAlign w:val="center"/>
          </w:tcPr>
          <w:p>
            <w:pPr>
              <w:pStyle w:val="11"/>
            </w:pPr>
            <w:r>
              <w:t>行政运行</w:t>
            </w:r>
          </w:p>
        </w:tc>
        <w:tc>
          <w:tcPr>
            <w:tcW w:w="1643" w:type="dxa"/>
            <w:vAlign w:val="center"/>
          </w:tcPr>
          <w:p>
            <w:pPr>
              <w:pStyle w:val="10"/>
            </w:pPr>
            <w:r>
              <w:t>422.54</w:t>
            </w:r>
          </w:p>
        </w:tc>
        <w:tc>
          <w:tcPr>
            <w:tcW w:w="1643" w:type="dxa"/>
            <w:vAlign w:val="center"/>
          </w:tcPr>
          <w:p>
            <w:pPr>
              <w:pStyle w:val="10"/>
            </w:pPr>
            <w:r>
              <w:t>422.54</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1"/>
            </w:pPr>
            <w:r>
              <w:t>2010302</w:t>
            </w:r>
          </w:p>
        </w:tc>
        <w:tc>
          <w:tcPr>
            <w:tcW w:w="1643" w:type="dxa"/>
            <w:vAlign w:val="center"/>
          </w:tcPr>
          <w:p>
            <w:pPr>
              <w:pStyle w:val="11"/>
            </w:pPr>
            <w:r>
              <w:t>一般行政管理事务</w:t>
            </w:r>
          </w:p>
        </w:tc>
        <w:tc>
          <w:tcPr>
            <w:tcW w:w="1643" w:type="dxa"/>
            <w:vAlign w:val="center"/>
          </w:tcPr>
          <w:p>
            <w:pPr>
              <w:pStyle w:val="10"/>
            </w:pPr>
            <w:r>
              <w:t>450.50</w:t>
            </w:r>
          </w:p>
        </w:tc>
        <w:tc>
          <w:tcPr>
            <w:tcW w:w="1643" w:type="dxa"/>
            <w:vAlign w:val="center"/>
          </w:tcPr>
          <w:p>
            <w:pPr>
              <w:pStyle w:val="10"/>
            </w:pPr>
          </w:p>
        </w:tc>
        <w:tc>
          <w:tcPr>
            <w:tcW w:w="1643" w:type="dxa"/>
            <w:vAlign w:val="center"/>
          </w:tcPr>
          <w:p>
            <w:pPr>
              <w:pStyle w:val="10"/>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1"/>
            </w:pPr>
            <w:r>
              <w:t>208</w:t>
            </w:r>
          </w:p>
        </w:tc>
        <w:tc>
          <w:tcPr>
            <w:tcW w:w="1643" w:type="dxa"/>
            <w:vAlign w:val="center"/>
          </w:tcPr>
          <w:p>
            <w:pPr>
              <w:pStyle w:val="11"/>
            </w:pPr>
            <w:r>
              <w:t>社会保障和就业支出</w:t>
            </w:r>
          </w:p>
        </w:tc>
        <w:tc>
          <w:tcPr>
            <w:tcW w:w="1643" w:type="dxa"/>
            <w:vAlign w:val="center"/>
          </w:tcPr>
          <w:p>
            <w:pPr>
              <w:pStyle w:val="10"/>
            </w:pPr>
            <w:r>
              <w:t>41.55</w:t>
            </w:r>
          </w:p>
        </w:tc>
        <w:tc>
          <w:tcPr>
            <w:tcW w:w="1643" w:type="dxa"/>
            <w:vAlign w:val="center"/>
          </w:tcPr>
          <w:p>
            <w:pPr>
              <w:pStyle w:val="10"/>
            </w:pPr>
            <w:r>
              <w:t>41.55</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1"/>
            </w:pPr>
            <w:r>
              <w:t>20805</w:t>
            </w:r>
          </w:p>
        </w:tc>
        <w:tc>
          <w:tcPr>
            <w:tcW w:w="1643" w:type="dxa"/>
            <w:vAlign w:val="center"/>
          </w:tcPr>
          <w:p>
            <w:pPr>
              <w:pStyle w:val="11"/>
            </w:pPr>
            <w:r>
              <w:t>行政事业单位养老支出</w:t>
            </w:r>
          </w:p>
        </w:tc>
        <w:tc>
          <w:tcPr>
            <w:tcW w:w="1643" w:type="dxa"/>
            <w:vAlign w:val="center"/>
          </w:tcPr>
          <w:p>
            <w:pPr>
              <w:pStyle w:val="10"/>
            </w:pPr>
            <w:r>
              <w:t>41.55</w:t>
            </w:r>
          </w:p>
        </w:tc>
        <w:tc>
          <w:tcPr>
            <w:tcW w:w="1643" w:type="dxa"/>
            <w:vAlign w:val="center"/>
          </w:tcPr>
          <w:p>
            <w:pPr>
              <w:pStyle w:val="10"/>
            </w:pPr>
            <w:r>
              <w:t>41.55</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1"/>
            </w:pPr>
            <w:r>
              <w:t>2080505</w:t>
            </w:r>
          </w:p>
        </w:tc>
        <w:tc>
          <w:tcPr>
            <w:tcW w:w="1643" w:type="dxa"/>
            <w:vAlign w:val="center"/>
          </w:tcPr>
          <w:p>
            <w:pPr>
              <w:pStyle w:val="11"/>
            </w:pPr>
            <w:r>
              <w:t>机关事业单位基本养老保险缴费支出</w:t>
            </w:r>
          </w:p>
        </w:tc>
        <w:tc>
          <w:tcPr>
            <w:tcW w:w="1643" w:type="dxa"/>
            <w:vAlign w:val="center"/>
          </w:tcPr>
          <w:p>
            <w:pPr>
              <w:pStyle w:val="10"/>
            </w:pPr>
            <w:r>
              <w:t>41.55</w:t>
            </w:r>
          </w:p>
        </w:tc>
        <w:tc>
          <w:tcPr>
            <w:tcW w:w="1643" w:type="dxa"/>
            <w:vAlign w:val="center"/>
          </w:tcPr>
          <w:p>
            <w:pPr>
              <w:pStyle w:val="10"/>
            </w:pPr>
            <w:r>
              <w:t>41.55</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1"/>
            </w:pPr>
            <w:r>
              <w:t>210</w:t>
            </w:r>
          </w:p>
        </w:tc>
        <w:tc>
          <w:tcPr>
            <w:tcW w:w="1643" w:type="dxa"/>
            <w:vAlign w:val="center"/>
          </w:tcPr>
          <w:p>
            <w:pPr>
              <w:pStyle w:val="11"/>
            </w:pPr>
            <w:r>
              <w:t>卫生健康支出</w:t>
            </w:r>
          </w:p>
        </w:tc>
        <w:tc>
          <w:tcPr>
            <w:tcW w:w="1643" w:type="dxa"/>
            <w:vAlign w:val="center"/>
          </w:tcPr>
          <w:p>
            <w:pPr>
              <w:pStyle w:val="10"/>
            </w:pPr>
            <w:r>
              <w:t>19.53</w:t>
            </w:r>
          </w:p>
        </w:tc>
        <w:tc>
          <w:tcPr>
            <w:tcW w:w="1643" w:type="dxa"/>
            <w:vAlign w:val="center"/>
          </w:tcPr>
          <w:p>
            <w:pPr>
              <w:pStyle w:val="10"/>
            </w:pPr>
            <w:r>
              <w:t>19.53</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1"/>
            </w:pPr>
            <w:r>
              <w:t>21011</w:t>
            </w:r>
          </w:p>
        </w:tc>
        <w:tc>
          <w:tcPr>
            <w:tcW w:w="1643" w:type="dxa"/>
            <w:vAlign w:val="center"/>
          </w:tcPr>
          <w:p>
            <w:pPr>
              <w:pStyle w:val="11"/>
            </w:pPr>
            <w:r>
              <w:t>行政事业单位医疗</w:t>
            </w:r>
          </w:p>
        </w:tc>
        <w:tc>
          <w:tcPr>
            <w:tcW w:w="1643" w:type="dxa"/>
            <w:vAlign w:val="center"/>
          </w:tcPr>
          <w:p>
            <w:pPr>
              <w:pStyle w:val="10"/>
            </w:pPr>
            <w:r>
              <w:t>19.53</w:t>
            </w:r>
          </w:p>
        </w:tc>
        <w:tc>
          <w:tcPr>
            <w:tcW w:w="1643" w:type="dxa"/>
            <w:vAlign w:val="center"/>
          </w:tcPr>
          <w:p>
            <w:pPr>
              <w:pStyle w:val="10"/>
            </w:pPr>
            <w:r>
              <w:t>19.53</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1"/>
            </w:pPr>
            <w:r>
              <w:t>2101101</w:t>
            </w:r>
          </w:p>
        </w:tc>
        <w:tc>
          <w:tcPr>
            <w:tcW w:w="1643" w:type="dxa"/>
            <w:vAlign w:val="center"/>
          </w:tcPr>
          <w:p>
            <w:pPr>
              <w:pStyle w:val="11"/>
            </w:pPr>
            <w:r>
              <w:t>行政单位医疗</w:t>
            </w:r>
          </w:p>
        </w:tc>
        <w:tc>
          <w:tcPr>
            <w:tcW w:w="1643" w:type="dxa"/>
            <w:vAlign w:val="center"/>
          </w:tcPr>
          <w:p>
            <w:pPr>
              <w:pStyle w:val="10"/>
            </w:pPr>
            <w:r>
              <w:t>19.53</w:t>
            </w:r>
          </w:p>
        </w:tc>
        <w:tc>
          <w:tcPr>
            <w:tcW w:w="1643" w:type="dxa"/>
            <w:vAlign w:val="center"/>
          </w:tcPr>
          <w:p>
            <w:pPr>
              <w:pStyle w:val="10"/>
            </w:pPr>
            <w:r>
              <w:t>19.53</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1"/>
            </w:pPr>
            <w:r>
              <w:t>221</w:t>
            </w:r>
          </w:p>
        </w:tc>
        <w:tc>
          <w:tcPr>
            <w:tcW w:w="1643" w:type="dxa"/>
            <w:vAlign w:val="center"/>
          </w:tcPr>
          <w:p>
            <w:pPr>
              <w:pStyle w:val="11"/>
            </w:pPr>
            <w:r>
              <w:t>住房保障支出</w:t>
            </w:r>
          </w:p>
        </w:tc>
        <w:tc>
          <w:tcPr>
            <w:tcW w:w="1643" w:type="dxa"/>
            <w:vAlign w:val="center"/>
          </w:tcPr>
          <w:p>
            <w:pPr>
              <w:pStyle w:val="10"/>
            </w:pPr>
            <w:r>
              <w:t>35.12</w:t>
            </w:r>
          </w:p>
        </w:tc>
        <w:tc>
          <w:tcPr>
            <w:tcW w:w="1643" w:type="dxa"/>
            <w:vAlign w:val="center"/>
          </w:tcPr>
          <w:p>
            <w:pPr>
              <w:pStyle w:val="10"/>
            </w:pPr>
            <w:r>
              <w:t>35.12</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1"/>
            </w:pPr>
            <w:r>
              <w:t>22102</w:t>
            </w:r>
          </w:p>
        </w:tc>
        <w:tc>
          <w:tcPr>
            <w:tcW w:w="1643" w:type="dxa"/>
            <w:vAlign w:val="center"/>
          </w:tcPr>
          <w:p>
            <w:pPr>
              <w:pStyle w:val="11"/>
            </w:pPr>
            <w:r>
              <w:t>住房改革支出</w:t>
            </w:r>
          </w:p>
        </w:tc>
        <w:tc>
          <w:tcPr>
            <w:tcW w:w="1643" w:type="dxa"/>
            <w:vAlign w:val="center"/>
          </w:tcPr>
          <w:p>
            <w:pPr>
              <w:pStyle w:val="10"/>
            </w:pPr>
            <w:r>
              <w:t>35.12</w:t>
            </w:r>
          </w:p>
        </w:tc>
        <w:tc>
          <w:tcPr>
            <w:tcW w:w="1643" w:type="dxa"/>
            <w:vAlign w:val="center"/>
          </w:tcPr>
          <w:p>
            <w:pPr>
              <w:pStyle w:val="10"/>
            </w:pPr>
            <w:r>
              <w:t>35.12</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1"/>
            </w:pPr>
            <w:r>
              <w:t>2210201</w:t>
            </w:r>
          </w:p>
        </w:tc>
        <w:tc>
          <w:tcPr>
            <w:tcW w:w="1643" w:type="dxa"/>
            <w:vAlign w:val="center"/>
          </w:tcPr>
          <w:p>
            <w:pPr>
              <w:pStyle w:val="11"/>
            </w:pPr>
            <w:r>
              <w:t>住房公积金</w:t>
            </w:r>
          </w:p>
        </w:tc>
        <w:tc>
          <w:tcPr>
            <w:tcW w:w="1643" w:type="dxa"/>
            <w:vAlign w:val="center"/>
          </w:tcPr>
          <w:p>
            <w:pPr>
              <w:pStyle w:val="10"/>
            </w:pPr>
            <w:r>
              <w:t>35.12</w:t>
            </w:r>
          </w:p>
        </w:tc>
        <w:tc>
          <w:tcPr>
            <w:tcW w:w="1643" w:type="dxa"/>
            <w:vAlign w:val="center"/>
          </w:tcPr>
          <w:p>
            <w:pPr>
              <w:pStyle w:val="10"/>
            </w:pPr>
            <w:r>
              <w:t>35.12</w:t>
            </w:r>
          </w:p>
        </w:tc>
        <w:tc>
          <w:tcPr>
            <w:tcW w:w="1643"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434001隆尧县人民政府办公室本级</w:t>
            </w:r>
          </w:p>
        </w:tc>
        <w:tc>
          <w:tcPr>
            <w:tcW w:w="4929" w:type="dxa"/>
            <w:gridSpan w:val="3"/>
            <w:tcBorders>
              <w:top w:val="single" w:color="FFFFFF" w:sz="6" w:space="0"/>
              <w:left w:val="single" w:color="FFFFFF" w:sz="6" w:space="0"/>
              <w:right w:val="single" w:color="FFFFFF" w:sz="6" w:space="0"/>
            </w:tcBorders>
            <w:vAlign w:val="center"/>
          </w:tcPr>
          <w:p>
            <w:pPr>
              <w:pStyle w:val="7"/>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vMerge w:val="restart"/>
            <w:vAlign w:val="center"/>
          </w:tcPr>
          <w:p>
            <w:pPr>
              <w:pStyle w:val="9"/>
              <w:ind w:firstLine="422" w:firstLineChars="200"/>
              <w:jc w:val="both"/>
            </w:pPr>
            <w:r>
              <w:t>序号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Align w:val="center"/>
          </w:tcPr>
          <w:p>
            <w:pPr>
              <w:pStyle w:val="9"/>
            </w:pPr>
            <w:r>
              <w:t>合计</w:t>
            </w:r>
          </w:p>
        </w:tc>
        <w:tc>
          <w:tcPr>
            <w:tcW w:w="1643" w:type="dxa"/>
            <w:vAlign w:val="center"/>
          </w:tcPr>
          <w:p>
            <w:pPr>
              <w:pStyle w:val="9"/>
            </w:pPr>
            <w:r>
              <w:t>人员经费</w:t>
            </w:r>
          </w:p>
        </w:tc>
        <w:tc>
          <w:tcPr>
            <w:tcW w:w="1643"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5"/>
            </w:pPr>
          </w:p>
        </w:tc>
        <w:tc>
          <w:tcPr>
            <w:tcW w:w="1643" w:type="dxa"/>
            <w:vAlign w:val="center"/>
          </w:tcPr>
          <w:p>
            <w:pPr>
              <w:pStyle w:val="13"/>
            </w:pPr>
            <w:r>
              <w:t>合计</w:t>
            </w:r>
          </w:p>
        </w:tc>
        <w:tc>
          <w:tcPr>
            <w:tcW w:w="1643" w:type="dxa"/>
            <w:vAlign w:val="center"/>
          </w:tcPr>
          <w:p>
            <w:pPr>
              <w:pStyle w:val="14"/>
            </w:pPr>
            <w:r>
              <w:t>518.75</w:t>
            </w:r>
          </w:p>
        </w:tc>
        <w:tc>
          <w:tcPr>
            <w:tcW w:w="1643" w:type="dxa"/>
            <w:vAlign w:val="center"/>
          </w:tcPr>
          <w:p>
            <w:pPr>
              <w:pStyle w:val="14"/>
            </w:pPr>
            <w:r>
              <w:t>469.83</w:t>
            </w:r>
          </w:p>
        </w:tc>
        <w:tc>
          <w:tcPr>
            <w:tcW w:w="1643" w:type="dxa"/>
            <w:vAlign w:val="center"/>
          </w:tcPr>
          <w:p>
            <w:pPr>
              <w:pStyle w:val="14"/>
            </w:pPr>
            <w:r>
              <w:t>48.92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1"/>
            </w:pPr>
            <w:r>
              <w:t>301</w:t>
            </w:r>
          </w:p>
        </w:tc>
        <w:tc>
          <w:tcPr>
            <w:tcW w:w="1643" w:type="dxa"/>
            <w:vAlign w:val="center"/>
          </w:tcPr>
          <w:p>
            <w:pPr>
              <w:pStyle w:val="11"/>
            </w:pPr>
            <w:r>
              <w:t>工资福利支出</w:t>
            </w:r>
          </w:p>
        </w:tc>
        <w:tc>
          <w:tcPr>
            <w:tcW w:w="1643" w:type="dxa"/>
            <w:vAlign w:val="center"/>
          </w:tcPr>
          <w:p>
            <w:pPr>
              <w:pStyle w:val="10"/>
            </w:pPr>
            <w:r>
              <w:t>459.35</w:t>
            </w:r>
          </w:p>
        </w:tc>
        <w:tc>
          <w:tcPr>
            <w:tcW w:w="1643" w:type="dxa"/>
            <w:vAlign w:val="center"/>
          </w:tcPr>
          <w:p>
            <w:pPr>
              <w:pStyle w:val="10"/>
            </w:pPr>
            <w:r>
              <w:t>459.35</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1"/>
            </w:pPr>
            <w:r>
              <w:t>30101</w:t>
            </w:r>
          </w:p>
        </w:tc>
        <w:tc>
          <w:tcPr>
            <w:tcW w:w="1643" w:type="dxa"/>
            <w:vAlign w:val="center"/>
          </w:tcPr>
          <w:p>
            <w:pPr>
              <w:pStyle w:val="11"/>
            </w:pPr>
            <w:r>
              <w:t>基本工资</w:t>
            </w:r>
          </w:p>
        </w:tc>
        <w:tc>
          <w:tcPr>
            <w:tcW w:w="1643" w:type="dxa"/>
            <w:vAlign w:val="center"/>
          </w:tcPr>
          <w:p>
            <w:pPr>
              <w:pStyle w:val="10"/>
            </w:pPr>
            <w:r>
              <w:t>180.92</w:t>
            </w:r>
          </w:p>
        </w:tc>
        <w:tc>
          <w:tcPr>
            <w:tcW w:w="1643" w:type="dxa"/>
            <w:vAlign w:val="center"/>
          </w:tcPr>
          <w:p>
            <w:pPr>
              <w:pStyle w:val="10"/>
            </w:pPr>
            <w:r>
              <w:t>180.92</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1"/>
            </w:pPr>
            <w:r>
              <w:t>30102</w:t>
            </w:r>
          </w:p>
        </w:tc>
        <w:tc>
          <w:tcPr>
            <w:tcW w:w="1643" w:type="dxa"/>
            <w:vAlign w:val="center"/>
          </w:tcPr>
          <w:p>
            <w:pPr>
              <w:pStyle w:val="11"/>
            </w:pPr>
            <w:r>
              <w:t>津贴补贴</w:t>
            </w:r>
          </w:p>
        </w:tc>
        <w:tc>
          <w:tcPr>
            <w:tcW w:w="1643" w:type="dxa"/>
            <w:vAlign w:val="center"/>
          </w:tcPr>
          <w:p>
            <w:pPr>
              <w:pStyle w:val="10"/>
            </w:pPr>
            <w:r>
              <w:t>138.46</w:t>
            </w:r>
          </w:p>
        </w:tc>
        <w:tc>
          <w:tcPr>
            <w:tcW w:w="1643" w:type="dxa"/>
            <w:vAlign w:val="center"/>
          </w:tcPr>
          <w:p>
            <w:pPr>
              <w:pStyle w:val="10"/>
            </w:pPr>
            <w:r>
              <w:t>138.46</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1"/>
            </w:pPr>
            <w:r>
              <w:t>30103</w:t>
            </w:r>
          </w:p>
        </w:tc>
        <w:tc>
          <w:tcPr>
            <w:tcW w:w="1643" w:type="dxa"/>
            <w:vAlign w:val="center"/>
          </w:tcPr>
          <w:p>
            <w:pPr>
              <w:pStyle w:val="11"/>
            </w:pPr>
            <w:r>
              <w:t>奖金</w:t>
            </w:r>
          </w:p>
        </w:tc>
        <w:tc>
          <w:tcPr>
            <w:tcW w:w="1643" w:type="dxa"/>
            <w:vAlign w:val="center"/>
          </w:tcPr>
          <w:p>
            <w:pPr>
              <w:pStyle w:val="10"/>
            </w:pPr>
            <w:r>
              <w:t>15.08</w:t>
            </w:r>
          </w:p>
        </w:tc>
        <w:tc>
          <w:tcPr>
            <w:tcW w:w="1643" w:type="dxa"/>
            <w:vAlign w:val="center"/>
          </w:tcPr>
          <w:p>
            <w:pPr>
              <w:pStyle w:val="10"/>
            </w:pPr>
            <w:r>
              <w:t>15.08</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1"/>
            </w:pPr>
            <w:r>
              <w:t>30107</w:t>
            </w:r>
          </w:p>
        </w:tc>
        <w:tc>
          <w:tcPr>
            <w:tcW w:w="1643" w:type="dxa"/>
            <w:vAlign w:val="center"/>
          </w:tcPr>
          <w:p>
            <w:pPr>
              <w:pStyle w:val="11"/>
            </w:pPr>
            <w:r>
              <w:t>绩效工资</w:t>
            </w:r>
          </w:p>
        </w:tc>
        <w:tc>
          <w:tcPr>
            <w:tcW w:w="1643" w:type="dxa"/>
            <w:vAlign w:val="center"/>
          </w:tcPr>
          <w:p>
            <w:pPr>
              <w:pStyle w:val="10"/>
            </w:pPr>
            <w:r>
              <w:t>22.03</w:t>
            </w:r>
          </w:p>
        </w:tc>
        <w:tc>
          <w:tcPr>
            <w:tcW w:w="1643" w:type="dxa"/>
            <w:vAlign w:val="center"/>
          </w:tcPr>
          <w:p>
            <w:pPr>
              <w:pStyle w:val="10"/>
            </w:pPr>
            <w:r>
              <w:t>22.03</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1"/>
            </w:pPr>
            <w:r>
              <w:t>30108</w:t>
            </w:r>
          </w:p>
        </w:tc>
        <w:tc>
          <w:tcPr>
            <w:tcW w:w="1643" w:type="dxa"/>
            <w:vAlign w:val="center"/>
          </w:tcPr>
          <w:p>
            <w:pPr>
              <w:pStyle w:val="11"/>
            </w:pPr>
            <w:r>
              <w:t>机关事业单位基本养老保险缴费</w:t>
            </w:r>
          </w:p>
        </w:tc>
        <w:tc>
          <w:tcPr>
            <w:tcW w:w="1643" w:type="dxa"/>
            <w:vAlign w:val="center"/>
          </w:tcPr>
          <w:p>
            <w:pPr>
              <w:pStyle w:val="10"/>
            </w:pPr>
            <w:r>
              <w:t>41.55</w:t>
            </w:r>
          </w:p>
        </w:tc>
        <w:tc>
          <w:tcPr>
            <w:tcW w:w="1643" w:type="dxa"/>
            <w:vAlign w:val="center"/>
          </w:tcPr>
          <w:p>
            <w:pPr>
              <w:pStyle w:val="10"/>
            </w:pPr>
            <w:r>
              <w:t>41.55</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1"/>
            </w:pPr>
            <w:r>
              <w:t>30110</w:t>
            </w:r>
          </w:p>
        </w:tc>
        <w:tc>
          <w:tcPr>
            <w:tcW w:w="1643" w:type="dxa"/>
            <w:vAlign w:val="center"/>
          </w:tcPr>
          <w:p>
            <w:pPr>
              <w:pStyle w:val="11"/>
            </w:pPr>
            <w:r>
              <w:t>职工基本医疗保险缴费</w:t>
            </w:r>
          </w:p>
        </w:tc>
        <w:tc>
          <w:tcPr>
            <w:tcW w:w="1643" w:type="dxa"/>
            <w:vAlign w:val="center"/>
          </w:tcPr>
          <w:p>
            <w:pPr>
              <w:pStyle w:val="10"/>
            </w:pPr>
            <w:r>
              <w:t>19.53</w:t>
            </w:r>
          </w:p>
        </w:tc>
        <w:tc>
          <w:tcPr>
            <w:tcW w:w="1643" w:type="dxa"/>
            <w:vAlign w:val="center"/>
          </w:tcPr>
          <w:p>
            <w:pPr>
              <w:pStyle w:val="10"/>
            </w:pPr>
            <w:r>
              <w:t>19.53</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1"/>
            </w:pPr>
            <w:r>
              <w:t>30112</w:t>
            </w:r>
          </w:p>
        </w:tc>
        <w:tc>
          <w:tcPr>
            <w:tcW w:w="1643" w:type="dxa"/>
            <w:vAlign w:val="center"/>
          </w:tcPr>
          <w:p>
            <w:pPr>
              <w:pStyle w:val="11"/>
            </w:pPr>
            <w:r>
              <w:t>其他社会保障缴费</w:t>
            </w:r>
          </w:p>
        </w:tc>
        <w:tc>
          <w:tcPr>
            <w:tcW w:w="1643" w:type="dxa"/>
            <w:vAlign w:val="center"/>
          </w:tcPr>
          <w:p>
            <w:pPr>
              <w:pStyle w:val="10"/>
            </w:pPr>
            <w:r>
              <w:t>6.66</w:t>
            </w:r>
          </w:p>
        </w:tc>
        <w:tc>
          <w:tcPr>
            <w:tcW w:w="1643" w:type="dxa"/>
            <w:vAlign w:val="center"/>
          </w:tcPr>
          <w:p>
            <w:pPr>
              <w:pStyle w:val="10"/>
            </w:pPr>
            <w:r>
              <w:t>6.66</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1"/>
            </w:pPr>
            <w:r>
              <w:t>30113</w:t>
            </w:r>
          </w:p>
        </w:tc>
        <w:tc>
          <w:tcPr>
            <w:tcW w:w="1643" w:type="dxa"/>
            <w:vAlign w:val="center"/>
          </w:tcPr>
          <w:p>
            <w:pPr>
              <w:pStyle w:val="11"/>
            </w:pPr>
            <w:r>
              <w:t>住房公积金</w:t>
            </w:r>
          </w:p>
        </w:tc>
        <w:tc>
          <w:tcPr>
            <w:tcW w:w="1643" w:type="dxa"/>
            <w:vAlign w:val="center"/>
          </w:tcPr>
          <w:p>
            <w:pPr>
              <w:pStyle w:val="10"/>
            </w:pPr>
            <w:r>
              <w:t>35.12</w:t>
            </w:r>
          </w:p>
        </w:tc>
        <w:tc>
          <w:tcPr>
            <w:tcW w:w="1643" w:type="dxa"/>
            <w:vAlign w:val="center"/>
          </w:tcPr>
          <w:p>
            <w:pPr>
              <w:pStyle w:val="10"/>
            </w:pPr>
            <w:r>
              <w:t>35.12</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1"/>
            </w:pPr>
            <w:r>
              <w:t>302</w:t>
            </w:r>
          </w:p>
        </w:tc>
        <w:tc>
          <w:tcPr>
            <w:tcW w:w="1643" w:type="dxa"/>
            <w:vAlign w:val="center"/>
          </w:tcPr>
          <w:p>
            <w:pPr>
              <w:pStyle w:val="11"/>
            </w:pPr>
            <w:r>
              <w:t>商品和服务支出</w:t>
            </w:r>
          </w:p>
        </w:tc>
        <w:tc>
          <w:tcPr>
            <w:tcW w:w="1643" w:type="dxa"/>
            <w:vAlign w:val="center"/>
          </w:tcPr>
          <w:p>
            <w:pPr>
              <w:pStyle w:val="10"/>
            </w:pPr>
            <w:r>
              <w:t>48.92</w:t>
            </w:r>
          </w:p>
        </w:tc>
        <w:tc>
          <w:tcPr>
            <w:tcW w:w="1643" w:type="dxa"/>
            <w:vAlign w:val="center"/>
          </w:tcPr>
          <w:p>
            <w:pPr>
              <w:pStyle w:val="10"/>
            </w:pPr>
          </w:p>
        </w:tc>
        <w:tc>
          <w:tcPr>
            <w:tcW w:w="1643" w:type="dxa"/>
            <w:vAlign w:val="center"/>
          </w:tcPr>
          <w:p>
            <w:pPr>
              <w:pStyle w:val="10"/>
            </w:pPr>
            <w:r>
              <w:t>48.92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1"/>
            </w:pPr>
            <w:r>
              <w:t>30201</w:t>
            </w:r>
          </w:p>
        </w:tc>
        <w:tc>
          <w:tcPr>
            <w:tcW w:w="1643" w:type="dxa"/>
            <w:vAlign w:val="center"/>
          </w:tcPr>
          <w:p>
            <w:pPr>
              <w:pStyle w:val="11"/>
            </w:pPr>
            <w:r>
              <w:t>办公费</w:t>
            </w:r>
          </w:p>
        </w:tc>
        <w:tc>
          <w:tcPr>
            <w:tcW w:w="1643" w:type="dxa"/>
            <w:vAlign w:val="center"/>
          </w:tcPr>
          <w:p>
            <w:pPr>
              <w:pStyle w:val="10"/>
            </w:pPr>
            <w:r>
              <w:t>4.70</w:t>
            </w:r>
          </w:p>
        </w:tc>
        <w:tc>
          <w:tcPr>
            <w:tcW w:w="1643" w:type="dxa"/>
            <w:vAlign w:val="center"/>
          </w:tcPr>
          <w:p>
            <w:pPr>
              <w:pStyle w:val="10"/>
            </w:pPr>
          </w:p>
        </w:tc>
        <w:tc>
          <w:tcPr>
            <w:tcW w:w="1643" w:type="dxa"/>
            <w:vAlign w:val="center"/>
          </w:tcPr>
          <w:p>
            <w:pPr>
              <w:pStyle w:val="10"/>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1"/>
            </w:pPr>
            <w:r>
              <w:t>30202</w:t>
            </w:r>
          </w:p>
        </w:tc>
        <w:tc>
          <w:tcPr>
            <w:tcW w:w="1643" w:type="dxa"/>
            <w:vAlign w:val="center"/>
          </w:tcPr>
          <w:p>
            <w:pPr>
              <w:pStyle w:val="11"/>
            </w:pPr>
            <w:r>
              <w:t>印刷费</w:t>
            </w:r>
          </w:p>
        </w:tc>
        <w:tc>
          <w:tcPr>
            <w:tcW w:w="1643" w:type="dxa"/>
            <w:vAlign w:val="center"/>
          </w:tcPr>
          <w:p>
            <w:pPr>
              <w:pStyle w:val="10"/>
            </w:pPr>
            <w:r>
              <w:t>8.40</w:t>
            </w:r>
          </w:p>
        </w:tc>
        <w:tc>
          <w:tcPr>
            <w:tcW w:w="1643" w:type="dxa"/>
            <w:vAlign w:val="center"/>
          </w:tcPr>
          <w:p>
            <w:pPr>
              <w:pStyle w:val="10"/>
            </w:pPr>
          </w:p>
        </w:tc>
        <w:tc>
          <w:tcPr>
            <w:tcW w:w="1643" w:type="dxa"/>
            <w:vAlign w:val="center"/>
          </w:tcPr>
          <w:p>
            <w:pPr>
              <w:pStyle w:val="10"/>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1"/>
            </w:pPr>
            <w:r>
              <w:t>30211</w:t>
            </w:r>
          </w:p>
        </w:tc>
        <w:tc>
          <w:tcPr>
            <w:tcW w:w="1643" w:type="dxa"/>
            <w:vAlign w:val="center"/>
          </w:tcPr>
          <w:p>
            <w:pPr>
              <w:pStyle w:val="11"/>
            </w:pPr>
            <w:r>
              <w:t>差旅费</w:t>
            </w:r>
          </w:p>
        </w:tc>
        <w:tc>
          <w:tcPr>
            <w:tcW w:w="1643" w:type="dxa"/>
            <w:vAlign w:val="center"/>
          </w:tcPr>
          <w:p>
            <w:pPr>
              <w:pStyle w:val="10"/>
            </w:pPr>
            <w:r>
              <w:t>2.59</w:t>
            </w:r>
          </w:p>
        </w:tc>
        <w:tc>
          <w:tcPr>
            <w:tcW w:w="1643" w:type="dxa"/>
            <w:vAlign w:val="center"/>
          </w:tcPr>
          <w:p>
            <w:pPr>
              <w:pStyle w:val="10"/>
            </w:pPr>
          </w:p>
        </w:tc>
        <w:tc>
          <w:tcPr>
            <w:tcW w:w="1643" w:type="dxa"/>
            <w:vAlign w:val="center"/>
          </w:tcPr>
          <w:p>
            <w:pPr>
              <w:pStyle w:val="10"/>
            </w:pPr>
            <w:r>
              <w:t>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1"/>
            </w:pPr>
            <w:r>
              <w:t>30228</w:t>
            </w:r>
          </w:p>
        </w:tc>
        <w:tc>
          <w:tcPr>
            <w:tcW w:w="1643" w:type="dxa"/>
            <w:vAlign w:val="center"/>
          </w:tcPr>
          <w:p>
            <w:pPr>
              <w:pStyle w:val="11"/>
            </w:pPr>
            <w:r>
              <w:t>工会经费</w:t>
            </w:r>
          </w:p>
        </w:tc>
        <w:tc>
          <w:tcPr>
            <w:tcW w:w="1643" w:type="dxa"/>
            <w:vAlign w:val="center"/>
          </w:tcPr>
          <w:p>
            <w:pPr>
              <w:pStyle w:val="10"/>
            </w:pPr>
            <w:r>
              <w:t>0.94</w:t>
            </w:r>
          </w:p>
        </w:tc>
        <w:tc>
          <w:tcPr>
            <w:tcW w:w="1643" w:type="dxa"/>
            <w:vAlign w:val="center"/>
          </w:tcPr>
          <w:p>
            <w:pPr>
              <w:pStyle w:val="10"/>
            </w:pPr>
          </w:p>
        </w:tc>
        <w:tc>
          <w:tcPr>
            <w:tcW w:w="1643" w:type="dxa"/>
            <w:vAlign w:val="center"/>
          </w:tcPr>
          <w:p>
            <w:pPr>
              <w:pStyle w:val="10"/>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1"/>
            </w:pPr>
            <w:r>
              <w:t>30229</w:t>
            </w:r>
          </w:p>
        </w:tc>
        <w:tc>
          <w:tcPr>
            <w:tcW w:w="1643" w:type="dxa"/>
            <w:vAlign w:val="center"/>
          </w:tcPr>
          <w:p>
            <w:pPr>
              <w:pStyle w:val="11"/>
            </w:pPr>
            <w:r>
              <w:t>福利费</w:t>
            </w:r>
          </w:p>
        </w:tc>
        <w:tc>
          <w:tcPr>
            <w:tcW w:w="1643" w:type="dxa"/>
            <w:vAlign w:val="center"/>
          </w:tcPr>
          <w:p>
            <w:pPr>
              <w:pStyle w:val="10"/>
            </w:pPr>
            <w:r>
              <w:t>0.94</w:t>
            </w:r>
          </w:p>
        </w:tc>
        <w:tc>
          <w:tcPr>
            <w:tcW w:w="1643" w:type="dxa"/>
            <w:vAlign w:val="center"/>
          </w:tcPr>
          <w:p>
            <w:pPr>
              <w:pStyle w:val="10"/>
            </w:pPr>
          </w:p>
        </w:tc>
        <w:tc>
          <w:tcPr>
            <w:tcW w:w="1643" w:type="dxa"/>
            <w:vAlign w:val="center"/>
          </w:tcPr>
          <w:p>
            <w:pPr>
              <w:pStyle w:val="10"/>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1"/>
            </w:pPr>
            <w:r>
              <w:t>30239</w:t>
            </w:r>
          </w:p>
        </w:tc>
        <w:tc>
          <w:tcPr>
            <w:tcW w:w="1643" w:type="dxa"/>
            <w:vAlign w:val="center"/>
          </w:tcPr>
          <w:p>
            <w:pPr>
              <w:pStyle w:val="11"/>
            </w:pPr>
            <w:r>
              <w:t>其他交通费用</w:t>
            </w:r>
          </w:p>
        </w:tc>
        <w:tc>
          <w:tcPr>
            <w:tcW w:w="1643" w:type="dxa"/>
            <w:vAlign w:val="center"/>
          </w:tcPr>
          <w:p>
            <w:pPr>
              <w:pStyle w:val="10"/>
            </w:pPr>
            <w:r>
              <w:t>30.42</w:t>
            </w:r>
          </w:p>
        </w:tc>
        <w:tc>
          <w:tcPr>
            <w:tcW w:w="1643" w:type="dxa"/>
            <w:vAlign w:val="center"/>
          </w:tcPr>
          <w:p>
            <w:pPr>
              <w:pStyle w:val="10"/>
            </w:pPr>
          </w:p>
        </w:tc>
        <w:tc>
          <w:tcPr>
            <w:tcW w:w="1643" w:type="dxa"/>
            <w:vAlign w:val="center"/>
          </w:tcPr>
          <w:p>
            <w:pPr>
              <w:pStyle w:val="10"/>
            </w:pPr>
            <w:r>
              <w:t>30.42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1"/>
            </w:pPr>
            <w:r>
              <w:t>30299</w:t>
            </w:r>
          </w:p>
        </w:tc>
        <w:tc>
          <w:tcPr>
            <w:tcW w:w="1643" w:type="dxa"/>
            <w:vAlign w:val="center"/>
          </w:tcPr>
          <w:p>
            <w:pPr>
              <w:pStyle w:val="11"/>
            </w:pPr>
            <w:r>
              <w:t>其他商品和服务支出</w:t>
            </w:r>
          </w:p>
        </w:tc>
        <w:tc>
          <w:tcPr>
            <w:tcW w:w="1643" w:type="dxa"/>
            <w:vAlign w:val="center"/>
          </w:tcPr>
          <w:p>
            <w:pPr>
              <w:pStyle w:val="10"/>
            </w:pPr>
            <w:r>
              <w:t>0.94</w:t>
            </w:r>
          </w:p>
        </w:tc>
        <w:tc>
          <w:tcPr>
            <w:tcW w:w="1643" w:type="dxa"/>
            <w:vAlign w:val="center"/>
          </w:tcPr>
          <w:p>
            <w:pPr>
              <w:pStyle w:val="10"/>
            </w:pPr>
          </w:p>
        </w:tc>
        <w:tc>
          <w:tcPr>
            <w:tcW w:w="1643" w:type="dxa"/>
            <w:vAlign w:val="center"/>
          </w:tcPr>
          <w:p>
            <w:pPr>
              <w:pStyle w:val="10"/>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19</w:t>
            </w:r>
          </w:p>
        </w:tc>
        <w:tc>
          <w:tcPr>
            <w:tcW w:w="1643" w:type="dxa"/>
            <w:vAlign w:val="center"/>
          </w:tcPr>
          <w:p>
            <w:pPr>
              <w:pStyle w:val="11"/>
            </w:pPr>
            <w:r>
              <w:t>303</w:t>
            </w:r>
          </w:p>
        </w:tc>
        <w:tc>
          <w:tcPr>
            <w:tcW w:w="1643" w:type="dxa"/>
            <w:vAlign w:val="center"/>
          </w:tcPr>
          <w:p>
            <w:pPr>
              <w:pStyle w:val="11"/>
            </w:pPr>
            <w:r>
              <w:t>对个人和家庭的补助</w:t>
            </w:r>
          </w:p>
        </w:tc>
        <w:tc>
          <w:tcPr>
            <w:tcW w:w="1643" w:type="dxa"/>
            <w:vAlign w:val="center"/>
          </w:tcPr>
          <w:p>
            <w:pPr>
              <w:pStyle w:val="10"/>
            </w:pPr>
            <w:r>
              <w:t>10.48</w:t>
            </w:r>
          </w:p>
        </w:tc>
        <w:tc>
          <w:tcPr>
            <w:tcW w:w="1643" w:type="dxa"/>
            <w:vAlign w:val="center"/>
          </w:tcPr>
          <w:p>
            <w:pPr>
              <w:pStyle w:val="10"/>
            </w:pPr>
            <w:r>
              <w:t>10.48</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20</w:t>
            </w:r>
          </w:p>
        </w:tc>
        <w:tc>
          <w:tcPr>
            <w:tcW w:w="1643" w:type="dxa"/>
            <w:vAlign w:val="center"/>
          </w:tcPr>
          <w:p>
            <w:pPr>
              <w:pStyle w:val="11"/>
            </w:pPr>
            <w:r>
              <w:t>30302</w:t>
            </w:r>
          </w:p>
        </w:tc>
        <w:tc>
          <w:tcPr>
            <w:tcW w:w="1643" w:type="dxa"/>
            <w:vAlign w:val="center"/>
          </w:tcPr>
          <w:p>
            <w:pPr>
              <w:pStyle w:val="11"/>
            </w:pPr>
            <w:r>
              <w:t>退休费</w:t>
            </w:r>
          </w:p>
        </w:tc>
        <w:tc>
          <w:tcPr>
            <w:tcW w:w="1643" w:type="dxa"/>
            <w:vAlign w:val="center"/>
          </w:tcPr>
          <w:p>
            <w:pPr>
              <w:pStyle w:val="10"/>
            </w:pPr>
            <w:r>
              <w:t>7.60</w:t>
            </w:r>
          </w:p>
        </w:tc>
        <w:tc>
          <w:tcPr>
            <w:tcW w:w="1643" w:type="dxa"/>
            <w:vAlign w:val="center"/>
          </w:tcPr>
          <w:p>
            <w:pPr>
              <w:pStyle w:val="10"/>
            </w:pPr>
            <w:r>
              <w:t>7.60</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21</w:t>
            </w:r>
          </w:p>
        </w:tc>
        <w:tc>
          <w:tcPr>
            <w:tcW w:w="1643" w:type="dxa"/>
            <w:vAlign w:val="center"/>
          </w:tcPr>
          <w:p>
            <w:pPr>
              <w:pStyle w:val="11"/>
            </w:pPr>
            <w:r>
              <w:t>30305</w:t>
            </w:r>
          </w:p>
        </w:tc>
        <w:tc>
          <w:tcPr>
            <w:tcW w:w="1643" w:type="dxa"/>
            <w:vAlign w:val="center"/>
          </w:tcPr>
          <w:p>
            <w:pPr>
              <w:pStyle w:val="11"/>
            </w:pPr>
            <w:r>
              <w:t>生活补助</w:t>
            </w:r>
          </w:p>
        </w:tc>
        <w:tc>
          <w:tcPr>
            <w:tcW w:w="1643" w:type="dxa"/>
            <w:vAlign w:val="center"/>
          </w:tcPr>
          <w:p>
            <w:pPr>
              <w:pStyle w:val="10"/>
            </w:pPr>
            <w:r>
              <w:t>2.88</w:t>
            </w:r>
          </w:p>
        </w:tc>
        <w:tc>
          <w:tcPr>
            <w:tcW w:w="1643" w:type="dxa"/>
            <w:vAlign w:val="center"/>
          </w:tcPr>
          <w:p>
            <w:pPr>
              <w:pStyle w:val="10"/>
            </w:pPr>
            <w:r>
              <w:t>2.88</w:t>
            </w:r>
          </w:p>
        </w:tc>
        <w:tc>
          <w:tcPr>
            <w:tcW w:w="1643"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434001隆尧县人民政府办公室本级</w:t>
            </w:r>
          </w:p>
        </w:tc>
        <w:tc>
          <w:tcPr>
            <w:tcW w:w="4929" w:type="dxa"/>
            <w:gridSpan w:val="3"/>
            <w:tcBorders>
              <w:top w:val="single" w:color="FFFFFF" w:sz="6" w:space="0"/>
              <w:left w:val="single" w:color="FFFFFF" w:sz="6" w:space="0"/>
              <w:right w:val="single" w:color="FFFFFF" w:sz="6" w:space="0"/>
            </w:tcBorders>
            <w:vAlign w:val="center"/>
          </w:tcPr>
          <w:p>
            <w:pPr>
              <w:pStyle w:val="7"/>
              <w:jc w:val="both"/>
              <w:rPr>
                <w:rFonts w:hint="eastAsia" w:eastAsia="方正小标宋_GBK"/>
                <w:lang w:eastAsia="zh-CN"/>
              </w:rPr>
            </w:pPr>
            <w:r>
              <w:t>预算年度：2022</w:t>
            </w:r>
            <w:r>
              <w:rPr>
                <w:rFonts w:hint="eastAsia"/>
                <w:lang w:val="en-US" w:eastAsia="zh-CN"/>
              </w:rPr>
              <w:t xml:space="preserve">                        </w:t>
            </w: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9"/>
              <w:ind w:firstLine="422" w:firstLineChars="200"/>
              <w:jc w:val="both"/>
            </w:pPr>
            <w:r>
              <w:t>序号</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434001隆尧县人民政府办公室本级</w:t>
            </w:r>
          </w:p>
        </w:tc>
        <w:tc>
          <w:tcPr>
            <w:tcW w:w="4929" w:type="dxa"/>
            <w:gridSpan w:val="3"/>
            <w:tcBorders>
              <w:top w:val="single" w:color="FFFFFF" w:sz="6" w:space="0"/>
              <w:left w:val="single" w:color="FFFFFF" w:sz="6" w:space="0"/>
              <w:right w:val="single" w:color="FFFFFF" w:sz="6" w:space="0"/>
            </w:tcBorders>
            <w:vAlign w:val="center"/>
          </w:tcPr>
          <w:p>
            <w:pPr>
              <w:pStyle w:val="7"/>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9"/>
              <w:ind w:firstLine="422" w:firstLineChars="200"/>
              <w:jc w:val="both"/>
            </w:pPr>
            <w:r>
              <w:t>序号</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434001隆尧县人民政府办公室本级</w:t>
            </w:r>
          </w:p>
        </w:tc>
        <w:tc>
          <w:tcPr>
            <w:tcW w:w="4929" w:type="dxa"/>
            <w:gridSpan w:val="3"/>
            <w:tcBorders>
              <w:top w:val="single" w:color="FFFFFF" w:sz="6" w:space="0"/>
              <w:left w:val="single" w:color="FFFFFF" w:sz="6" w:space="0"/>
              <w:right w:val="single" w:color="FFFFFF" w:sz="6" w:space="0"/>
            </w:tcBorders>
            <w:vAlign w:val="center"/>
          </w:tcPr>
          <w:p>
            <w:pPr>
              <w:pStyle w:val="7"/>
              <w:jc w:val="both"/>
              <w:rPr>
                <w:rFonts w:hint="eastAsia" w:eastAsia="方正小标宋_GBK"/>
                <w:lang w:eastAsia="zh-CN"/>
              </w:rPr>
            </w:pPr>
            <w:r>
              <w:t>预算年度：2022</w:t>
            </w:r>
            <w:r>
              <w:rPr>
                <w:rFonts w:hint="eastAsia"/>
                <w:lang w:val="en-US" w:eastAsia="zh-CN"/>
              </w:rPr>
              <w:t xml:space="preserve">                       </w:t>
            </w: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9"/>
            </w:pPr>
            <w:r>
              <w:t>序号</w:t>
            </w:r>
          </w:p>
        </w:tc>
        <w:tc>
          <w:tcPr>
            <w:tcW w:w="8215" w:type="dxa"/>
            <w:gridSpan w:val="5"/>
            <w:vMerge w:val="restart"/>
            <w:vAlign w:val="center"/>
          </w:tcPr>
          <w:p>
            <w:pPr>
              <w:pStyle w:val="9"/>
              <w:tabs>
                <w:tab w:val="left" w:pos="698"/>
                <w:tab w:val="center" w:pos="4059"/>
              </w:tabs>
              <w:ind w:firstLine="422" w:firstLineChars="200"/>
              <w:jc w:val="left"/>
            </w:pPr>
            <w:r>
              <w:t>项  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tc>
        <w:tc>
          <w:tcPr>
            <w:tcW w:w="1643" w:type="dxa"/>
            <w:vMerge w:val="continue"/>
            <w:vAlign w:val="top"/>
          </w:tcPr>
          <w:p/>
        </w:tc>
        <w:tc>
          <w:tcPr>
            <w:tcW w:w="1643" w:type="dxa"/>
            <w:vAlign w:val="center"/>
          </w:tcPr>
          <w:p>
            <w:pPr>
              <w:pStyle w:val="9"/>
            </w:pPr>
            <w:r>
              <w:t>合计</w:t>
            </w:r>
          </w:p>
        </w:tc>
        <w:tc>
          <w:tcPr>
            <w:tcW w:w="1643" w:type="dxa"/>
            <w:vAlign w:val="center"/>
          </w:tcPr>
          <w:p>
            <w:pPr>
              <w:pStyle w:val="9"/>
            </w:pPr>
            <w:r>
              <w:t>一般公共预算              财政拨款</w:t>
            </w:r>
          </w:p>
        </w:tc>
        <w:tc>
          <w:tcPr>
            <w:tcW w:w="1643" w:type="dxa"/>
            <w:vAlign w:val="center"/>
          </w:tcPr>
          <w:p>
            <w:pPr>
              <w:pStyle w:val="9"/>
            </w:pPr>
            <w:r>
              <w:t>政府性基金                  预算拨款</w:t>
            </w:r>
          </w:p>
        </w:tc>
        <w:tc>
          <w:tcPr>
            <w:tcW w:w="1643"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1</w:t>
            </w:r>
          </w:p>
        </w:tc>
        <w:tc>
          <w:tcPr>
            <w:tcW w:w="1643" w:type="dxa"/>
            <w:vAlign w:val="center"/>
          </w:tcPr>
          <w:p>
            <w:pPr>
              <w:pStyle w:val="13"/>
            </w:pPr>
            <w:r>
              <w:t>合计</w:t>
            </w:r>
          </w:p>
        </w:tc>
        <w:tc>
          <w:tcPr>
            <w:tcW w:w="1643" w:type="dxa"/>
            <w:vAlign w:val="center"/>
          </w:tcPr>
          <w:p>
            <w:pPr>
              <w:pStyle w:val="14"/>
              <w:rPr>
                <w:rFonts w:hint="default" w:eastAsia="方正书宋_GBK"/>
                <w:lang w:val="en-US" w:eastAsia="zh-CN"/>
              </w:rPr>
            </w:pPr>
            <w:r>
              <w:rPr>
                <w:rFonts w:hint="eastAsia"/>
                <w:lang w:val="en-US" w:eastAsia="zh-CN"/>
              </w:rPr>
              <w:t>15.20</w:t>
            </w:r>
          </w:p>
        </w:tc>
        <w:tc>
          <w:tcPr>
            <w:tcW w:w="1643" w:type="dxa"/>
            <w:vAlign w:val="center"/>
          </w:tcPr>
          <w:p>
            <w:pPr>
              <w:pStyle w:val="14"/>
              <w:rPr>
                <w:rFonts w:hint="default" w:eastAsia="方正书宋_GBK"/>
                <w:lang w:val="en-US" w:eastAsia="zh-CN"/>
              </w:rPr>
            </w:pPr>
            <w:r>
              <w:rPr>
                <w:rFonts w:hint="eastAsia"/>
                <w:lang w:val="en-US" w:eastAsia="zh-CN"/>
              </w:rPr>
              <w:t>15.20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2</w:t>
            </w:r>
          </w:p>
        </w:tc>
        <w:tc>
          <w:tcPr>
            <w:tcW w:w="1643" w:type="dxa"/>
            <w:vAlign w:val="center"/>
          </w:tcPr>
          <w:p>
            <w:pPr>
              <w:pStyle w:val="11"/>
            </w:pPr>
            <w:r>
              <w:t>“三公”经费小计</w:t>
            </w:r>
          </w:p>
        </w:tc>
        <w:tc>
          <w:tcPr>
            <w:tcW w:w="1643" w:type="dxa"/>
            <w:vAlign w:val="center"/>
          </w:tcPr>
          <w:p>
            <w:pPr>
              <w:pStyle w:val="10"/>
              <w:rPr>
                <w:rFonts w:hint="default" w:eastAsia="方正书宋_GBK"/>
                <w:lang w:val="en-US" w:eastAsia="zh-CN"/>
              </w:rPr>
            </w:pPr>
            <w:r>
              <w:rPr>
                <w:rFonts w:hint="eastAsia"/>
                <w:lang w:val="en-US" w:eastAsia="zh-CN"/>
              </w:rPr>
              <w:t>15.20</w:t>
            </w:r>
          </w:p>
        </w:tc>
        <w:tc>
          <w:tcPr>
            <w:tcW w:w="1643" w:type="dxa"/>
            <w:vAlign w:val="center"/>
          </w:tcPr>
          <w:p>
            <w:pPr>
              <w:pStyle w:val="10"/>
              <w:rPr>
                <w:rFonts w:hint="default" w:eastAsia="方正书宋_GBK"/>
                <w:lang w:val="en-US" w:eastAsia="zh-CN"/>
              </w:rPr>
            </w:pPr>
            <w:r>
              <w:rPr>
                <w:rFonts w:hint="eastAsia"/>
                <w:lang w:val="en-US" w:eastAsia="zh-CN"/>
              </w:rPr>
              <w:t>15.20</w:t>
            </w: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3</w:t>
            </w:r>
          </w:p>
        </w:tc>
        <w:tc>
          <w:tcPr>
            <w:tcW w:w="1643" w:type="dxa"/>
            <w:vAlign w:val="center"/>
          </w:tcPr>
          <w:p>
            <w:pPr>
              <w:pStyle w:val="11"/>
            </w:pPr>
            <w:r>
              <w:t>一、因公出国（境）费</w:t>
            </w: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2"/>
            </w:pPr>
            <w:r>
              <w:t>4</w:t>
            </w:r>
          </w:p>
        </w:tc>
        <w:tc>
          <w:tcPr>
            <w:tcW w:w="1643" w:type="dxa"/>
            <w:vAlign w:val="center"/>
          </w:tcPr>
          <w:p>
            <w:pPr>
              <w:pStyle w:val="11"/>
            </w:pPr>
            <w:r>
              <w:t xml:space="preserve">    其中：教学科研人员因公出国（境）费</w:t>
            </w: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5</w:t>
            </w:r>
          </w:p>
        </w:tc>
        <w:tc>
          <w:tcPr>
            <w:tcW w:w="1643" w:type="dxa"/>
            <w:vAlign w:val="center"/>
          </w:tcPr>
          <w:p>
            <w:pPr>
              <w:pStyle w:val="11"/>
            </w:pPr>
            <w:r>
              <w:t xml:space="preserve">          其他因公出国（境）费</w:t>
            </w: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6</w:t>
            </w:r>
          </w:p>
        </w:tc>
        <w:tc>
          <w:tcPr>
            <w:tcW w:w="1643" w:type="dxa"/>
            <w:vAlign w:val="center"/>
          </w:tcPr>
          <w:p>
            <w:pPr>
              <w:pStyle w:val="11"/>
            </w:pPr>
            <w:r>
              <w:t>二、公务用车购置及运维费</w:t>
            </w: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7</w:t>
            </w:r>
          </w:p>
        </w:tc>
        <w:tc>
          <w:tcPr>
            <w:tcW w:w="1643" w:type="dxa"/>
            <w:vAlign w:val="center"/>
          </w:tcPr>
          <w:p>
            <w:pPr>
              <w:pStyle w:val="11"/>
            </w:pPr>
            <w:r>
              <w:t xml:space="preserve">    其中：公务用车购置费</w:t>
            </w: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2"/>
            </w:pPr>
            <w:r>
              <w:t>8</w:t>
            </w:r>
          </w:p>
        </w:tc>
        <w:tc>
          <w:tcPr>
            <w:tcW w:w="1643" w:type="dxa"/>
            <w:vAlign w:val="center"/>
          </w:tcPr>
          <w:p>
            <w:pPr>
              <w:pStyle w:val="11"/>
            </w:pPr>
            <w:r>
              <w:t xml:space="preserve">          公务用车运行维护费</w:t>
            </w: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9</w:t>
            </w:r>
          </w:p>
        </w:tc>
        <w:tc>
          <w:tcPr>
            <w:tcW w:w="1643" w:type="dxa"/>
            <w:vAlign w:val="center"/>
          </w:tcPr>
          <w:p>
            <w:pPr>
              <w:pStyle w:val="11"/>
            </w:pPr>
            <w:r>
              <w:t>三、公务接待费</w:t>
            </w:r>
          </w:p>
        </w:tc>
        <w:tc>
          <w:tcPr>
            <w:tcW w:w="1643" w:type="dxa"/>
            <w:vAlign w:val="center"/>
          </w:tcPr>
          <w:p>
            <w:pPr>
              <w:pStyle w:val="10"/>
            </w:pPr>
            <w:r>
              <w:t>15.20</w:t>
            </w:r>
          </w:p>
        </w:tc>
        <w:tc>
          <w:tcPr>
            <w:tcW w:w="1643" w:type="dxa"/>
            <w:vAlign w:val="center"/>
          </w:tcPr>
          <w:p>
            <w:pPr>
              <w:pStyle w:val="10"/>
            </w:pPr>
            <w:r>
              <w:t>15.20</w:t>
            </w:r>
          </w:p>
        </w:tc>
        <w:tc>
          <w:tcPr>
            <w:tcW w:w="1643" w:type="dxa"/>
            <w:vAlign w:val="center"/>
          </w:tcPr>
          <w:p>
            <w:pPr>
              <w:pStyle w:val="10"/>
            </w:pPr>
          </w:p>
        </w:tc>
        <w:tc>
          <w:tcPr>
            <w:tcW w:w="1643" w:type="dxa"/>
            <w:vAlign w:val="center"/>
          </w:tcPr>
          <w:p>
            <w:pPr>
              <w:pStyle w:val="10"/>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隆尧县人民政府办公室本级2022年单位预算信息公开情况说明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按照《预算法》、《地方预决算公开操作规程》和《关于进一步推进预算公开工作的实施意见》规定，现将隆尧县人民政府办公室本级2022年单位预算公开如下：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pPr>
        <w:pStyle w:val="28"/>
      </w:pPr>
      <w:r>
        <w:t>（二）负责县政府领导活动的组织和协调工作；负责县政府会议的筹备和服务工作，协助县政府领导组织落实会议决定事项。</w:t>
      </w:r>
    </w:p>
    <w:p>
      <w:pPr>
        <w:pStyle w:val="28"/>
      </w:pPr>
      <w:r>
        <w:t>（三）研究县政府各部门、各乡镇政府、开发区、食品城请示县政府的事项，提出审核意见，报县政府领导审批。</w:t>
      </w:r>
    </w:p>
    <w:p>
      <w:pPr>
        <w:pStyle w:val="28"/>
      </w:pPr>
      <w:r>
        <w:t>（四）根据县政府领导的指示，对县政府部门间出现的争议问题提出处理意见，报县政府领导决定。</w:t>
      </w:r>
    </w:p>
    <w:p>
      <w:pPr>
        <w:pStyle w:val="28"/>
      </w:pPr>
      <w:r>
        <w:t>（五）组织起草县政府领导重要讲话及其他重要文稿。</w:t>
      </w:r>
    </w:p>
    <w:p>
      <w:pPr>
        <w:pStyle w:val="28"/>
      </w:pPr>
      <w:r>
        <w:t>（六）督促检查县政府各部门、各乡镇政府、开发区、食品城对市政府和县政府决定事项及市政府、县政府领导重要批示的执行落实情况并跟踪调研，及时向县政府领导报告。</w:t>
      </w:r>
    </w:p>
    <w:p>
      <w:pPr>
        <w:pStyle w:val="28"/>
      </w:pPr>
      <w:r>
        <w:t>（七）负责县政府值班工作，及时报告重要情况，传达和督促落实县政府领导工作要求，协助处理各部门、各乡镇向县政府反映的重要问题。</w:t>
      </w:r>
    </w:p>
    <w:p>
      <w:pPr>
        <w:pStyle w:val="28"/>
      </w:pPr>
      <w:r>
        <w:t>（八）根据县政府工作部署和县政府领导的指示，组织专题调研，及时反映情况，提出建议。</w:t>
      </w:r>
    </w:p>
    <w:p>
      <w:pPr>
        <w:pStyle w:val="28"/>
      </w:pPr>
      <w:r>
        <w:t>（九）组织承办人大代表建议和政协提案工作。</w:t>
      </w:r>
    </w:p>
    <w:p>
      <w:pPr>
        <w:pStyle w:val="28"/>
      </w:pPr>
      <w:r>
        <w:t>（十）负责推进、指导、协调、监督全县政府信息公开工作。</w:t>
      </w:r>
    </w:p>
    <w:p>
      <w:pPr>
        <w:pStyle w:val="28"/>
      </w:pPr>
      <w:r>
        <w:t>（十一）负责政务信息（包括舆情信息）服务工作和全县政府系统机关电子政务工作，协同有关部门统筹协调县政府新闻宣传、舆情回应等工作。</w:t>
      </w:r>
    </w:p>
    <w:p>
      <w:pPr>
        <w:pStyle w:val="28"/>
      </w:pPr>
      <w: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pPr>
        <w:pStyle w:val="28"/>
      </w:pPr>
      <w:r>
        <w:t>（十三）负责县政府公务接待工作；做好县政府办公室有关行政事务工作。</w:t>
      </w:r>
    </w:p>
    <w:p>
      <w:pPr>
        <w:pStyle w:val="28"/>
      </w:pPr>
      <w:r>
        <w:t>（十四）负责综合性政策研究并向县政府提供决策咨询。</w:t>
      </w:r>
    </w:p>
    <w:p>
      <w:pPr>
        <w:pStyle w:val="28"/>
      </w:pPr>
      <w:r>
        <w:t>（十五）负责关于党中央重要文件涉及县政府系统需落实事项、县委主要领导批示件和县委常委会会议决定、县委专题会议议定的涉及县政府系统落实事项的督办、汇总、反馈工作。</w:t>
      </w:r>
    </w:p>
    <w:p>
      <w:pPr>
        <w:pStyle w:val="28"/>
      </w:pPr>
      <w:r>
        <w:t>（十六）负责承办县政府提请县人大常委会任免议案和县政府任免人员的行政任免手续等有关事宜，承办县政府任命工作人员宪法宣誓工作。</w:t>
      </w:r>
    </w:p>
    <w:p>
      <w:pPr>
        <w:pStyle w:val="28"/>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pStyle w:val="28"/>
      </w:pPr>
      <w:r>
        <w:t>（十八）贯彻执行国家、省、市有关人民防空的法律、法规和规章，结合我县实际，拟订人民防空工作管理办法、人民防空事业发展规划和年度计划，经县政府批准后组织实施和监督检查。</w:t>
      </w:r>
    </w:p>
    <w:p>
      <w:pPr>
        <w:pStyle w:val="28"/>
      </w:pPr>
      <w:r>
        <w:t>（十九）管理人民防空工程建设；负责人民防空组织指挥工作；负责人民防空信息化建设；组织开展防空防灾宣传教育；战时组织指挥城乡群众开展防空袭斗争；承担县政府赋予的防灾救灾等应急保障任务。</w:t>
      </w:r>
    </w:p>
    <w:p>
      <w:pPr>
        <w:pStyle w:val="28"/>
      </w:pPr>
      <w:r>
        <w:t>（二十）负责指导地方志编研工作。</w:t>
      </w:r>
    </w:p>
    <w:p>
      <w:pPr>
        <w:pStyle w:val="28"/>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9"/>
            </w:pPr>
            <w:r>
              <w:t>单位名称</w:t>
            </w:r>
          </w:p>
        </w:tc>
        <w:tc>
          <w:tcPr>
            <w:tcW w:w="2464" w:type="dxa"/>
            <w:vAlign w:val="center"/>
          </w:tcPr>
          <w:p>
            <w:pPr>
              <w:pStyle w:val="9"/>
            </w:pPr>
            <w:r>
              <w:t>单位性质</w:t>
            </w:r>
          </w:p>
        </w:tc>
        <w:tc>
          <w:tcPr>
            <w:tcW w:w="2464" w:type="dxa"/>
            <w:vAlign w:val="center"/>
          </w:tcPr>
          <w:p>
            <w:pPr>
              <w:pStyle w:val="9"/>
            </w:pPr>
            <w:r>
              <w:t>单位规格</w:t>
            </w:r>
          </w:p>
        </w:tc>
        <w:tc>
          <w:tcPr>
            <w:tcW w:w="2464"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1"/>
            </w:pPr>
            <w:r>
              <w:t>隆尧县人民政府办公室本级</w:t>
            </w:r>
          </w:p>
        </w:tc>
        <w:tc>
          <w:tcPr>
            <w:tcW w:w="2464" w:type="dxa"/>
            <w:vAlign w:val="center"/>
          </w:tcPr>
          <w:p>
            <w:pPr>
              <w:pStyle w:val="12"/>
            </w:pPr>
            <w:r>
              <w:t>行政</w:t>
            </w:r>
          </w:p>
        </w:tc>
        <w:tc>
          <w:tcPr>
            <w:tcW w:w="2464" w:type="dxa"/>
            <w:vAlign w:val="center"/>
          </w:tcPr>
          <w:p>
            <w:pPr>
              <w:pStyle w:val="12"/>
            </w:pPr>
            <w:r>
              <w:t>正科级</w:t>
            </w:r>
          </w:p>
        </w:tc>
        <w:tc>
          <w:tcPr>
            <w:tcW w:w="2464" w:type="dxa"/>
            <w:vAlign w:val="center"/>
          </w:tcPr>
          <w:p>
            <w:pPr>
              <w:pStyle w:val="12"/>
            </w:pPr>
            <w:r>
              <w:t>财政拨款</w:t>
            </w:r>
          </w:p>
        </w:tc>
      </w:tr>
    </w:tbl>
    <w:p>
      <w:pPr>
        <w:pStyle w:val="28"/>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按照预算管理有关规定，目前我省</w:t>
      </w:r>
      <w:r>
        <w:rPr>
          <w:rFonts w:hint="eastAsia"/>
          <w:lang w:eastAsia="zh-CN"/>
        </w:rPr>
        <w:t>单位</w:t>
      </w:r>
      <w:r>
        <w:t>预算的编制实行综合预算管理，即全部收入和支出都反映的预算中。隆尧县人民政府办公室的收支包含在</w:t>
      </w:r>
      <w:r>
        <w:rPr>
          <w:rFonts w:hint="eastAsia"/>
          <w:lang w:eastAsia="zh-CN"/>
        </w:rPr>
        <w:t>单位</w:t>
      </w:r>
      <w:r>
        <w:t>预算中。</w:t>
      </w:r>
    </w:p>
    <w:p>
      <w:pPr>
        <w:pStyle w:val="28"/>
      </w:pPr>
      <w:r>
        <w:t>1、收入说明</w:t>
      </w:r>
    </w:p>
    <w:p>
      <w:pPr>
        <w:pStyle w:val="28"/>
      </w:pPr>
      <w:r>
        <w:t>反映本</w:t>
      </w:r>
      <w:r>
        <w:rPr>
          <w:rFonts w:hint="eastAsia"/>
          <w:lang w:eastAsia="zh-CN"/>
        </w:rPr>
        <w:t>单位</w:t>
      </w:r>
      <w:r>
        <w:t>当年全部收入。2022年预算收入969.2466万元，其中：一般公共预算收入969.2466万元，基金预算收入0万元，财政专户核拨收入0万元，其他来源收入0万元。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隆尧县人民政府办公室年度部门预算中支出预算的总体情况。2022年部门支出预算为969.2466万元，其中基本支出518.748万元，包括人员经费469.828万元和日常公用经费48.92万元；项目支出450.4986万元，主要为政府办专项公用经费103.09万元，综合治税经费4.2万元，人防办经费4.2万元，人防办编制人民防空方案经费28万元，人防办创建“人防社区”经费15.606万元，人防办创建“学校人防宣教室”经费26.4026万元，地方志经费9.3万元，政务公开办经费94万元，金融办经费9万元，督查调研4.2万元，视频点名项目2.5万元，智慧中心经费80万元，劳务派遣人员经费70万元。</w:t>
      </w:r>
    </w:p>
    <w:p>
      <w:pPr>
        <w:pStyle w:val="28"/>
      </w:pPr>
      <w:r>
        <w:t>3、比上年增减情况</w:t>
      </w:r>
    </w:p>
    <w:p>
      <w:pPr>
        <w:pStyle w:val="28"/>
      </w:pPr>
      <w:r>
        <w:t>2022年</w:t>
      </w:r>
      <w:r>
        <w:rPr>
          <w:rFonts w:hint="eastAsia"/>
          <w:lang w:eastAsia="zh-CN"/>
        </w:rPr>
        <w:t>单位</w:t>
      </w:r>
      <w:r>
        <w:t>预算收支安排969.2466万元，较2021年</w:t>
      </w:r>
      <w:r>
        <w:rPr>
          <w:rFonts w:hint="eastAsia"/>
          <w:lang w:eastAsia="zh-CN"/>
        </w:rPr>
        <w:t>预算</w:t>
      </w:r>
      <w:r>
        <w:t>减少986.4434万元，其中：基本支出增加41.278万元，主要是增加经费；项目支出减少1027.7214万元，主要</w:t>
      </w:r>
      <w:r>
        <w:rPr>
          <w:rFonts w:hint="eastAsia"/>
          <w:lang w:eastAsia="zh-CN"/>
        </w:rPr>
        <w:t>是减少</w:t>
      </w:r>
      <w:r>
        <w:t>政府办专项公用经费等。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8"/>
      </w:pPr>
      <w:r>
        <w:t>2022年，我</w:t>
      </w:r>
      <w:r>
        <w:rPr>
          <w:rFonts w:hint="eastAsia"/>
          <w:lang w:eastAsia="zh-CN"/>
        </w:rPr>
        <w:t>单位</w:t>
      </w:r>
      <w:r>
        <w:t>机关运行经费共计安排48.92万元，主要用于保证机关正常运转的办公及印刷费等支出，比上年减少5.948万元，原因为厉行节约，大力压缩开支。</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8"/>
      </w:pPr>
      <w:r>
        <w:t>202</w:t>
      </w:r>
      <w:r>
        <w:rPr>
          <w:rFonts w:hint="eastAsia"/>
          <w:lang w:val="en-US" w:eastAsia="zh-CN"/>
        </w:rPr>
        <w:t>2</w:t>
      </w:r>
      <w:r>
        <w:t>年，我</w:t>
      </w:r>
      <w:r>
        <w:rPr>
          <w:rFonts w:hint="eastAsia"/>
          <w:lang w:eastAsia="zh-CN"/>
        </w:rPr>
        <w:t>单位</w:t>
      </w:r>
      <w:r>
        <w:t>财政拨款“三公”经费预算安排15.2万元，其中：因公出国（境）费0万元,与上年持平，主要原因为本年度未发生出国费用。公务用车购置及运维费0万元（其中：公务用车购置费0万元，公务用车运行维护费0万元)，较上年减少3万元，主要原因为本年度无公务用车运行维护费。公务接待费15.2万元，较上年减少33.3万元，主要原因为今年公务接待任务比较少</w:t>
      </w:r>
      <w:r>
        <w:rPr>
          <w:rFonts w:hint="eastAsia"/>
          <w:lang w:eastAsia="zh-CN"/>
        </w:rPr>
        <w:t>。</w:t>
      </w:r>
    </w:p>
    <w:p>
      <w:pPr>
        <w:pStyle w:val="31"/>
      </w:pPr>
    </w:p>
    <w:p>
      <w:pPr>
        <w:spacing w:before="10" w:after="10" w:line="240" w:lineRule="auto"/>
        <w:ind w:firstLine="640"/>
        <w:jc w:val="left"/>
        <w:outlineLvl w:val="5"/>
      </w:pPr>
      <w:r>
        <w:rPr>
          <w:rFonts w:ascii="黑体" w:hAnsi="黑体" w:eastAsia="黑体" w:cs="黑体"/>
          <w:color w:val="000000"/>
          <w:sz w:val="32"/>
        </w:rPr>
        <w:t>五、预算绩效信息</w:t>
      </w:r>
    </w:p>
    <w:p>
      <w:pPr>
        <w:pStyle w:val="23"/>
        <w:spacing w:before="0" w:after="0"/>
        <w:ind w:firstLine="560"/>
        <w:jc w:val="left"/>
        <w:outlineLvl w:val="9"/>
        <w:rPr>
          <w:rFonts w:hint="default" w:eastAsia="方正仿宋_GBK"/>
          <w:lang w:val="en-US" w:eastAsia="zh-CN"/>
        </w:rPr>
      </w:pPr>
      <w:r>
        <w:rPr>
          <w:rFonts w:ascii="方正仿宋_GBK" w:hAnsi="方正仿宋_GBK" w:eastAsia="方正仿宋_GBK" w:cs="方正仿宋_GBK"/>
          <w:b/>
          <w:color w:val="000000"/>
          <w:sz w:val="28"/>
        </w:rPr>
        <w:t>1、地方志经费绩效目标表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1.2022年内实现《隆尧年鉴》公开出版</w:t>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年鉴编修完成率</w:t>
            </w:r>
          </w:p>
        </w:tc>
        <w:tc>
          <w:tcPr>
            <w:tcW w:w="2466" w:type="dxa"/>
            <w:vAlign w:val="center"/>
          </w:tcPr>
          <w:p>
            <w:pPr>
              <w:pStyle w:val="25"/>
            </w:pPr>
            <w:r>
              <w:t>按省、市地方志办公室要求，隆尧年鉴编修工作全部完成</w:t>
            </w:r>
          </w:p>
        </w:tc>
        <w:tc>
          <w:tcPr>
            <w:tcW w:w="2466" w:type="dxa"/>
            <w:vAlign w:val="center"/>
          </w:tcPr>
          <w:p>
            <w:pPr>
              <w:pStyle w:val="25"/>
            </w:pPr>
            <w:r>
              <w:t>≥0.95年鉴编修完成率</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年鉴编修无错误</w:t>
            </w:r>
          </w:p>
        </w:tc>
        <w:tc>
          <w:tcPr>
            <w:tcW w:w="2466" w:type="dxa"/>
            <w:vAlign w:val="center"/>
          </w:tcPr>
          <w:p>
            <w:pPr>
              <w:pStyle w:val="25"/>
            </w:pPr>
            <w:r>
              <w:t>年鉴编修无错误，保质保量完成</w:t>
            </w:r>
          </w:p>
        </w:tc>
        <w:tc>
          <w:tcPr>
            <w:tcW w:w="2466" w:type="dxa"/>
            <w:vAlign w:val="center"/>
          </w:tcPr>
          <w:p>
            <w:pPr>
              <w:pStyle w:val="25"/>
            </w:pPr>
            <w:r>
              <w:t>≥0.95年鉴编修无错误</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省、市年鉴隆尧部分编修完成率</w:t>
            </w:r>
          </w:p>
        </w:tc>
        <w:tc>
          <w:tcPr>
            <w:tcW w:w="2466" w:type="dxa"/>
            <w:vAlign w:val="center"/>
          </w:tcPr>
          <w:p>
            <w:pPr>
              <w:pStyle w:val="25"/>
            </w:pPr>
            <w:r>
              <w:t>省、市年鉴隆尧部分的编修报送工作全部完成</w:t>
            </w:r>
          </w:p>
        </w:tc>
        <w:tc>
          <w:tcPr>
            <w:tcW w:w="2466" w:type="dxa"/>
            <w:vAlign w:val="center"/>
          </w:tcPr>
          <w:p>
            <w:pPr>
              <w:pStyle w:val="25"/>
            </w:pPr>
            <w:r>
              <w:t>≥0.95省、市年鉴隆尧部分编修完成率</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完成率</w:t>
            </w:r>
          </w:p>
        </w:tc>
        <w:tc>
          <w:tcPr>
            <w:tcW w:w="2466" w:type="dxa"/>
            <w:vAlign w:val="center"/>
          </w:tcPr>
          <w:p>
            <w:pPr>
              <w:pStyle w:val="25"/>
            </w:pPr>
            <w:r>
              <w:t>地方志正常运行成本按照计划完成</w:t>
            </w:r>
          </w:p>
        </w:tc>
        <w:tc>
          <w:tcPr>
            <w:tcW w:w="2466" w:type="dxa"/>
            <w:vAlign w:val="center"/>
          </w:tcPr>
          <w:p>
            <w:pPr>
              <w:pStyle w:val="25"/>
            </w:pPr>
            <w:r>
              <w:t>≥0.95完成率</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进一步宣扬优秀文化传统</w:t>
            </w:r>
          </w:p>
        </w:tc>
        <w:tc>
          <w:tcPr>
            <w:tcW w:w="2466" w:type="dxa"/>
            <w:vAlign w:val="center"/>
          </w:tcPr>
          <w:p>
            <w:pPr>
              <w:pStyle w:val="25"/>
            </w:pPr>
            <w:r>
              <w:t>进一步宣扬优秀文化传统</w:t>
            </w:r>
          </w:p>
        </w:tc>
        <w:tc>
          <w:tcPr>
            <w:tcW w:w="2466" w:type="dxa"/>
            <w:vAlign w:val="center"/>
          </w:tcPr>
          <w:p>
            <w:pPr>
              <w:pStyle w:val="25"/>
            </w:pPr>
            <w:r>
              <w:t>≥0.95进一步宣扬优秀文化传统</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群众满意度</w:t>
            </w:r>
          </w:p>
        </w:tc>
        <w:tc>
          <w:tcPr>
            <w:tcW w:w="2466" w:type="dxa"/>
            <w:vAlign w:val="center"/>
          </w:tcPr>
          <w:p>
            <w:pPr>
              <w:pStyle w:val="25"/>
            </w:pPr>
            <w:r>
              <w:t>群众满意度</w:t>
            </w:r>
          </w:p>
        </w:tc>
        <w:tc>
          <w:tcPr>
            <w:tcW w:w="2466" w:type="dxa"/>
            <w:vAlign w:val="center"/>
          </w:tcPr>
          <w:p>
            <w:pPr>
              <w:pStyle w:val="25"/>
            </w:pPr>
            <w:r>
              <w:t>≥0.95</w:t>
            </w:r>
          </w:p>
        </w:tc>
        <w:tc>
          <w:tcPr>
            <w:tcW w:w="2466" w:type="dxa"/>
            <w:vAlign w:val="center"/>
          </w:tcPr>
          <w:p>
            <w:pPr>
              <w:pStyle w:val="25"/>
            </w:pPr>
            <w:r>
              <w:t>根据上级要求</w:t>
            </w:r>
          </w:p>
          <w:p>
            <w:pPr>
              <w:pStyle w:val="25"/>
            </w:pP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2、督查调研绩效目标表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1.督查室督查和检查工作正常开展，主要对省市涉及我县重点工作和2022年度我县政府系统重点工作开展专项督查，完成年度国务院大督查迎检工作任务。</w:t>
            </w:r>
            <w:r>
              <w:tab/>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省市重点工作</w:t>
            </w:r>
          </w:p>
        </w:tc>
        <w:tc>
          <w:tcPr>
            <w:tcW w:w="2466" w:type="dxa"/>
            <w:vAlign w:val="center"/>
          </w:tcPr>
          <w:p>
            <w:pPr>
              <w:pStyle w:val="25"/>
            </w:pPr>
            <w:r>
              <w:t>工作完成量占全部工作的比率</w:t>
            </w:r>
          </w:p>
        </w:tc>
        <w:tc>
          <w:tcPr>
            <w:tcW w:w="2466" w:type="dxa"/>
            <w:vAlign w:val="center"/>
          </w:tcPr>
          <w:p>
            <w:pPr>
              <w:pStyle w:val="25"/>
            </w:pPr>
            <w:r>
              <w:t>≥0.95省市重点工作</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迎检工作完成比例</w:t>
            </w:r>
          </w:p>
        </w:tc>
        <w:tc>
          <w:tcPr>
            <w:tcW w:w="2466" w:type="dxa"/>
            <w:vAlign w:val="center"/>
          </w:tcPr>
          <w:p>
            <w:pPr>
              <w:pStyle w:val="25"/>
            </w:pPr>
            <w:r>
              <w:t>迎检工作完成工作量占全年迎检工作比率</w:t>
            </w:r>
          </w:p>
        </w:tc>
        <w:tc>
          <w:tcPr>
            <w:tcW w:w="2466" w:type="dxa"/>
            <w:vAlign w:val="center"/>
          </w:tcPr>
          <w:p>
            <w:pPr>
              <w:pStyle w:val="25"/>
            </w:pPr>
            <w:r>
              <w:t>≥0.95迎检工作完成比例</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推进工作开展</w:t>
            </w:r>
          </w:p>
        </w:tc>
        <w:tc>
          <w:tcPr>
            <w:tcW w:w="2466" w:type="dxa"/>
            <w:vAlign w:val="center"/>
          </w:tcPr>
          <w:p>
            <w:pPr>
              <w:pStyle w:val="25"/>
            </w:pPr>
            <w:r>
              <w:t>推进各项重点工作扎实开展、取得实效</w:t>
            </w:r>
          </w:p>
        </w:tc>
        <w:tc>
          <w:tcPr>
            <w:tcW w:w="2466" w:type="dxa"/>
            <w:vAlign w:val="center"/>
          </w:tcPr>
          <w:p>
            <w:pPr>
              <w:pStyle w:val="25"/>
            </w:pPr>
            <w:r>
              <w:t>≥0.95推进工作开展</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县重点工作完成比例</w:t>
            </w:r>
          </w:p>
        </w:tc>
        <w:tc>
          <w:tcPr>
            <w:tcW w:w="2466" w:type="dxa"/>
            <w:vAlign w:val="center"/>
          </w:tcPr>
          <w:p>
            <w:pPr>
              <w:pStyle w:val="25"/>
            </w:pPr>
            <w:r>
              <w:t>全县政府系统重点工作完成量占全部工作比率</w:t>
            </w:r>
          </w:p>
        </w:tc>
        <w:tc>
          <w:tcPr>
            <w:tcW w:w="2466" w:type="dxa"/>
            <w:vAlign w:val="center"/>
          </w:tcPr>
          <w:p>
            <w:pPr>
              <w:pStyle w:val="25"/>
            </w:pPr>
            <w:r>
              <w:t>≥0.95县重点工作完成比例</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省市考核优秀率</w:t>
            </w:r>
          </w:p>
        </w:tc>
        <w:tc>
          <w:tcPr>
            <w:tcW w:w="2466" w:type="dxa"/>
            <w:vAlign w:val="center"/>
          </w:tcPr>
          <w:p>
            <w:pPr>
              <w:pStyle w:val="25"/>
            </w:pPr>
            <w:r>
              <w:t>考核优秀工作量占全部考核工作的比率</w:t>
            </w:r>
          </w:p>
        </w:tc>
        <w:tc>
          <w:tcPr>
            <w:tcW w:w="2466" w:type="dxa"/>
            <w:vAlign w:val="center"/>
          </w:tcPr>
          <w:p>
            <w:pPr>
              <w:pStyle w:val="25"/>
            </w:pPr>
            <w:r>
              <w:t>≥0.95省市考核优秀率</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迎检工作满意度</w:t>
            </w:r>
          </w:p>
        </w:tc>
        <w:tc>
          <w:tcPr>
            <w:tcW w:w="2466" w:type="dxa"/>
            <w:vAlign w:val="center"/>
          </w:tcPr>
          <w:p>
            <w:pPr>
              <w:pStyle w:val="25"/>
            </w:pPr>
            <w:r>
              <w:t>对迎检工作满意的领导占迎检领导的比率</w:t>
            </w:r>
          </w:p>
        </w:tc>
        <w:tc>
          <w:tcPr>
            <w:tcW w:w="2466" w:type="dxa"/>
            <w:vAlign w:val="center"/>
          </w:tcPr>
          <w:p>
            <w:pPr>
              <w:pStyle w:val="25"/>
            </w:pPr>
            <w:r>
              <w:t>≥0.95迎检工作满意度</w:t>
            </w:r>
          </w:p>
        </w:tc>
        <w:tc>
          <w:tcPr>
            <w:tcW w:w="2466" w:type="dxa"/>
            <w:vAlign w:val="center"/>
          </w:tcPr>
          <w:p>
            <w:pPr>
              <w:pStyle w:val="25"/>
            </w:pPr>
            <w:r>
              <w:t>根据上级要求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3、金融办经费绩效目标表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1.金融办各项日常工作正常开展，保证日常工作顺利进行；认真做好防范金融风险宣传，企业上市培训、防范和化解金融风险培训，扶贫小额贷款投放，政银企对接，邢易融推广并完成其它年度工作任务。</w:t>
            </w:r>
            <w:r>
              <w:tab/>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次数</w:t>
            </w:r>
          </w:p>
        </w:tc>
        <w:tc>
          <w:tcPr>
            <w:tcW w:w="2466" w:type="dxa"/>
            <w:vAlign w:val="center"/>
          </w:tcPr>
          <w:p>
            <w:pPr>
              <w:pStyle w:val="25"/>
            </w:pPr>
            <w:r>
              <w:t>全年完成防范金融风险、防范打击非法集资宣传12次以上，发放宣传资料100000余份、金融扶贫扶贫小额贷款政策宣传资料4000份，</w:t>
            </w:r>
          </w:p>
        </w:tc>
        <w:tc>
          <w:tcPr>
            <w:tcW w:w="2466" w:type="dxa"/>
            <w:vAlign w:val="center"/>
          </w:tcPr>
          <w:p>
            <w:pPr>
              <w:pStyle w:val="25"/>
            </w:pPr>
            <w:r>
              <w:t>≥0.95次数</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完成任务</w:t>
            </w:r>
          </w:p>
        </w:tc>
        <w:tc>
          <w:tcPr>
            <w:tcW w:w="2466" w:type="dxa"/>
            <w:vAlign w:val="center"/>
          </w:tcPr>
          <w:p>
            <w:pPr>
              <w:pStyle w:val="25"/>
            </w:pPr>
            <w:r>
              <w:t>完成省市人防办2022年工作要点安排任务。</w:t>
            </w:r>
          </w:p>
        </w:tc>
        <w:tc>
          <w:tcPr>
            <w:tcW w:w="2466" w:type="dxa"/>
            <w:vAlign w:val="center"/>
          </w:tcPr>
          <w:p>
            <w:pPr>
              <w:pStyle w:val="25"/>
            </w:pPr>
            <w:r>
              <w:t>≥0.95完成任务</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每月完成情况</w:t>
            </w:r>
          </w:p>
        </w:tc>
        <w:tc>
          <w:tcPr>
            <w:tcW w:w="2466" w:type="dxa"/>
            <w:vAlign w:val="center"/>
          </w:tcPr>
          <w:p>
            <w:pPr>
              <w:pStyle w:val="25"/>
            </w:pPr>
            <w:r>
              <w:t>每月至少进行一次防范和打击非法集资宣传、安排处非领导小组成员单位进行一次金融风险排查等。</w:t>
            </w:r>
          </w:p>
        </w:tc>
        <w:tc>
          <w:tcPr>
            <w:tcW w:w="2466" w:type="dxa"/>
            <w:vAlign w:val="center"/>
          </w:tcPr>
          <w:p>
            <w:pPr>
              <w:pStyle w:val="25"/>
            </w:pPr>
            <w:r>
              <w:t>≥0.95每月完成情况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支出情况</w:t>
            </w:r>
          </w:p>
        </w:tc>
        <w:tc>
          <w:tcPr>
            <w:tcW w:w="2466" w:type="dxa"/>
            <w:vAlign w:val="center"/>
          </w:tcPr>
          <w:p>
            <w:pPr>
              <w:pStyle w:val="25"/>
            </w:pPr>
            <w:r>
              <w:t>每项工作开展的各种经费支出不超预算安排。</w:t>
            </w:r>
          </w:p>
        </w:tc>
        <w:tc>
          <w:tcPr>
            <w:tcW w:w="2466" w:type="dxa"/>
            <w:vAlign w:val="center"/>
          </w:tcPr>
          <w:p>
            <w:pPr>
              <w:pStyle w:val="25"/>
            </w:pPr>
            <w:r>
              <w:t>≥0.95支出情况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发挥作用</w:t>
            </w:r>
          </w:p>
        </w:tc>
        <w:tc>
          <w:tcPr>
            <w:tcW w:w="2466" w:type="dxa"/>
            <w:vAlign w:val="center"/>
          </w:tcPr>
          <w:p>
            <w:pPr>
              <w:pStyle w:val="25"/>
            </w:pPr>
            <w:r>
              <w:t>有效防范和化解金融风险、推进金融机构贷款投放、支持乡村振兴、拉动县域经济发展</w:t>
            </w:r>
          </w:p>
        </w:tc>
        <w:tc>
          <w:tcPr>
            <w:tcW w:w="2466" w:type="dxa"/>
            <w:vAlign w:val="center"/>
          </w:tcPr>
          <w:p>
            <w:pPr>
              <w:pStyle w:val="25"/>
            </w:pPr>
            <w:r>
              <w:t>≥0.95发挥作用</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满意度</w:t>
            </w:r>
          </w:p>
        </w:tc>
        <w:tc>
          <w:tcPr>
            <w:tcW w:w="2466" w:type="dxa"/>
            <w:vAlign w:val="center"/>
          </w:tcPr>
          <w:p>
            <w:pPr>
              <w:pStyle w:val="25"/>
            </w:pPr>
            <w:r>
              <w:t>群众满意度</w:t>
            </w:r>
          </w:p>
        </w:tc>
        <w:tc>
          <w:tcPr>
            <w:tcW w:w="2466" w:type="dxa"/>
            <w:vAlign w:val="center"/>
          </w:tcPr>
          <w:p>
            <w:pPr>
              <w:pStyle w:val="25"/>
            </w:pPr>
            <w:r>
              <w:t>≥0.95满意度</w:t>
            </w:r>
          </w:p>
        </w:tc>
        <w:tc>
          <w:tcPr>
            <w:tcW w:w="2466" w:type="dxa"/>
            <w:vAlign w:val="center"/>
          </w:tcPr>
          <w:p>
            <w:pPr>
              <w:pStyle w:val="25"/>
            </w:pPr>
            <w:r>
              <w:t>根据上级要求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4、劳务派遣人员经费绩效目标表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1.隆尧县961890书记县长热线有序开展</w:t>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完成热线交办量</w:t>
            </w:r>
          </w:p>
        </w:tc>
        <w:tc>
          <w:tcPr>
            <w:tcW w:w="2466" w:type="dxa"/>
            <w:vAlign w:val="center"/>
          </w:tcPr>
          <w:p>
            <w:pPr>
              <w:pStyle w:val="25"/>
            </w:pPr>
            <w:r>
              <w:t>完成热线交办量</w:t>
            </w:r>
          </w:p>
        </w:tc>
        <w:tc>
          <w:tcPr>
            <w:tcW w:w="2466" w:type="dxa"/>
            <w:vAlign w:val="center"/>
          </w:tcPr>
          <w:p>
            <w:pPr>
              <w:pStyle w:val="25"/>
            </w:pPr>
            <w:r>
              <w:t>≥0.95完成热线交办量</w:t>
            </w:r>
          </w:p>
        </w:tc>
        <w:tc>
          <w:tcPr>
            <w:tcW w:w="2466" w:type="dxa"/>
            <w:vAlign w:val="center"/>
          </w:tcPr>
          <w:p>
            <w:pPr>
              <w:pStyle w:val="25"/>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热线完成率</w:t>
            </w:r>
          </w:p>
        </w:tc>
        <w:tc>
          <w:tcPr>
            <w:tcW w:w="2466" w:type="dxa"/>
            <w:vAlign w:val="center"/>
          </w:tcPr>
          <w:p>
            <w:pPr>
              <w:pStyle w:val="25"/>
            </w:pPr>
            <w:r>
              <w:t>热线交办后完成率</w:t>
            </w:r>
          </w:p>
        </w:tc>
        <w:tc>
          <w:tcPr>
            <w:tcW w:w="2466" w:type="dxa"/>
            <w:vAlign w:val="center"/>
          </w:tcPr>
          <w:p>
            <w:pPr>
              <w:pStyle w:val="25"/>
            </w:pPr>
            <w:r>
              <w:t>≥0.95热线完成率</w:t>
            </w:r>
          </w:p>
        </w:tc>
        <w:tc>
          <w:tcPr>
            <w:tcW w:w="2466" w:type="dxa"/>
            <w:vAlign w:val="center"/>
          </w:tcPr>
          <w:p>
            <w:pPr>
              <w:pStyle w:val="25"/>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热线交办及完结及时性</w:t>
            </w:r>
          </w:p>
        </w:tc>
        <w:tc>
          <w:tcPr>
            <w:tcW w:w="2466" w:type="dxa"/>
            <w:vAlign w:val="center"/>
          </w:tcPr>
          <w:p>
            <w:pPr>
              <w:pStyle w:val="25"/>
            </w:pPr>
            <w:r>
              <w:t>热线交办及完结及时性</w:t>
            </w:r>
          </w:p>
        </w:tc>
        <w:tc>
          <w:tcPr>
            <w:tcW w:w="2466" w:type="dxa"/>
            <w:vAlign w:val="center"/>
          </w:tcPr>
          <w:p>
            <w:pPr>
              <w:pStyle w:val="25"/>
            </w:pPr>
            <w:r>
              <w:t>≥0.95热线交办及完结及时性</w:t>
            </w:r>
          </w:p>
        </w:tc>
        <w:tc>
          <w:tcPr>
            <w:tcW w:w="2466" w:type="dxa"/>
            <w:vAlign w:val="center"/>
          </w:tcPr>
          <w:p>
            <w:pPr>
              <w:pStyle w:val="25"/>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热线正常运转人员经费</w:t>
            </w:r>
          </w:p>
        </w:tc>
        <w:tc>
          <w:tcPr>
            <w:tcW w:w="2466" w:type="dxa"/>
            <w:vAlign w:val="center"/>
          </w:tcPr>
          <w:p>
            <w:pPr>
              <w:pStyle w:val="25"/>
            </w:pPr>
            <w:r>
              <w:t>热线正常运转人员经费</w:t>
            </w:r>
          </w:p>
        </w:tc>
        <w:tc>
          <w:tcPr>
            <w:tcW w:w="2466" w:type="dxa"/>
            <w:vAlign w:val="center"/>
          </w:tcPr>
          <w:p>
            <w:pPr>
              <w:pStyle w:val="25"/>
            </w:pPr>
            <w:r>
              <w:t>≥0.95热线正常运转人员经费</w:t>
            </w:r>
          </w:p>
        </w:tc>
        <w:tc>
          <w:tcPr>
            <w:tcW w:w="2466" w:type="dxa"/>
            <w:vAlign w:val="center"/>
          </w:tcPr>
          <w:p>
            <w:pPr>
              <w:pStyle w:val="25"/>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可持续性服务</w:t>
            </w:r>
          </w:p>
        </w:tc>
        <w:tc>
          <w:tcPr>
            <w:tcW w:w="2466" w:type="dxa"/>
            <w:vAlign w:val="center"/>
          </w:tcPr>
          <w:p>
            <w:pPr>
              <w:pStyle w:val="25"/>
            </w:pPr>
            <w:r>
              <w:t>可持续性服务</w:t>
            </w:r>
          </w:p>
        </w:tc>
        <w:tc>
          <w:tcPr>
            <w:tcW w:w="2466" w:type="dxa"/>
            <w:vAlign w:val="center"/>
          </w:tcPr>
          <w:p>
            <w:pPr>
              <w:pStyle w:val="25"/>
            </w:pPr>
            <w:r>
              <w:t>≥0.95可持续性服务</w:t>
            </w:r>
          </w:p>
        </w:tc>
        <w:tc>
          <w:tcPr>
            <w:tcW w:w="2466" w:type="dxa"/>
            <w:vAlign w:val="center"/>
          </w:tcPr>
          <w:p>
            <w:pPr>
              <w:pStyle w:val="25"/>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满意率</w:t>
            </w:r>
          </w:p>
        </w:tc>
        <w:tc>
          <w:tcPr>
            <w:tcW w:w="2466" w:type="dxa"/>
            <w:vAlign w:val="center"/>
          </w:tcPr>
          <w:p>
            <w:pPr>
              <w:pStyle w:val="25"/>
            </w:pPr>
            <w:r>
              <w:t>满意率</w:t>
            </w:r>
          </w:p>
        </w:tc>
        <w:tc>
          <w:tcPr>
            <w:tcW w:w="2466" w:type="dxa"/>
            <w:vAlign w:val="center"/>
          </w:tcPr>
          <w:p>
            <w:pPr>
              <w:pStyle w:val="25"/>
            </w:pPr>
            <w:r>
              <w:t>≥0.95满意率</w:t>
            </w:r>
          </w:p>
        </w:tc>
        <w:tc>
          <w:tcPr>
            <w:tcW w:w="2466" w:type="dxa"/>
            <w:vAlign w:val="center"/>
          </w:tcPr>
          <w:p>
            <w:pPr>
              <w:pStyle w:val="25"/>
            </w:pPr>
            <w:r>
              <w:t>根据文件要求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5、人防办编制人民防空方案经费绩效目标表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1.按照《邢台市人民防空发展“十四五”规划》要求，按时完成人民防空方案编制工作。</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个数</w:t>
            </w:r>
          </w:p>
        </w:tc>
        <w:tc>
          <w:tcPr>
            <w:tcW w:w="2466" w:type="dxa"/>
            <w:vAlign w:val="center"/>
          </w:tcPr>
          <w:p>
            <w:pPr>
              <w:pStyle w:val="25"/>
            </w:pPr>
            <w:r>
              <w:t>编制一个我县人民防空方案。</w:t>
            </w:r>
          </w:p>
        </w:tc>
        <w:tc>
          <w:tcPr>
            <w:tcW w:w="2466" w:type="dxa"/>
            <w:vAlign w:val="center"/>
          </w:tcPr>
          <w:p>
            <w:pPr>
              <w:pStyle w:val="25"/>
            </w:pPr>
            <w:r>
              <w:t>≥0.95个数</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编制标准</w:t>
            </w:r>
          </w:p>
        </w:tc>
        <w:tc>
          <w:tcPr>
            <w:tcW w:w="2466" w:type="dxa"/>
            <w:vAlign w:val="center"/>
          </w:tcPr>
          <w:p>
            <w:pPr>
              <w:pStyle w:val="25"/>
            </w:pPr>
            <w:r>
              <w:t>探索新型人防指挥模式、行动样式、防护措施和保障方式。</w:t>
            </w:r>
          </w:p>
        </w:tc>
        <w:tc>
          <w:tcPr>
            <w:tcW w:w="2466" w:type="dxa"/>
            <w:vAlign w:val="center"/>
          </w:tcPr>
          <w:p>
            <w:pPr>
              <w:pStyle w:val="25"/>
            </w:pPr>
            <w:r>
              <w:t>≥0.95编制标准</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时间节点</w:t>
            </w:r>
          </w:p>
        </w:tc>
        <w:tc>
          <w:tcPr>
            <w:tcW w:w="2466" w:type="dxa"/>
            <w:vAlign w:val="center"/>
          </w:tcPr>
          <w:p>
            <w:pPr>
              <w:pStyle w:val="25"/>
            </w:pPr>
            <w:r>
              <w:t>2022年底前完成我县人民防空方案编制工作。</w:t>
            </w:r>
          </w:p>
        </w:tc>
        <w:tc>
          <w:tcPr>
            <w:tcW w:w="2466" w:type="dxa"/>
            <w:vAlign w:val="center"/>
          </w:tcPr>
          <w:p>
            <w:pPr>
              <w:pStyle w:val="25"/>
            </w:pPr>
            <w:r>
              <w:t>≥0.95时间节点</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支出情况</w:t>
            </w:r>
          </w:p>
        </w:tc>
        <w:tc>
          <w:tcPr>
            <w:tcW w:w="2466" w:type="dxa"/>
            <w:vAlign w:val="center"/>
          </w:tcPr>
          <w:p>
            <w:pPr>
              <w:pStyle w:val="25"/>
            </w:pPr>
            <w:r>
              <w:t>每项工作开展的各种经费支出不超预算安排。</w:t>
            </w:r>
          </w:p>
        </w:tc>
        <w:tc>
          <w:tcPr>
            <w:tcW w:w="2466" w:type="dxa"/>
            <w:vAlign w:val="center"/>
          </w:tcPr>
          <w:p>
            <w:pPr>
              <w:pStyle w:val="25"/>
            </w:pPr>
            <w:r>
              <w:t>≥0.95支出情况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发挥作用</w:t>
            </w:r>
          </w:p>
        </w:tc>
        <w:tc>
          <w:tcPr>
            <w:tcW w:w="2466" w:type="dxa"/>
            <w:vAlign w:val="center"/>
          </w:tcPr>
          <w:p>
            <w:pPr>
              <w:pStyle w:val="25"/>
            </w:pPr>
            <w:r>
              <w:t>进一步加强我县人防组织指挥体系建设。</w:t>
            </w:r>
          </w:p>
        </w:tc>
        <w:tc>
          <w:tcPr>
            <w:tcW w:w="2466" w:type="dxa"/>
            <w:vAlign w:val="center"/>
          </w:tcPr>
          <w:p>
            <w:pPr>
              <w:pStyle w:val="25"/>
            </w:pPr>
            <w:r>
              <w:t>≥0.95发挥作用</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满意度</w:t>
            </w:r>
          </w:p>
        </w:tc>
        <w:tc>
          <w:tcPr>
            <w:tcW w:w="2466" w:type="dxa"/>
            <w:vAlign w:val="center"/>
          </w:tcPr>
          <w:p>
            <w:pPr>
              <w:pStyle w:val="25"/>
            </w:pPr>
            <w:r>
              <w:t>群众满意度</w:t>
            </w:r>
          </w:p>
        </w:tc>
        <w:tc>
          <w:tcPr>
            <w:tcW w:w="2466" w:type="dxa"/>
            <w:vAlign w:val="center"/>
          </w:tcPr>
          <w:p>
            <w:pPr>
              <w:pStyle w:val="25"/>
            </w:pPr>
            <w:r>
              <w:t>≥0.95</w:t>
            </w:r>
          </w:p>
        </w:tc>
        <w:tc>
          <w:tcPr>
            <w:tcW w:w="2466" w:type="dxa"/>
            <w:vAlign w:val="center"/>
          </w:tcPr>
          <w:p>
            <w:pPr>
              <w:pStyle w:val="25"/>
            </w:pPr>
            <w:r>
              <w:t>根据上级要求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6、人防办创建“人防社区”经费绩效目标表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1.县人防办2022年优选一个居民小区，创建成“人防社区”，完成“省、市“‘十四五’期间，每个县（市、区）每年新创建‘人防社区’不少于一个”的工作任务。</w:t>
            </w:r>
            <w:r>
              <w:tab/>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人防社区个数</w:t>
            </w:r>
          </w:p>
        </w:tc>
        <w:tc>
          <w:tcPr>
            <w:tcW w:w="2466" w:type="dxa"/>
            <w:vAlign w:val="center"/>
          </w:tcPr>
          <w:p>
            <w:pPr>
              <w:pStyle w:val="25"/>
            </w:pPr>
            <w:r>
              <w:t>创建“五有”人防社区1个。</w:t>
            </w:r>
          </w:p>
        </w:tc>
        <w:tc>
          <w:tcPr>
            <w:tcW w:w="2466" w:type="dxa"/>
            <w:vAlign w:val="center"/>
          </w:tcPr>
          <w:p>
            <w:pPr>
              <w:pStyle w:val="25"/>
            </w:pPr>
            <w:r>
              <w:t>≥0.95人防社区个数</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创建标准</w:t>
            </w:r>
          </w:p>
        </w:tc>
        <w:tc>
          <w:tcPr>
            <w:tcW w:w="2466" w:type="dxa"/>
            <w:vAlign w:val="center"/>
          </w:tcPr>
          <w:p>
            <w:pPr>
              <w:pStyle w:val="25"/>
            </w:pPr>
            <w:r>
              <w:t>做到有档次、有特色、有亮点，提升人防宣传能力。</w:t>
            </w:r>
          </w:p>
        </w:tc>
        <w:tc>
          <w:tcPr>
            <w:tcW w:w="2466" w:type="dxa"/>
            <w:vAlign w:val="center"/>
          </w:tcPr>
          <w:p>
            <w:pPr>
              <w:pStyle w:val="25"/>
            </w:pPr>
            <w:r>
              <w:t>≥0.95创建标准</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方案要求时间节点</w:t>
            </w:r>
          </w:p>
        </w:tc>
        <w:tc>
          <w:tcPr>
            <w:tcW w:w="2466" w:type="dxa"/>
            <w:vAlign w:val="center"/>
          </w:tcPr>
          <w:p>
            <w:pPr>
              <w:pStyle w:val="25"/>
            </w:pPr>
            <w:r>
              <w:t>按照方案时限要求开展创建，11月底前进行书面总结。</w:t>
            </w:r>
          </w:p>
        </w:tc>
        <w:tc>
          <w:tcPr>
            <w:tcW w:w="2466" w:type="dxa"/>
            <w:vAlign w:val="center"/>
          </w:tcPr>
          <w:p>
            <w:pPr>
              <w:pStyle w:val="25"/>
            </w:pPr>
            <w:r>
              <w:t>≥0.95方案要求时间节点</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支出情况</w:t>
            </w:r>
          </w:p>
        </w:tc>
        <w:tc>
          <w:tcPr>
            <w:tcW w:w="2466" w:type="dxa"/>
            <w:vAlign w:val="center"/>
          </w:tcPr>
          <w:p>
            <w:pPr>
              <w:pStyle w:val="25"/>
            </w:pPr>
            <w:r>
              <w:t>每项工作开展的各种经费支出不超预算安排。</w:t>
            </w:r>
          </w:p>
        </w:tc>
        <w:tc>
          <w:tcPr>
            <w:tcW w:w="2466" w:type="dxa"/>
            <w:vAlign w:val="center"/>
          </w:tcPr>
          <w:p>
            <w:pPr>
              <w:pStyle w:val="25"/>
            </w:pPr>
            <w:r>
              <w:t>≥0.95支出情况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发挥作用</w:t>
            </w:r>
          </w:p>
        </w:tc>
        <w:tc>
          <w:tcPr>
            <w:tcW w:w="2466" w:type="dxa"/>
            <w:vAlign w:val="center"/>
          </w:tcPr>
          <w:p>
            <w:pPr>
              <w:pStyle w:val="25"/>
            </w:pPr>
            <w:r>
              <w:t>拉近人防部门与社区群众关系，增加群众对人防工作支持。</w:t>
            </w:r>
          </w:p>
        </w:tc>
        <w:tc>
          <w:tcPr>
            <w:tcW w:w="2466" w:type="dxa"/>
            <w:vAlign w:val="center"/>
          </w:tcPr>
          <w:p>
            <w:pPr>
              <w:pStyle w:val="25"/>
            </w:pPr>
            <w:r>
              <w:t>≥0.95发挥作用</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满意度</w:t>
            </w:r>
          </w:p>
        </w:tc>
        <w:tc>
          <w:tcPr>
            <w:tcW w:w="2466" w:type="dxa"/>
            <w:vAlign w:val="center"/>
          </w:tcPr>
          <w:p>
            <w:pPr>
              <w:pStyle w:val="25"/>
            </w:pPr>
            <w:r>
              <w:t>群众满意度</w:t>
            </w:r>
          </w:p>
        </w:tc>
        <w:tc>
          <w:tcPr>
            <w:tcW w:w="2466" w:type="dxa"/>
            <w:vAlign w:val="center"/>
          </w:tcPr>
          <w:p>
            <w:pPr>
              <w:pStyle w:val="25"/>
            </w:pPr>
            <w:r>
              <w:t>≥0.95满意度</w:t>
            </w:r>
          </w:p>
        </w:tc>
        <w:tc>
          <w:tcPr>
            <w:tcW w:w="2466" w:type="dxa"/>
            <w:vAlign w:val="center"/>
          </w:tcPr>
          <w:p>
            <w:pPr>
              <w:pStyle w:val="25"/>
            </w:pPr>
            <w:r>
              <w:t>根据上级要求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7、人防办创建“学校人防宣教室”经费绩效目标表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1.在县城区选择一所学校建设人防宣教室。</w:t>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个数</w:t>
            </w:r>
          </w:p>
        </w:tc>
        <w:tc>
          <w:tcPr>
            <w:tcW w:w="2466" w:type="dxa"/>
            <w:vAlign w:val="center"/>
          </w:tcPr>
          <w:p>
            <w:pPr>
              <w:pStyle w:val="25"/>
            </w:pPr>
            <w:r>
              <w:t>在县城区选择1所学校建设人防宣教室，面积约40-60平方米（以实测面积为准）。</w:t>
            </w:r>
          </w:p>
        </w:tc>
        <w:tc>
          <w:tcPr>
            <w:tcW w:w="2466" w:type="dxa"/>
            <w:vAlign w:val="center"/>
          </w:tcPr>
          <w:p>
            <w:pPr>
              <w:pStyle w:val="25"/>
            </w:pPr>
            <w:r>
              <w:t>≥0.95个数</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建设标准</w:t>
            </w:r>
          </w:p>
        </w:tc>
        <w:tc>
          <w:tcPr>
            <w:tcW w:w="2466" w:type="dxa"/>
            <w:vAlign w:val="center"/>
          </w:tcPr>
          <w:p>
            <w:pPr>
              <w:pStyle w:val="25"/>
            </w:pPr>
            <w:r>
              <w:t>创建内容涵盖校园防空袭紧急疏散体验、人防警报信号试听、医疗救护体验等方面。</w:t>
            </w:r>
          </w:p>
        </w:tc>
        <w:tc>
          <w:tcPr>
            <w:tcW w:w="2466" w:type="dxa"/>
            <w:vAlign w:val="center"/>
          </w:tcPr>
          <w:p>
            <w:pPr>
              <w:pStyle w:val="25"/>
            </w:pPr>
            <w:r>
              <w:t>≥0.95建设标准</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时间节点</w:t>
            </w:r>
          </w:p>
        </w:tc>
        <w:tc>
          <w:tcPr>
            <w:tcW w:w="2466" w:type="dxa"/>
            <w:vAlign w:val="center"/>
          </w:tcPr>
          <w:p>
            <w:pPr>
              <w:pStyle w:val="25"/>
            </w:pPr>
            <w:r>
              <w:t>年底前完成人防宣教室的创建工作。</w:t>
            </w:r>
          </w:p>
        </w:tc>
        <w:tc>
          <w:tcPr>
            <w:tcW w:w="2466" w:type="dxa"/>
            <w:vAlign w:val="center"/>
          </w:tcPr>
          <w:p>
            <w:pPr>
              <w:pStyle w:val="25"/>
            </w:pPr>
            <w:r>
              <w:t>≥0.95时间节点</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支出情况</w:t>
            </w:r>
          </w:p>
        </w:tc>
        <w:tc>
          <w:tcPr>
            <w:tcW w:w="2466" w:type="dxa"/>
            <w:vAlign w:val="center"/>
          </w:tcPr>
          <w:p>
            <w:pPr>
              <w:pStyle w:val="25"/>
            </w:pPr>
            <w:r>
              <w:t>每项工作开展的各种经费支出不超预算安排。</w:t>
            </w:r>
          </w:p>
        </w:tc>
        <w:tc>
          <w:tcPr>
            <w:tcW w:w="2466" w:type="dxa"/>
            <w:vAlign w:val="center"/>
          </w:tcPr>
          <w:p>
            <w:pPr>
              <w:pStyle w:val="25"/>
            </w:pPr>
            <w:r>
              <w:t>≥0.95支出情况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发挥作用</w:t>
            </w:r>
          </w:p>
        </w:tc>
        <w:tc>
          <w:tcPr>
            <w:tcW w:w="2466" w:type="dxa"/>
            <w:vAlign w:val="center"/>
          </w:tcPr>
          <w:p>
            <w:pPr>
              <w:pStyle w:val="25"/>
            </w:pPr>
            <w:r>
              <w:t>促进人民防空宣传进学校，丰富防空防灾宣教形式。</w:t>
            </w:r>
          </w:p>
        </w:tc>
        <w:tc>
          <w:tcPr>
            <w:tcW w:w="2466" w:type="dxa"/>
            <w:vAlign w:val="center"/>
          </w:tcPr>
          <w:p>
            <w:pPr>
              <w:pStyle w:val="25"/>
            </w:pPr>
            <w:r>
              <w:t>≥0.95发挥作用</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满意度</w:t>
            </w:r>
          </w:p>
        </w:tc>
        <w:tc>
          <w:tcPr>
            <w:tcW w:w="2466" w:type="dxa"/>
            <w:vAlign w:val="center"/>
          </w:tcPr>
          <w:p>
            <w:pPr>
              <w:pStyle w:val="25"/>
            </w:pPr>
            <w:r>
              <w:t>群众满意度</w:t>
            </w:r>
          </w:p>
        </w:tc>
        <w:tc>
          <w:tcPr>
            <w:tcW w:w="2466" w:type="dxa"/>
            <w:vAlign w:val="center"/>
          </w:tcPr>
          <w:p>
            <w:pPr>
              <w:pStyle w:val="25"/>
            </w:pPr>
            <w:r>
              <w:t>≥0.95满意度</w:t>
            </w:r>
          </w:p>
        </w:tc>
        <w:tc>
          <w:tcPr>
            <w:tcW w:w="2466" w:type="dxa"/>
            <w:vAlign w:val="center"/>
          </w:tcPr>
          <w:p>
            <w:pPr>
              <w:pStyle w:val="25"/>
            </w:pPr>
            <w:r>
              <w:t>根据上级要求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8、人防办经费绩效目标表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1.提高综合业务水平；加大加强人防防空防灾知识宣传力度；提高工作效率等。</w:t>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次数</w:t>
            </w:r>
          </w:p>
        </w:tc>
        <w:tc>
          <w:tcPr>
            <w:tcW w:w="2466" w:type="dxa"/>
            <w:vAlign w:val="center"/>
          </w:tcPr>
          <w:p>
            <w:pPr>
              <w:pStyle w:val="25"/>
            </w:pPr>
            <w:r>
              <w:t>全年完成人防宣传5次以上，发放宣传资料5000余份。</w:t>
            </w:r>
          </w:p>
        </w:tc>
        <w:tc>
          <w:tcPr>
            <w:tcW w:w="2466" w:type="dxa"/>
            <w:vAlign w:val="center"/>
          </w:tcPr>
          <w:p>
            <w:pPr>
              <w:pStyle w:val="25"/>
            </w:pPr>
            <w:r>
              <w:t>≥0.95次数</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完成任务</w:t>
            </w:r>
          </w:p>
        </w:tc>
        <w:tc>
          <w:tcPr>
            <w:tcW w:w="2466" w:type="dxa"/>
            <w:vAlign w:val="center"/>
          </w:tcPr>
          <w:p>
            <w:pPr>
              <w:pStyle w:val="25"/>
            </w:pPr>
            <w:r>
              <w:t>完成省市人防办2022年工作要点安排任务。</w:t>
            </w:r>
          </w:p>
        </w:tc>
        <w:tc>
          <w:tcPr>
            <w:tcW w:w="2466" w:type="dxa"/>
            <w:vAlign w:val="center"/>
          </w:tcPr>
          <w:p>
            <w:pPr>
              <w:pStyle w:val="25"/>
            </w:pPr>
            <w:r>
              <w:t>≥0.95完成任务</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每月完成情况</w:t>
            </w:r>
          </w:p>
        </w:tc>
        <w:tc>
          <w:tcPr>
            <w:tcW w:w="2466" w:type="dxa"/>
            <w:vAlign w:val="center"/>
          </w:tcPr>
          <w:p>
            <w:pPr>
              <w:pStyle w:val="25"/>
            </w:pPr>
            <w:r>
              <w:t>每月完成人防设备联通训练、人防工程质量监督抽查等。</w:t>
            </w:r>
          </w:p>
        </w:tc>
        <w:tc>
          <w:tcPr>
            <w:tcW w:w="2466" w:type="dxa"/>
            <w:vAlign w:val="center"/>
          </w:tcPr>
          <w:p>
            <w:pPr>
              <w:pStyle w:val="25"/>
            </w:pPr>
            <w:r>
              <w:t>≥0.95每月完成情况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支出情况</w:t>
            </w:r>
          </w:p>
        </w:tc>
        <w:tc>
          <w:tcPr>
            <w:tcW w:w="2466" w:type="dxa"/>
            <w:vAlign w:val="center"/>
          </w:tcPr>
          <w:p>
            <w:pPr>
              <w:pStyle w:val="25"/>
            </w:pPr>
            <w:r>
              <w:t>每项工作开展的各种经费支出不超预算安排。</w:t>
            </w:r>
          </w:p>
        </w:tc>
        <w:tc>
          <w:tcPr>
            <w:tcW w:w="2466" w:type="dxa"/>
            <w:vAlign w:val="center"/>
          </w:tcPr>
          <w:p>
            <w:pPr>
              <w:pStyle w:val="25"/>
            </w:pPr>
            <w:r>
              <w:t>≥0.95支出情况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发挥作用</w:t>
            </w:r>
          </w:p>
        </w:tc>
        <w:tc>
          <w:tcPr>
            <w:tcW w:w="2466" w:type="dxa"/>
            <w:vAlign w:val="center"/>
          </w:tcPr>
          <w:p>
            <w:pPr>
              <w:pStyle w:val="25"/>
            </w:pPr>
            <w:r>
              <w:t>发挥人防公共服务功能和应急救援支撑功能。</w:t>
            </w:r>
          </w:p>
        </w:tc>
        <w:tc>
          <w:tcPr>
            <w:tcW w:w="2466" w:type="dxa"/>
            <w:vAlign w:val="center"/>
          </w:tcPr>
          <w:p>
            <w:pPr>
              <w:pStyle w:val="25"/>
            </w:pPr>
            <w:r>
              <w:t>≥0.95发挥作用</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满意度</w:t>
            </w:r>
          </w:p>
        </w:tc>
        <w:tc>
          <w:tcPr>
            <w:tcW w:w="2466" w:type="dxa"/>
            <w:vAlign w:val="center"/>
          </w:tcPr>
          <w:p>
            <w:pPr>
              <w:pStyle w:val="25"/>
            </w:pPr>
            <w:r>
              <w:t>群众满意度</w:t>
            </w:r>
          </w:p>
        </w:tc>
        <w:tc>
          <w:tcPr>
            <w:tcW w:w="2466" w:type="dxa"/>
            <w:vAlign w:val="center"/>
          </w:tcPr>
          <w:p>
            <w:pPr>
              <w:pStyle w:val="25"/>
            </w:pPr>
            <w:r>
              <w:t>≥0.95满意度</w:t>
            </w:r>
          </w:p>
        </w:tc>
        <w:tc>
          <w:tcPr>
            <w:tcW w:w="2466" w:type="dxa"/>
            <w:vAlign w:val="center"/>
          </w:tcPr>
          <w:p>
            <w:pPr>
              <w:pStyle w:val="25"/>
            </w:pPr>
            <w:r>
              <w:t>根据上级要求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9、视频点名系统绩效目标表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1.政府办视频点名系统服务</w:t>
            </w:r>
            <w:r>
              <w:tab/>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实现常态化视频点名</w:t>
            </w:r>
          </w:p>
        </w:tc>
        <w:tc>
          <w:tcPr>
            <w:tcW w:w="2466" w:type="dxa"/>
            <w:vAlign w:val="center"/>
          </w:tcPr>
          <w:p>
            <w:pPr>
              <w:pStyle w:val="25"/>
            </w:pPr>
            <w:r>
              <w:t>实现常态化视频点名</w:t>
            </w:r>
          </w:p>
        </w:tc>
        <w:tc>
          <w:tcPr>
            <w:tcW w:w="2466" w:type="dxa"/>
            <w:vAlign w:val="center"/>
          </w:tcPr>
          <w:p>
            <w:pPr>
              <w:pStyle w:val="25"/>
            </w:pPr>
            <w:r>
              <w:t>≥0.95实现常态化视频点名</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系统正常使用</w:t>
            </w:r>
          </w:p>
        </w:tc>
        <w:tc>
          <w:tcPr>
            <w:tcW w:w="2466" w:type="dxa"/>
            <w:vAlign w:val="center"/>
          </w:tcPr>
          <w:p>
            <w:pPr>
              <w:pStyle w:val="25"/>
            </w:pPr>
            <w:r>
              <w:t>系统正常使用</w:t>
            </w:r>
          </w:p>
        </w:tc>
        <w:tc>
          <w:tcPr>
            <w:tcW w:w="2466" w:type="dxa"/>
            <w:vAlign w:val="center"/>
          </w:tcPr>
          <w:p>
            <w:pPr>
              <w:pStyle w:val="25"/>
            </w:pPr>
            <w:r>
              <w:t>≥0.95系统正常使用</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视频点名完成率</w:t>
            </w:r>
          </w:p>
        </w:tc>
        <w:tc>
          <w:tcPr>
            <w:tcW w:w="2466" w:type="dxa"/>
            <w:vAlign w:val="center"/>
          </w:tcPr>
          <w:p>
            <w:pPr>
              <w:pStyle w:val="25"/>
            </w:pPr>
            <w:r>
              <w:t>视频点名高质量完成</w:t>
            </w:r>
          </w:p>
        </w:tc>
        <w:tc>
          <w:tcPr>
            <w:tcW w:w="2466" w:type="dxa"/>
            <w:vAlign w:val="center"/>
          </w:tcPr>
          <w:p>
            <w:pPr>
              <w:pStyle w:val="25"/>
            </w:pPr>
            <w:r>
              <w:t>≥0.95视频点名完成率</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系统正常运转</w:t>
            </w:r>
          </w:p>
        </w:tc>
        <w:tc>
          <w:tcPr>
            <w:tcW w:w="2466" w:type="dxa"/>
            <w:vAlign w:val="center"/>
          </w:tcPr>
          <w:p>
            <w:pPr>
              <w:pStyle w:val="25"/>
            </w:pPr>
            <w:r>
              <w:t>系统正常运转</w:t>
            </w:r>
          </w:p>
        </w:tc>
        <w:tc>
          <w:tcPr>
            <w:tcW w:w="2466" w:type="dxa"/>
            <w:vAlign w:val="center"/>
          </w:tcPr>
          <w:p>
            <w:pPr>
              <w:pStyle w:val="25"/>
            </w:pPr>
            <w:r>
              <w:t>≥0.95系统正常运转</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政府系统值班体制进一步完善</w:t>
            </w:r>
          </w:p>
        </w:tc>
        <w:tc>
          <w:tcPr>
            <w:tcW w:w="2466" w:type="dxa"/>
            <w:vAlign w:val="center"/>
          </w:tcPr>
          <w:p>
            <w:pPr>
              <w:pStyle w:val="25"/>
            </w:pPr>
            <w:r>
              <w:t>政府系统值班体制进一步完善</w:t>
            </w:r>
          </w:p>
        </w:tc>
        <w:tc>
          <w:tcPr>
            <w:tcW w:w="2466" w:type="dxa"/>
            <w:vAlign w:val="center"/>
          </w:tcPr>
          <w:p>
            <w:pPr>
              <w:pStyle w:val="25"/>
            </w:pPr>
            <w:r>
              <w:t>≥0.95政府系统值班体制进一步完善</w:t>
            </w:r>
          </w:p>
        </w:tc>
        <w:tc>
          <w:tcPr>
            <w:tcW w:w="2466" w:type="dxa"/>
            <w:vAlign w:val="center"/>
          </w:tcPr>
          <w:p>
            <w:pPr>
              <w:pStyle w:val="25"/>
            </w:pPr>
            <w:r>
              <w:t>根据上级要求</w:t>
            </w:r>
          </w:p>
          <w:p>
            <w:pPr>
              <w:pStyle w:val="2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群众满意度</w:t>
            </w:r>
          </w:p>
        </w:tc>
        <w:tc>
          <w:tcPr>
            <w:tcW w:w="2466" w:type="dxa"/>
            <w:vAlign w:val="center"/>
          </w:tcPr>
          <w:p>
            <w:pPr>
              <w:pStyle w:val="25"/>
            </w:pPr>
            <w:r>
              <w:t>群众满意度</w:t>
            </w:r>
          </w:p>
        </w:tc>
        <w:tc>
          <w:tcPr>
            <w:tcW w:w="2466" w:type="dxa"/>
            <w:vAlign w:val="center"/>
          </w:tcPr>
          <w:p>
            <w:pPr>
              <w:pStyle w:val="25"/>
            </w:pPr>
            <w:r>
              <w:t>≥0.95群众满意度</w:t>
            </w:r>
          </w:p>
        </w:tc>
        <w:tc>
          <w:tcPr>
            <w:tcW w:w="2466" w:type="dxa"/>
            <w:vAlign w:val="center"/>
          </w:tcPr>
          <w:p>
            <w:pPr>
              <w:pStyle w:val="25"/>
            </w:pPr>
            <w:r>
              <w:t>根据上级要求</w:t>
            </w:r>
          </w:p>
          <w:p>
            <w:pPr>
              <w:pStyle w:val="25"/>
            </w:pP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10、政府办专项公用经费绩效目标表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1.突出政务、加强事务、提升服务，力求重点工作出精品，难点工作求突破、基础工作有创新、常规工作见特色。</w:t>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完成至少三次大型会议</w:t>
            </w:r>
          </w:p>
        </w:tc>
        <w:tc>
          <w:tcPr>
            <w:tcW w:w="2466" w:type="dxa"/>
            <w:vAlign w:val="center"/>
          </w:tcPr>
          <w:p>
            <w:pPr>
              <w:pStyle w:val="25"/>
            </w:pPr>
            <w:r>
              <w:t>有效完成会议组织安排及会务</w:t>
            </w:r>
          </w:p>
        </w:tc>
        <w:tc>
          <w:tcPr>
            <w:tcW w:w="2466" w:type="dxa"/>
            <w:vAlign w:val="center"/>
          </w:tcPr>
          <w:p>
            <w:pPr>
              <w:pStyle w:val="25"/>
            </w:pPr>
            <w:r>
              <w:t>≥0.95完成至少三次大型会议</w:t>
            </w:r>
          </w:p>
        </w:tc>
        <w:tc>
          <w:tcPr>
            <w:tcW w:w="2466" w:type="dxa"/>
            <w:vAlign w:val="center"/>
          </w:tcPr>
          <w:p>
            <w:pPr>
              <w:pStyle w:val="25"/>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高标准，严要求完成各种会议及日常工作</w:t>
            </w:r>
          </w:p>
        </w:tc>
        <w:tc>
          <w:tcPr>
            <w:tcW w:w="2466" w:type="dxa"/>
            <w:vAlign w:val="center"/>
          </w:tcPr>
          <w:p>
            <w:pPr>
              <w:pStyle w:val="25"/>
            </w:pPr>
            <w:r>
              <w:t>高标准，严要求完成各种会议及日常工作</w:t>
            </w:r>
          </w:p>
        </w:tc>
        <w:tc>
          <w:tcPr>
            <w:tcW w:w="2466" w:type="dxa"/>
            <w:vAlign w:val="center"/>
          </w:tcPr>
          <w:p>
            <w:pPr>
              <w:pStyle w:val="25"/>
            </w:pPr>
            <w:r>
              <w:t>≥0.95高标准，严要求完成各种会议及日常工作</w:t>
            </w:r>
          </w:p>
        </w:tc>
        <w:tc>
          <w:tcPr>
            <w:tcW w:w="2466" w:type="dxa"/>
            <w:vAlign w:val="center"/>
          </w:tcPr>
          <w:p>
            <w:pPr>
              <w:pStyle w:val="25"/>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完成率</w:t>
            </w:r>
          </w:p>
        </w:tc>
        <w:tc>
          <w:tcPr>
            <w:tcW w:w="2466" w:type="dxa"/>
            <w:vAlign w:val="center"/>
          </w:tcPr>
          <w:p>
            <w:pPr>
              <w:pStyle w:val="25"/>
            </w:pPr>
            <w:r>
              <w:t>反映各项综合业务工作完成情况</w:t>
            </w:r>
          </w:p>
        </w:tc>
        <w:tc>
          <w:tcPr>
            <w:tcW w:w="2466" w:type="dxa"/>
            <w:vAlign w:val="center"/>
          </w:tcPr>
          <w:p>
            <w:pPr>
              <w:pStyle w:val="25"/>
            </w:pPr>
            <w:r>
              <w:t>≥0.95完成率</w:t>
            </w:r>
          </w:p>
        </w:tc>
        <w:tc>
          <w:tcPr>
            <w:tcW w:w="2466" w:type="dxa"/>
            <w:vAlign w:val="center"/>
          </w:tcPr>
          <w:p>
            <w:pPr>
              <w:pStyle w:val="25"/>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完成率</w:t>
            </w:r>
          </w:p>
        </w:tc>
        <w:tc>
          <w:tcPr>
            <w:tcW w:w="2466" w:type="dxa"/>
            <w:vAlign w:val="center"/>
          </w:tcPr>
          <w:p>
            <w:pPr>
              <w:pStyle w:val="25"/>
            </w:pPr>
            <w:r>
              <w:t>政府办正常运行成本按照计划完成</w:t>
            </w:r>
          </w:p>
        </w:tc>
        <w:tc>
          <w:tcPr>
            <w:tcW w:w="2466" w:type="dxa"/>
            <w:vAlign w:val="center"/>
          </w:tcPr>
          <w:p>
            <w:pPr>
              <w:pStyle w:val="25"/>
            </w:pPr>
            <w:r>
              <w:t>≥0.95完成率</w:t>
            </w:r>
          </w:p>
        </w:tc>
        <w:tc>
          <w:tcPr>
            <w:tcW w:w="2466" w:type="dxa"/>
            <w:vAlign w:val="center"/>
          </w:tcPr>
          <w:p>
            <w:pPr>
              <w:pStyle w:val="25"/>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社会稳定水平</w:t>
            </w:r>
          </w:p>
        </w:tc>
        <w:tc>
          <w:tcPr>
            <w:tcW w:w="2466" w:type="dxa"/>
            <w:vAlign w:val="center"/>
          </w:tcPr>
          <w:p>
            <w:pPr>
              <w:pStyle w:val="25"/>
            </w:pPr>
            <w:r>
              <w:t>反映社会稳定水平情况</w:t>
            </w:r>
          </w:p>
        </w:tc>
        <w:tc>
          <w:tcPr>
            <w:tcW w:w="2466" w:type="dxa"/>
            <w:vAlign w:val="center"/>
          </w:tcPr>
          <w:p>
            <w:pPr>
              <w:pStyle w:val="25"/>
            </w:pPr>
            <w:r>
              <w:t>≥0.95完成率</w:t>
            </w:r>
          </w:p>
        </w:tc>
        <w:tc>
          <w:tcPr>
            <w:tcW w:w="2466" w:type="dxa"/>
            <w:vAlign w:val="center"/>
          </w:tcPr>
          <w:p>
            <w:pPr>
              <w:pStyle w:val="25"/>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群众满意度</w:t>
            </w:r>
          </w:p>
        </w:tc>
        <w:tc>
          <w:tcPr>
            <w:tcW w:w="2466" w:type="dxa"/>
            <w:vAlign w:val="center"/>
          </w:tcPr>
          <w:p>
            <w:pPr>
              <w:pStyle w:val="25"/>
            </w:pPr>
            <w:r>
              <w:t>群众满意数量占总数的比例。</w:t>
            </w:r>
          </w:p>
        </w:tc>
        <w:tc>
          <w:tcPr>
            <w:tcW w:w="2466" w:type="dxa"/>
            <w:vAlign w:val="center"/>
          </w:tcPr>
          <w:p>
            <w:pPr>
              <w:pStyle w:val="25"/>
            </w:pPr>
            <w:r>
              <w:t>≥0.95完成率</w:t>
            </w:r>
          </w:p>
        </w:tc>
        <w:tc>
          <w:tcPr>
            <w:tcW w:w="2466" w:type="dxa"/>
            <w:vAlign w:val="center"/>
          </w:tcPr>
          <w:p>
            <w:pPr>
              <w:pStyle w:val="25"/>
            </w:pPr>
            <w:r>
              <w:t>三定方案</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11、政务公开办经费绩效目标表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1.政府门户网站、信息公开平台及政务外网维护完成率达到优质水平，确保做好全县政务公开工作</w:t>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次数</w:t>
            </w:r>
          </w:p>
        </w:tc>
        <w:tc>
          <w:tcPr>
            <w:tcW w:w="2466" w:type="dxa"/>
            <w:vAlign w:val="center"/>
          </w:tcPr>
          <w:p>
            <w:pPr>
              <w:pStyle w:val="25"/>
            </w:pPr>
            <w:r>
              <w:t>做好政府门户网站、信息公开平台及政务外网维护、工作人员培训</w:t>
            </w:r>
          </w:p>
        </w:tc>
        <w:tc>
          <w:tcPr>
            <w:tcW w:w="2466" w:type="dxa"/>
            <w:vAlign w:val="center"/>
          </w:tcPr>
          <w:p>
            <w:pPr>
              <w:pStyle w:val="25"/>
            </w:pPr>
            <w:r>
              <w:t>≥0.95次数</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完成任务</w:t>
            </w:r>
          </w:p>
        </w:tc>
        <w:tc>
          <w:tcPr>
            <w:tcW w:w="2466" w:type="dxa"/>
            <w:vAlign w:val="center"/>
          </w:tcPr>
          <w:p>
            <w:pPr>
              <w:pStyle w:val="25"/>
            </w:pPr>
            <w:r>
              <w:t>完成省市政务公开2022年工作要点安排任务。</w:t>
            </w:r>
          </w:p>
        </w:tc>
        <w:tc>
          <w:tcPr>
            <w:tcW w:w="2466" w:type="dxa"/>
            <w:vAlign w:val="center"/>
          </w:tcPr>
          <w:p>
            <w:pPr>
              <w:pStyle w:val="25"/>
            </w:pPr>
            <w:r>
              <w:t>≥0.95完成任务</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每月完成情况</w:t>
            </w:r>
          </w:p>
        </w:tc>
        <w:tc>
          <w:tcPr>
            <w:tcW w:w="2466" w:type="dxa"/>
            <w:vAlign w:val="center"/>
          </w:tcPr>
          <w:p>
            <w:pPr>
              <w:pStyle w:val="25"/>
            </w:pPr>
            <w:r>
              <w:t>每月完成省市政务公开科、网站维护等工作任务</w:t>
            </w:r>
          </w:p>
        </w:tc>
        <w:tc>
          <w:tcPr>
            <w:tcW w:w="2466" w:type="dxa"/>
            <w:vAlign w:val="center"/>
          </w:tcPr>
          <w:p>
            <w:pPr>
              <w:pStyle w:val="25"/>
            </w:pPr>
            <w:r>
              <w:t>≥0.95每月完成情况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支出情况</w:t>
            </w:r>
          </w:p>
        </w:tc>
        <w:tc>
          <w:tcPr>
            <w:tcW w:w="2466" w:type="dxa"/>
            <w:vAlign w:val="center"/>
          </w:tcPr>
          <w:p>
            <w:pPr>
              <w:pStyle w:val="25"/>
            </w:pPr>
            <w:r>
              <w:t>每项工作开展的各种经费支出不超预算安排。</w:t>
            </w:r>
          </w:p>
        </w:tc>
        <w:tc>
          <w:tcPr>
            <w:tcW w:w="2466" w:type="dxa"/>
            <w:vAlign w:val="center"/>
          </w:tcPr>
          <w:p>
            <w:pPr>
              <w:pStyle w:val="25"/>
            </w:pPr>
            <w:r>
              <w:t>≥0.95支出情况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发挥作用</w:t>
            </w:r>
          </w:p>
        </w:tc>
        <w:tc>
          <w:tcPr>
            <w:tcW w:w="2466" w:type="dxa"/>
            <w:vAlign w:val="center"/>
          </w:tcPr>
          <w:p>
            <w:pPr>
              <w:pStyle w:val="25"/>
            </w:pPr>
            <w:r>
              <w:t>推进政务公开建设，维护政府公信力，做好党和政府与人民群众的连心桥</w:t>
            </w:r>
          </w:p>
        </w:tc>
        <w:tc>
          <w:tcPr>
            <w:tcW w:w="2466" w:type="dxa"/>
            <w:vAlign w:val="center"/>
          </w:tcPr>
          <w:p>
            <w:pPr>
              <w:pStyle w:val="25"/>
            </w:pPr>
            <w:r>
              <w:t>≥0.95发挥作用</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满意度</w:t>
            </w:r>
          </w:p>
        </w:tc>
        <w:tc>
          <w:tcPr>
            <w:tcW w:w="2466" w:type="dxa"/>
            <w:vAlign w:val="center"/>
          </w:tcPr>
          <w:p>
            <w:pPr>
              <w:pStyle w:val="25"/>
            </w:pPr>
            <w:r>
              <w:t>群众满意度</w:t>
            </w:r>
          </w:p>
        </w:tc>
        <w:tc>
          <w:tcPr>
            <w:tcW w:w="2466" w:type="dxa"/>
            <w:vAlign w:val="center"/>
          </w:tcPr>
          <w:p>
            <w:pPr>
              <w:pStyle w:val="25"/>
            </w:pPr>
            <w:r>
              <w:t>≥0.95满意度</w:t>
            </w:r>
          </w:p>
        </w:tc>
        <w:tc>
          <w:tcPr>
            <w:tcW w:w="2466" w:type="dxa"/>
            <w:vAlign w:val="center"/>
          </w:tcPr>
          <w:p>
            <w:pPr>
              <w:pStyle w:val="25"/>
            </w:pPr>
            <w:r>
              <w:t>根据上级要求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12、智慧中心经费绩效目标表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  进一步加强和规范信息化建设项目管理，推进我县大数据建设，规范和促进本地大数据资源的共享与开放，推动政务数据资源的优化配置和增值利用。</w:t>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人数</w:t>
            </w:r>
          </w:p>
        </w:tc>
        <w:tc>
          <w:tcPr>
            <w:tcW w:w="2466" w:type="dxa"/>
            <w:vAlign w:val="center"/>
          </w:tcPr>
          <w:p>
            <w:pPr>
              <w:pStyle w:val="25"/>
            </w:pPr>
            <w:r>
              <w:t>培训推广OA联动办公平台，全部在职人员使用。</w:t>
            </w:r>
          </w:p>
        </w:tc>
        <w:tc>
          <w:tcPr>
            <w:tcW w:w="2466" w:type="dxa"/>
            <w:vAlign w:val="center"/>
          </w:tcPr>
          <w:p>
            <w:pPr>
              <w:pStyle w:val="25"/>
            </w:pPr>
            <w:r>
              <w:t>≥0.95人数</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完成任务</w:t>
            </w:r>
          </w:p>
        </w:tc>
        <w:tc>
          <w:tcPr>
            <w:tcW w:w="2466" w:type="dxa"/>
            <w:vAlign w:val="center"/>
          </w:tcPr>
          <w:p>
            <w:pPr>
              <w:pStyle w:val="25"/>
            </w:pPr>
            <w:r>
              <w:t>扎实推进大数据建设科学务实、健康有序发展，按要求完成上级任务</w:t>
            </w:r>
          </w:p>
        </w:tc>
        <w:tc>
          <w:tcPr>
            <w:tcW w:w="2466" w:type="dxa"/>
            <w:vAlign w:val="center"/>
          </w:tcPr>
          <w:p>
            <w:pPr>
              <w:pStyle w:val="25"/>
            </w:pPr>
            <w:r>
              <w:t>≥0.95完成任务</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季度考核</w:t>
            </w:r>
          </w:p>
        </w:tc>
        <w:tc>
          <w:tcPr>
            <w:tcW w:w="2466" w:type="dxa"/>
            <w:vAlign w:val="center"/>
          </w:tcPr>
          <w:p>
            <w:pPr>
              <w:pStyle w:val="25"/>
            </w:pPr>
            <w:r>
              <w:t>按市考核要求完成</w:t>
            </w:r>
          </w:p>
        </w:tc>
        <w:tc>
          <w:tcPr>
            <w:tcW w:w="2466" w:type="dxa"/>
            <w:vAlign w:val="center"/>
          </w:tcPr>
          <w:p>
            <w:pPr>
              <w:pStyle w:val="25"/>
            </w:pPr>
            <w:r>
              <w:t>≥0.95季度考核</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支出情况</w:t>
            </w:r>
          </w:p>
        </w:tc>
        <w:tc>
          <w:tcPr>
            <w:tcW w:w="2466" w:type="dxa"/>
            <w:vAlign w:val="center"/>
          </w:tcPr>
          <w:p>
            <w:pPr>
              <w:pStyle w:val="25"/>
            </w:pPr>
            <w:r>
              <w:t>每项工作开展的各种经费支出不超预算安排。</w:t>
            </w:r>
          </w:p>
        </w:tc>
        <w:tc>
          <w:tcPr>
            <w:tcW w:w="2466" w:type="dxa"/>
            <w:vAlign w:val="center"/>
          </w:tcPr>
          <w:p>
            <w:pPr>
              <w:pStyle w:val="25"/>
            </w:pPr>
            <w:r>
              <w:t>≥0.95支出情况</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发挥作用</w:t>
            </w:r>
          </w:p>
        </w:tc>
        <w:tc>
          <w:tcPr>
            <w:tcW w:w="2466" w:type="dxa"/>
            <w:vAlign w:val="center"/>
          </w:tcPr>
          <w:p>
            <w:pPr>
              <w:pStyle w:val="25"/>
            </w:pPr>
            <w:r>
              <w:t>提高公共管理和服务水平</w:t>
            </w:r>
          </w:p>
        </w:tc>
        <w:tc>
          <w:tcPr>
            <w:tcW w:w="2466" w:type="dxa"/>
            <w:vAlign w:val="center"/>
          </w:tcPr>
          <w:p>
            <w:pPr>
              <w:pStyle w:val="25"/>
            </w:pPr>
            <w:r>
              <w:t>≥0.95发挥作用</w:t>
            </w:r>
          </w:p>
        </w:tc>
        <w:tc>
          <w:tcPr>
            <w:tcW w:w="2466" w:type="dxa"/>
            <w:vAlign w:val="center"/>
          </w:tcPr>
          <w:p>
            <w:pPr>
              <w:pStyle w:val="25"/>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满意度</w:t>
            </w:r>
          </w:p>
        </w:tc>
        <w:tc>
          <w:tcPr>
            <w:tcW w:w="2466" w:type="dxa"/>
            <w:vAlign w:val="center"/>
          </w:tcPr>
          <w:p>
            <w:pPr>
              <w:pStyle w:val="25"/>
            </w:pPr>
            <w:r>
              <w:t>提高公共管理效率</w:t>
            </w:r>
          </w:p>
        </w:tc>
        <w:tc>
          <w:tcPr>
            <w:tcW w:w="2466" w:type="dxa"/>
            <w:vAlign w:val="center"/>
          </w:tcPr>
          <w:p>
            <w:pPr>
              <w:pStyle w:val="25"/>
            </w:pPr>
            <w:r>
              <w:t>≥0.95满意度</w:t>
            </w:r>
          </w:p>
        </w:tc>
        <w:tc>
          <w:tcPr>
            <w:tcW w:w="2466" w:type="dxa"/>
            <w:vAlign w:val="center"/>
          </w:tcPr>
          <w:p>
            <w:pPr>
              <w:pStyle w:val="25"/>
            </w:pPr>
            <w:r>
              <w:t>根据上级要求</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13、综合治税经费绩效目标表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   一是加强政策宣讲，加大</w:t>
            </w:r>
            <w:r>
              <w:rPr>
                <w:rFonts w:hint="eastAsia"/>
                <w:lang w:eastAsia="zh-CN"/>
              </w:rPr>
              <w:t>减税降费</w:t>
            </w:r>
            <w:r>
              <w:t>政策落实督导力度，确保应减尽减，切实保障和激发市场主体活力。二是大力实施综合治税，完善涉税信息平台，整合部门涉税信息，健全税源台账，加强信息比对分析，精准开展以电控税、以地控税等专项清理，积极营造公平税收环境，促进行业健康发展。</w:t>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深入重点企业调研；采集涉税信息，科学比对分析，依法征缴税收。</w:t>
            </w:r>
          </w:p>
        </w:tc>
        <w:tc>
          <w:tcPr>
            <w:tcW w:w="2466" w:type="dxa"/>
            <w:vAlign w:val="center"/>
          </w:tcPr>
          <w:p>
            <w:pPr>
              <w:pStyle w:val="25"/>
            </w:pPr>
            <w:r>
              <w:t>全年深入重点企业调研生产经营及税收变化、宣讲减税降费政策30次以上；采集涉税信息2万条以上，依法开展税收征缴工作。</w:t>
            </w:r>
          </w:p>
        </w:tc>
        <w:tc>
          <w:tcPr>
            <w:tcW w:w="2466" w:type="dxa"/>
            <w:vAlign w:val="center"/>
          </w:tcPr>
          <w:p>
            <w:pPr>
              <w:pStyle w:val="25"/>
            </w:pPr>
            <w:r>
              <w:t>≥0.95深入重点企业调研；采集涉税信息，科学比对分析，依法征缴税收。</w:t>
            </w:r>
          </w:p>
        </w:tc>
        <w:tc>
          <w:tcPr>
            <w:tcW w:w="2466" w:type="dxa"/>
            <w:vAlign w:val="center"/>
          </w:tcPr>
          <w:p>
            <w:pPr>
              <w:pStyle w:val="25"/>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健全涉税信息报送机制，采集涉税信息，综合分析对比利用。</w:t>
            </w:r>
          </w:p>
        </w:tc>
        <w:tc>
          <w:tcPr>
            <w:tcW w:w="2466" w:type="dxa"/>
            <w:vAlign w:val="center"/>
          </w:tcPr>
          <w:p>
            <w:pPr>
              <w:pStyle w:val="25"/>
            </w:pPr>
            <w:r>
              <w:t>健全涉税信息报送机制，常态化采集综合治税成员单位涉税信息，联合税务部门分析对比、综合研判。</w:t>
            </w:r>
          </w:p>
        </w:tc>
        <w:tc>
          <w:tcPr>
            <w:tcW w:w="2466" w:type="dxa"/>
            <w:vAlign w:val="center"/>
          </w:tcPr>
          <w:p>
            <w:pPr>
              <w:pStyle w:val="25"/>
            </w:pPr>
            <w:r>
              <w:t>≥0.95健全涉税信息报送机制，采集涉税信息，综合分析对比利用。</w:t>
            </w:r>
          </w:p>
        </w:tc>
        <w:tc>
          <w:tcPr>
            <w:tcW w:w="2466" w:type="dxa"/>
            <w:vAlign w:val="center"/>
          </w:tcPr>
          <w:p>
            <w:pPr>
              <w:pStyle w:val="25"/>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针对比对异常的信息，及时采取措施，确保取得实效。</w:t>
            </w:r>
          </w:p>
        </w:tc>
        <w:tc>
          <w:tcPr>
            <w:tcW w:w="2466" w:type="dxa"/>
            <w:vAlign w:val="center"/>
          </w:tcPr>
          <w:p>
            <w:pPr>
              <w:pStyle w:val="25"/>
            </w:pPr>
            <w:r>
              <w:t>针对比对异常的信息，及时研究开展专项行动，确保取得实效。</w:t>
            </w:r>
          </w:p>
        </w:tc>
        <w:tc>
          <w:tcPr>
            <w:tcW w:w="2466" w:type="dxa"/>
            <w:vAlign w:val="center"/>
          </w:tcPr>
          <w:p>
            <w:pPr>
              <w:pStyle w:val="25"/>
            </w:pPr>
            <w:r>
              <w:t>≥0.95针对比对异常的信息，及时采取措施，确保取得实效。</w:t>
            </w:r>
          </w:p>
        </w:tc>
        <w:tc>
          <w:tcPr>
            <w:tcW w:w="2466" w:type="dxa"/>
            <w:vAlign w:val="center"/>
          </w:tcPr>
          <w:p>
            <w:pPr>
              <w:pStyle w:val="25"/>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采取综合治税措施，全年堵漏增收500万元以上。</w:t>
            </w:r>
          </w:p>
        </w:tc>
        <w:tc>
          <w:tcPr>
            <w:tcW w:w="2466" w:type="dxa"/>
            <w:vAlign w:val="center"/>
          </w:tcPr>
          <w:p>
            <w:pPr>
              <w:pStyle w:val="25"/>
            </w:pPr>
            <w:r>
              <w:t>采取综合治税措施，全年堵漏增收500万元以上。</w:t>
            </w:r>
          </w:p>
        </w:tc>
        <w:tc>
          <w:tcPr>
            <w:tcW w:w="2466" w:type="dxa"/>
            <w:vAlign w:val="center"/>
          </w:tcPr>
          <w:p>
            <w:pPr>
              <w:pStyle w:val="25"/>
            </w:pPr>
            <w:r>
              <w:t>≥0.95采取综合治税措施，全年堵漏增收500万元以上。</w:t>
            </w:r>
          </w:p>
        </w:tc>
        <w:tc>
          <w:tcPr>
            <w:tcW w:w="2466" w:type="dxa"/>
            <w:vAlign w:val="center"/>
          </w:tcPr>
          <w:p>
            <w:pPr>
              <w:pStyle w:val="25"/>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进一步规范税收秩序，着力构建营造更加公开公平公正的税收环境，持续优化营商环境，提升发展竞争力。</w:t>
            </w:r>
          </w:p>
        </w:tc>
        <w:tc>
          <w:tcPr>
            <w:tcW w:w="2466" w:type="dxa"/>
            <w:vAlign w:val="center"/>
          </w:tcPr>
          <w:p>
            <w:pPr>
              <w:pStyle w:val="25"/>
            </w:pPr>
            <w:r>
              <w:t>进一步规范税收秩序，着力构建营造更加公开公平公正的税收环境，持续优化营商环境，提升发展竞争力。</w:t>
            </w:r>
          </w:p>
        </w:tc>
        <w:tc>
          <w:tcPr>
            <w:tcW w:w="2466" w:type="dxa"/>
            <w:vAlign w:val="center"/>
          </w:tcPr>
          <w:p>
            <w:pPr>
              <w:pStyle w:val="25"/>
            </w:pPr>
            <w:r>
              <w:t>≥0.95进一步规范税收秩序，着力构建营造更加公开公平公正的税收环境，持续优化营商环境，提升发展竞争力。</w:t>
            </w:r>
          </w:p>
        </w:tc>
        <w:tc>
          <w:tcPr>
            <w:tcW w:w="2466" w:type="dxa"/>
            <w:vAlign w:val="center"/>
          </w:tcPr>
          <w:p>
            <w:pPr>
              <w:pStyle w:val="25"/>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通过多种方式走访调查，评价对该项工作活动的认可程度。</w:t>
            </w:r>
          </w:p>
        </w:tc>
        <w:tc>
          <w:tcPr>
            <w:tcW w:w="2466" w:type="dxa"/>
            <w:vAlign w:val="center"/>
          </w:tcPr>
          <w:p>
            <w:pPr>
              <w:pStyle w:val="25"/>
            </w:pPr>
            <w:r>
              <w:t>通过多种方式走访调查，评价对该项工作活动的认可程度。</w:t>
            </w:r>
          </w:p>
        </w:tc>
        <w:tc>
          <w:tcPr>
            <w:tcW w:w="2466" w:type="dxa"/>
            <w:vAlign w:val="center"/>
          </w:tcPr>
          <w:p>
            <w:pPr>
              <w:pStyle w:val="25"/>
            </w:pPr>
            <w:r>
              <w:t>≥0.95通过多种方式走访调查，评价对该项工作活动的认可程度。</w:t>
            </w:r>
          </w:p>
        </w:tc>
        <w:tc>
          <w:tcPr>
            <w:tcW w:w="2466" w:type="dxa"/>
            <w:vAlign w:val="center"/>
          </w:tcPr>
          <w:p>
            <w:pPr>
              <w:pStyle w:val="25"/>
            </w:pPr>
            <w:r>
              <w:t>根据上级文件要求</w:t>
            </w:r>
          </w:p>
        </w:tc>
      </w:tr>
    </w:tbl>
    <w:p>
      <w:pPr>
        <w:pStyle w:val="23"/>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2022年，隆尧县人民政府办公室本级安排政府采购预算</w:t>
      </w:r>
      <w:r>
        <w:rPr>
          <w:rFonts w:hint="eastAsia" w:eastAsia="方正仿宋_GBK" w:cs="Times New Roman"/>
          <w:b w:val="0"/>
          <w:color w:val="000000"/>
          <w:sz w:val="28"/>
          <w:lang w:val="en-US" w:eastAsia="zh-CN"/>
        </w:rPr>
        <w:t>58.42</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8"/>
            </w:pPr>
            <w:r>
              <w:t>434001隆尧县人民政府办公室本级</w:t>
            </w:r>
            <w:r>
              <w:rPr>
                <w:rFonts w:hint="eastAsia"/>
                <w:lang w:val="en-US" w:eastAsia="zh-CN"/>
              </w:rPr>
              <w:t xml:space="preserve">                                                                                                                                         </w:t>
            </w:r>
            <w:r>
              <w:rPr>
                <w:rFonts w:hint="eastAsia" w:ascii="方正书宋_GBK" w:hAnsi="方正书宋_GBK" w:eastAsia="方正书宋_GBK" w:cs="方正书宋_GBK"/>
                <w:sz w:val="21"/>
                <w:szCs w:val="24"/>
                <w:lang w:val="en-US" w:eastAsia="zh-CN"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9"/>
            </w:pPr>
            <w:r>
              <w:t>政府采购项目来源</w:t>
            </w:r>
          </w:p>
        </w:tc>
        <w:tc>
          <w:tcPr>
            <w:tcW w:w="924" w:type="dxa"/>
            <w:vMerge w:val="restart"/>
            <w:vAlign w:val="center"/>
          </w:tcPr>
          <w:p>
            <w:pPr>
              <w:pStyle w:val="9"/>
            </w:pPr>
            <w:r>
              <w:t>采购物品名称</w:t>
            </w:r>
          </w:p>
        </w:tc>
        <w:tc>
          <w:tcPr>
            <w:tcW w:w="924" w:type="dxa"/>
            <w:vMerge w:val="restart"/>
            <w:vAlign w:val="center"/>
          </w:tcPr>
          <w:p>
            <w:pPr>
              <w:pStyle w:val="9"/>
            </w:pPr>
            <w:r>
              <w:t>政府采购目录序号</w:t>
            </w:r>
          </w:p>
        </w:tc>
        <w:tc>
          <w:tcPr>
            <w:tcW w:w="924" w:type="dxa"/>
            <w:vMerge w:val="restart"/>
            <w:vAlign w:val="center"/>
          </w:tcPr>
          <w:p>
            <w:pPr>
              <w:pStyle w:val="9"/>
            </w:pPr>
            <w:r>
              <w:t>计量  单位</w:t>
            </w:r>
          </w:p>
        </w:tc>
        <w:tc>
          <w:tcPr>
            <w:tcW w:w="924" w:type="dxa"/>
            <w:vMerge w:val="restart"/>
            <w:vAlign w:val="center"/>
          </w:tcPr>
          <w:p>
            <w:pPr>
              <w:pStyle w:val="9"/>
            </w:pPr>
            <w:r>
              <w:t>数量</w:t>
            </w:r>
          </w:p>
        </w:tc>
        <w:tc>
          <w:tcPr>
            <w:tcW w:w="8316" w:type="dxa"/>
            <w:gridSpan w:val="9"/>
            <w:vMerge w:val="restart"/>
            <w:vAlign w:val="center"/>
          </w:tcPr>
          <w:p>
            <w:pPr>
              <w:pStyle w:val="9"/>
              <w:jc w:val="both"/>
            </w:pPr>
            <w:r>
              <w:t>单价</w:t>
            </w:r>
          </w:p>
        </w:tc>
        <w:tc>
          <w:tcPr>
            <w:tcW w:w="92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9"/>
            </w:pPr>
            <w:r>
              <w:t>项目名称</w:t>
            </w:r>
          </w:p>
        </w:tc>
        <w:tc>
          <w:tcPr>
            <w:tcW w:w="924" w:type="dxa"/>
            <w:vAlign w:val="center"/>
          </w:tcPr>
          <w:p>
            <w:pPr>
              <w:pStyle w:val="9"/>
            </w:pPr>
            <w:r>
              <w:t>预算    资金</w:t>
            </w: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Align w:val="center"/>
          </w:tcPr>
          <w:p>
            <w:pPr>
              <w:pStyle w:val="9"/>
            </w:pPr>
            <w:r>
              <w:t>合计</w:t>
            </w:r>
          </w:p>
        </w:tc>
        <w:tc>
          <w:tcPr>
            <w:tcW w:w="924" w:type="dxa"/>
            <w:vAlign w:val="center"/>
          </w:tcPr>
          <w:p>
            <w:pPr>
              <w:pStyle w:val="9"/>
            </w:pPr>
            <w:r>
              <w:t>一般公共预算拨款</w:t>
            </w:r>
          </w:p>
        </w:tc>
        <w:tc>
          <w:tcPr>
            <w:tcW w:w="924" w:type="dxa"/>
            <w:vAlign w:val="center"/>
          </w:tcPr>
          <w:p>
            <w:pPr>
              <w:pStyle w:val="9"/>
            </w:pPr>
            <w:r>
              <w:t>基金预算拨款</w:t>
            </w:r>
          </w:p>
        </w:tc>
        <w:tc>
          <w:tcPr>
            <w:tcW w:w="924" w:type="dxa"/>
            <w:vAlign w:val="center"/>
          </w:tcPr>
          <w:p>
            <w:pPr>
              <w:pStyle w:val="9"/>
            </w:pPr>
            <w:r>
              <w:t>国有资本经营预算拨款</w:t>
            </w:r>
          </w:p>
        </w:tc>
        <w:tc>
          <w:tcPr>
            <w:tcW w:w="924" w:type="dxa"/>
            <w:vAlign w:val="center"/>
          </w:tcPr>
          <w:p>
            <w:pPr>
              <w:pStyle w:val="9"/>
            </w:pPr>
            <w:r>
              <w:t>财政专户核拨</w:t>
            </w:r>
          </w:p>
        </w:tc>
        <w:tc>
          <w:tcPr>
            <w:tcW w:w="924" w:type="dxa"/>
            <w:vAlign w:val="center"/>
          </w:tcPr>
          <w:p>
            <w:pPr>
              <w:pStyle w:val="9"/>
            </w:pPr>
            <w:r>
              <w:t>单位    资金</w:t>
            </w:r>
          </w:p>
        </w:tc>
        <w:tc>
          <w:tcPr>
            <w:tcW w:w="924" w:type="dxa"/>
            <w:vAlign w:val="center"/>
          </w:tcPr>
          <w:p>
            <w:pPr>
              <w:pStyle w:val="9"/>
            </w:pPr>
            <w:r>
              <w:t>财政拨    款结转</w:t>
            </w:r>
          </w:p>
        </w:tc>
        <w:tc>
          <w:tcPr>
            <w:tcW w:w="924" w:type="dxa"/>
            <w:vAlign w:val="center"/>
          </w:tcPr>
          <w:p>
            <w:pPr>
              <w:pStyle w:val="9"/>
            </w:pPr>
            <w:r>
              <w:t>非财政    拨款结    转结余</w:t>
            </w:r>
          </w:p>
        </w:tc>
        <w:tc>
          <w:tcPr>
            <w:tcW w:w="92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3"/>
            </w:pPr>
            <w:r>
              <w:t>合  计</w:t>
            </w: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4"/>
              <w:ind w:firstLine="0" w:firstLineChars="0"/>
            </w:pPr>
            <w:r>
              <w:rPr>
                <w:rFonts w:hint="eastAsia"/>
                <w:lang w:val="en-US" w:eastAsia="zh-CN"/>
              </w:rPr>
              <w:t>58.42</w:t>
            </w:r>
          </w:p>
        </w:tc>
        <w:tc>
          <w:tcPr>
            <w:tcW w:w="924" w:type="dxa"/>
            <w:vAlign w:val="center"/>
          </w:tcPr>
          <w:p>
            <w:pPr>
              <w:pStyle w:val="14"/>
              <w:ind w:firstLine="0" w:firstLineChars="0"/>
            </w:pPr>
            <w:r>
              <w:rPr>
                <w:rFonts w:hint="eastAsia"/>
                <w:lang w:val="en-US" w:eastAsia="zh-CN"/>
              </w:rPr>
              <w:t>58.42</w:t>
            </w: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r>
              <w:rPr>
                <w:rFonts w:hint="eastAsia"/>
                <w:lang w:val="en-US" w:eastAsia="zh-CN"/>
              </w:rPr>
              <w:t>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3"/>
            </w:pPr>
            <w:r>
              <w:t>隆尧县人民政府办公室本级小计</w:t>
            </w:r>
          </w:p>
        </w:tc>
        <w:tc>
          <w:tcPr>
            <w:tcW w:w="924" w:type="dxa"/>
            <w:vAlign w:val="center"/>
          </w:tcPr>
          <w:p>
            <w:pPr>
              <w:pStyle w:val="14"/>
              <w:ind w:firstLine="0" w:firstLineChars="0"/>
              <w:rPr>
                <w:rFonts w:hint="eastAsia" w:eastAsia="方正书宋_GBK"/>
                <w:lang w:val="en-US" w:eastAsia="zh-CN"/>
              </w:rPr>
            </w:pPr>
            <w:r>
              <w:rPr>
                <w:rFonts w:hint="eastAsia"/>
                <w:lang w:val="en-US" w:eastAsia="zh-CN"/>
              </w:rPr>
              <w:t>58.42</w:t>
            </w: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3"/>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r>
              <w:rPr>
                <w:rFonts w:hint="eastAsia"/>
                <w:lang w:val="en-US" w:eastAsia="zh-CN"/>
              </w:rPr>
              <w:t>58.42</w:t>
            </w:r>
          </w:p>
        </w:tc>
        <w:tc>
          <w:tcPr>
            <w:tcW w:w="924" w:type="dxa"/>
            <w:vAlign w:val="center"/>
          </w:tcPr>
          <w:p>
            <w:pPr>
              <w:pStyle w:val="14"/>
              <w:ind w:firstLine="0" w:firstLineChars="0"/>
            </w:pPr>
            <w:r>
              <w:rPr>
                <w:rFonts w:hint="eastAsia"/>
                <w:lang w:val="en-US" w:eastAsia="zh-CN"/>
              </w:rPr>
              <w:t>58.42</w:t>
            </w: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p>
        </w:tc>
        <w:tc>
          <w:tcPr>
            <w:tcW w:w="924" w:type="dxa"/>
            <w:vAlign w:val="center"/>
          </w:tcPr>
          <w:p>
            <w:pPr>
              <w:pStyle w:val="14"/>
              <w:ind w:firstLine="0" w:firstLineChars="0"/>
            </w:pPr>
            <w:r>
              <w:rPr>
                <w:rFonts w:hint="eastAsia"/>
                <w:lang w:val="en-US" w:eastAsia="zh-CN"/>
              </w:rPr>
              <w:t>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1"/>
              <w:ind w:firstLine="0" w:firstLineChars="0"/>
            </w:pPr>
            <w:r>
              <w:rPr>
                <w:rFonts w:hint="eastAsia"/>
                <w:lang w:eastAsia="zh-CN"/>
              </w:rPr>
              <w:t>政府办专项公用经费</w:t>
            </w:r>
          </w:p>
        </w:tc>
        <w:tc>
          <w:tcPr>
            <w:tcW w:w="924" w:type="dxa"/>
            <w:vAlign w:val="center"/>
          </w:tcPr>
          <w:p>
            <w:pPr>
              <w:pStyle w:val="10"/>
              <w:ind w:firstLine="0" w:firstLineChars="0"/>
              <w:rPr>
                <w:rFonts w:hint="eastAsia"/>
                <w:lang w:val="en-US" w:eastAsia="zh-CN"/>
              </w:rPr>
            </w:pPr>
            <w:r>
              <w:rPr>
                <w:rFonts w:hint="eastAsia"/>
                <w:lang w:val="en-US" w:eastAsia="zh-CN"/>
              </w:rPr>
              <w:t>5</w:t>
            </w:r>
          </w:p>
        </w:tc>
        <w:tc>
          <w:tcPr>
            <w:tcW w:w="924" w:type="dxa"/>
            <w:vAlign w:val="center"/>
          </w:tcPr>
          <w:p>
            <w:pPr>
              <w:pStyle w:val="11"/>
              <w:ind w:firstLine="0" w:firstLineChars="0"/>
            </w:pPr>
            <w:r>
              <w:rPr>
                <w:rFonts w:hint="eastAsia"/>
                <w:lang w:eastAsia="zh-CN"/>
              </w:rPr>
              <w:t>台式计算机</w:t>
            </w:r>
          </w:p>
        </w:tc>
        <w:tc>
          <w:tcPr>
            <w:tcW w:w="924" w:type="dxa"/>
            <w:vAlign w:val="center"/>
          </w:tcPr>
          <w:p>
            <w:pPr>
              <w:pStyle w:val="11"/>
              <w:ind w:firstLine="0" w:firstLineChars="0"/>
            </w:pPr>
            <w:r>
              <w:rPr>
                <w:rFonts w:hint="eastAsia"/>
                <w:lang w:val="en-US" w:eastAsia="zh-CN"/>
              </w:rPr>
              <w:t>A02</w:t>
            </w:r>
          </w:p>
        </w:tc>
        <w:tc>
          <w:tcPr>
            <w:tcW w:w="924" w:type="dxa"/>
            <w:vAlign w:val="center"/>
          </w:tcPr>
          <w:p>
            <w:pPr>
              <w:pStyle w:val="12"/>
              <w:ind w:firstLine="0" w:firstLineChars="0"/>
              <w:rPr>
                <w:rFonts w:hint="eastAsia" w:eastAsia="方正书宋_GBK"/>
                <w:lang w:val="en-US" w:eastAsia="zh-CN"/>
              </w:rPr>
            </w:pPr>
            <w:r>
              <w:rPr>
                <w:rFonts w:hint="eastAsia"/>
                <w:lang w:val="en-US" w:eastAsia="zh-CN"/>
              </w:rPr>
              <w:t>台</w:t>
            </w:r>
          </w:p>
        </w:tc>
        <w:tc>
          <w:tcPr>
            <w:tcW w:w="924" w:type="dxa"/>
            <w:vAlign w:val="center"/>
          </w:tcPr>
          <w:p>
            <w:pPr>
              <w:pStyle w:val="10"/>
              <w:ind w:firstLine="0" w:firstLineChars="0"/>
            </w:pPr>
            <w:r>
              <w:rPr>
                <w:rFonts w:hint="eastAsia"/>
                <w:lang w:val="en-US" w:eastAsia="zh-CN"/>
              </w:rPr>
              <w:t>10</w:t>
            </w:r>
          </w:p>
        </w:tc>
        <w:tc>
          <w:tcPr>
            <w:tcW w:w="924" w:type="dxa"/>
            <w:vAlign w:val="center"/>
          </w:tcPr>
          <w:p>
            <w:pPr>
              <w:pStyle w:val="10"/>
              <w:ind w:firstLine="0" w:firstLineChars="0"/>
            </w:pPr>
            <w:r>
              <w:rPr>
                <w:rFonts w:hint="eastAsia"/>
                <w:lang w:val="en-US" w:eastAsia="zh-CN"/>
              </w:rPr>
              <w:t>0.5</w:t>
            </w:r>
          </w:p>
        </w:tc>
        <w:tc>
          <w:tcPr>
            <w:tcW w:w="924" w:type="dxa"/>
            <w:vAlign w:val="center"/>
          </w:tcPr>
          <w:p>
            <w:pPr>
              <w:pStyle w:val="10"/>
              <w:ind w:firstLine="0" w:firstLineChars="0"/>
            </w:pPr>
            <w:r>
              <w:rPr>
                <w:rFonts w:hint="eastAsia"/>
                <w:lang w:val="en-US" w:eastAsia="zh-CN"/>
              </w:rPr>
              <w:t>5</w:t>
            </w:r>
          </w:p>
        </w:tc>
        <w:tc>
          <w:tcPr>
            <w:tcW w:w="924" w:type="dxa"/>
            <w:vAlign w:val="center"/>
          </w:tcPr>
          <w:p>
            <w:pPr>
              <w:pStyle w:val="10"/>
              <w:ind w:firstLine="0" w:firstLineChars="0"/>
            </w:pPr>
            <w:r>
              <w:rPr>
                <w:rFonts w:hint="eastAsia"/>
                <w:lang w:val="en-US" w:eastAsia="zh-CN"/>
              </w:rPr>
              <w:t>5</w:t>
            </w: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1"/>
              <w:ind w:firstLine="0" w:firstLineChars="0"/>
            </w:pPr>
            <w:r>
              <w:rPr>
                <w:rFonts w:hint="eastAsia"/>
                <w:lang w:eastAsia="zh-CN"/>
              </w:rPr>
              <w:t>智慧中心经费</w:t>
            </w:r>
          </w:p>
        </w:tc>
        <w:tc>
          <w:tcPr>
            <w:tcW w:w="924" w:type="dxa"/>
            <w:vAlign w:val="center"/>
          </w:tcPr>
          <w:p>
            <w:pPr>
              <w:pStyle w:val="10"/>
              <w:ind w:firstLine="0" w:firstLineChars="0"/>
              <w:rPr>
                <w:rFonts w:hint="eastAsia"/>
                <w:lang w:val="en-US" w:eastAsia="zh-CN"/>
              </w:rPr>
            </w:pPr>
            <w:r>
              <w:rPr>
                <w:rFonts w:hint="eastAsia"/>
                <w:lang w:val="en-US" w:eastAsia="zh-CN"/>
              </w:rPr>
              <w:t>21.42</w:t>
            </w:r>
          </w:p>
        </w:tc>
        <w:tc>
          <w:tcPr>
            <w:tcW w:w="924" w:type="dxa"/>
            <w:vAlign w:val="center"/>
          </w:tcPr>
          <w:p>
            <w:pPr>
              <w:pStyle w:val="11"/>
              <w:ind w:firstLine="0" w:firstLineChars="0"/>
            </w:pPr>
            <w:r>
              <w:rPr>
                <w:rFonts w:hint="eastAsia"/>
                <w:lang w:eastAsia="zh-CN"/>
              </w:rPr>
              <w:t>基础软件</w:t>
            </w:r>
          </w:p>
        </w:tc>
        <w:tc>
          <w:tcPr>
            <w:tcW w:w="924" w:type="dxa"/>
            <w:vAlign w:val="center"/>
          </w:tcPr>
          <w:p>
            <w:pPr>
              <w:pStyle w:val="11"/>
              <w:ind w:firstLine="0" w:firstLineChars="0"/>
            </w:pPr>
            <w:r>
              <w:rPr>
                <w:rFonts w:hint="eastAsia"/>
                <w:lang w:val="en-US" w:eastAsia="zh-CN"/>
              </w:rPr>
              <w:t>A08</w:t>
            </w:r>
          </w:p>
        </w:tc>
        <w:tc>
          <w:tcPr>
            <w:tcW w:w="924" w:type="dxa"/>
            <w:vAlign w:val="center"/>
          </w:tcPr>
          <w:p>
            <w:pPr>
              <w:pStyle w:val="12"/>
              <w:ind w:firstLine="0" w:firstLineChars="0"/>
            </w:pPr>
            <w:r>
              <w:rPr>
                <w:rFonts w:hint="eastAsia"/>
                <w:lang w:val="en-US" w:eastAsia="zh-CN"/>
              </w:rPr>
              <w:t>项</w:t>
            </w:r>
          </w:p>
        </w:tc>
        <w:tc>
          <w:tcPr>
            <w:tcW w:w="924" w:type="dxa"/>
            <w:vAlign w:val="center"/>
          </w:tcPr>
          <w:p>
            <w:pPr>
              <w:pStyle w:val="10"/>
              <w:ind w:firstLine="0" w:firstLineChars="0"/>
            </w:pPr>
            <w:r>
              <w:rPr>
                <w:rFonts w:hint="eastAsia"/>
                <w:lang w:val="en-US" w:eastAsia="zh-CN"/>
              </w:rPr>
              <w:t>1</w:t>
            </w:r>
          </w:p>
        </w:tc>
        <w:tc>
          <w:tcPr>
            <w:tcW w:w="924" w:type="dxa"/>
            <w:vAlign w:val="center"/>
          </w:tcPr>
          <w:p>
            <w:pPr>
              <w:pStyle w:val="10"/>
              <w:ind w:firstLine="0" w:firstLineChars="0"/>
            </w:pPr>
            <w:r>
              <w:rPr>
                <w:rFonts w:hint="eastAsia"/>
                <w:lang w:val="en-US" w:eastAsia="zh-CN"/>
              </w:rPr>
              <w:t>21.42</w:t>
            </w:r>
          </w:p>
        </w:tc>
        <w:tc>
          <w:tcPr>
            <w:tcW w:w="924" w:type="dxa"/>
            <w:vAlign w:val="center"/>
          </w:tcPr>
          <w:p>
            <w:pPr>
              <w:pStyle w:val="10"/>
              <w:ind w:firstLine="0" w:firstLineChars="0"/>
            </w:pPr>
            <w:r>
              <w:rPr>
                <w:rFonts w:hint="eastAsia"/>
                <w:lang w:val="en-US" w:eastAsia="zh-CN"/>
              </w:rPr>
              <w:t>21.42</w:t>
            </w:r>
          </w:p>
        </w:tc>
        <w:tc>
          <w:tcPr>
            <w:tcW w:w="924" w:type="dxa"/>
            <w:vAlign w:val="center"/>
          </w:tcPr>
          <w:p>
            <w:pPr>
              <w:pStyle w:val="10"/>
              <w:ind w:firstLine="0" w:firstLineChars="0"/>
            </w:pPr>
            <w:r>
              <w:rPr>
                <w:rFonts w:hint="eastAsia"/>
                <w:lang w:val="en-US" w:eastAsia="zh-CN"/>
              </w:rPr>
              <w:t>21.42</w:t>
            </w: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p>
        </w:tc>
        <w:tc>
          <w:tcPr>
            <w:tcW w:w="924" w:type="dxa"/>
            <w:vAlign w:val="center"/>
          </w:tcPr>
          <w:p>
            <w:pPr>
              <w:pStyle w:val="10"/>
              <w:ind w:firstLine="0" w:firstLineChars="0"/>
            </w:pPr>
            <w:r>
              <w:rPr>
                <w:rFonts w:hint="eastAsia"/>
                <w:lang w:val="en-US" w:eastAsia="zh-CN"/>
              </w:rPr>
              <w:t>21.42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1"/>
            </w:pPr>
            <w:r>
              <w:t>智慧中心经费</w:t>
            </w:r>
          </w:p>
        </w:tc>
        <w:tc>
          <w:tcPr>
            <w:tcW w:w="924" w:type="dxa"/>
            <w:vAlign w:val="center"/>
          </w:tcPr>
          <w:p>
            <w:pPr>
              <w:pStyle w:val="10"/>
              <w:rPr>
                <w:rFonts w:hint="eastAsia" w:eastAsia="方正书宋_GBK"/>
                <w:lang w:eastAsia="zh-CN"/>
              </w:rPr>
            </w:pPr>
            <w:r>
              <w:rPr>
                <w:rFonts w:hint="eastAsia"/>
                <w:lang w:val="en-US" w:eastAsia="zh-CN"/>
              </w:rPr>
              <w:t>32.00</w:t>
            </w:r>
          </w:p>
        </w:tc>
        <w:tc>
          <w:tcPr>
            <w:tcW w:w="924" w:type="dxa"/>
            <w:vAlign w:val="center"/>
          </w:tcPr>
          <w:p>
            <w:pPr>
              <w:pStyle w:val="11"/>
            </w:pPr>
            <w:r>
              <w:t>其他服务</w:t>
            </w:r>
          </w:p>
        </w:tc>
        <w:tc>
          <w:tcPr>
            <w:tcW w:w="924" w:type="dxa"/>
            <w:vAlign w:val="center"/>
          </w:tcPr>
          <w:p>
            <w:pPr>
              <w:pStyle w:val="11"/>
            </w:pPr>
            <w:r>
              <w:t>C99</w:t>
            </w:r>
          </w:p>
        </w:tc>
        <w:tc>
          <w:tcPr>
            <w:tcW w:w="924" w:type="dxa"/>
            <w:vAlign w:val="center"/>
          </w:tcPr>
          <w:p>
            <w:pPr>
              <w:pStyle w:val="12"/>
              <w:rPr>
                <w:rFonts w:hint="eastAsia" w:eastAsia="方正书宋_GBK"/>
                <w:lang w:eastAsia="zh-CN"/>
              </w:rPr>
            </w:pPr>
            <w:r>
              <w:rPr>
                <w:rFonts w:hint="eastAsia"/>
                <w:lang w:eastAsia="zh-CN"/>
              </w:rPr>
              <w:t>项</w:t>
            </w:r>
          </w:p>
        </w:tc>
        <w:tc>
          <w:tcPr>
            <w:tcW w:w="924" w:type="dxa"/>
            <w:vAlign w:val="center"/>
          </w:tcPr>
          <w:p>
            <w:pPr>
              <w:pStyle w:val="10"/>
            </w:pPr>
            <w:r>
              <w:t>1</w:t>
            </w:r>
          </w:p>
        </w:tc>
        <w:tc>
          <w:tcPr>
            <w:tcW w:w="924" w:type="dxa"/>
            <w:vAlign w:val="center"/>
          </w:tcPr>
          <w:p>
            <w:pPr>
              <w:pStyle w:val="10"/>
            </w:pPr>
            <w:r>
              <w:t>32.00</w:t>
            </w:r>
          </w:p>
        </w:tc>
        <w:tc>
          <w:tcPr>
            <w:tcW w:w="924" w:type="dxa"/>
            <w:vAlign w:val="center"/>
          </w:tcPr>
          <w:p>
            <w:pPr>
              <w:pStyle w:val="10"/>
            </w:pPr>
            <w:r>
              <w:t>32.00</w:t>
            </w:r>
          </w:p>
        </w:tc>
        <w:tc>
          <w:tcPr>
            <w:tcW w:w="924" w:type="dxa"/>
            <w:vAlign w:val="center"/>
          </w:tcPr>
          <w:p>
            <w:pPr>
              <w:pStyle w:val="10"/>
            </w:pPr>
            <w:r>
              <w:t>32.00</w:t>
            </w: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r>
              <w:t>32.00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隆尧县人民政府办公室本级上年末固定资产金额为</w:t>
      </w:r>
      <w:r>
        <w:rPr>
          <w:rFonts w:hint="eastAsia" w:eastAsia="方正仿宋_GBK" w:cs="Times New Roman"/>
          <w:b w:val="0"/>
          <w:color w:val="000000"/>
          <w:sz w:val="28"/>
          <w:lang w:val="en-US" w:eastAsia="zh-CN"/>
        </w:rPr>
        <w:t>397.95</w:t>
      </w:r>
      <w:r>
        <w:rPr>
          <w:rFonts w:ascii="Times New Roman" w:hAnsi="Times New Roman" w:eastAsia="方正仿宋_GBK" w:cs="Times New Roman"/>
          <w:b w:val="0"/>
          <w:color w:val="000000"/>
          <w:sz w:val="28"/>
        </w:rPr>
        <w:t>万元（详见下表）。本年度拟购置固定资产总额为26.42万元</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包括OA协同联动办公平台及办公电脑</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8"/>
            </w:pPr>
            <w:r>
              <w:t>434001隆尧县人民政府办公室本级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9"/>
            </w:pPr>
            <w:r>
              <w:t>项   目</w:t>
            </w:r>
          </w:p>
        </w:tc>
        <w:tc>
          <w:tcPr>
            <w:tcW w:w="4933" w:type="dxa"/>
            <w:vAlign w:val="center"/>
          </w:tcPr>
          <w:p>
            <w:pPr>
              <w:pStyle w:val="9"/>
            </w:pPr>
            <w:r>
              <w:t>数量</w:t>
            </w:r>
          </w:p>
        </w:tc>
        <w:tc>
          <w:tcPr>
            <w:tcW w:w="4933"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1"/>
            </w:pPr>
            <w:r>
              <w:t>资产总额</w:t>
            </w:r>
          </w:p>
        </w:tc>
        <w:tc>
          <w:tcPr>
            <w:tcW w:w="4933" w:type="dxa"/>
            <w:vAlign w:val="center"/>
          </w:tcPr>
          <w:p>
            <w:pPr>
              <w:pStyle w:val="12"/>
            </w:pPr>
          </w:p>
        </w:tc>
        <w:tc>
          <w:tcPr>
            <w:tcW w:w="4933" w:type="dxa"/>
            <w:vAlign w:val="center"/>
          </w:tcPr>
          <w:p>
            <w:pPr>
              <w:pStyle w:val="10"/>
              <w:rPr>
                <w:rFonts w:hint="default" w:eastAsia="方正书宋_GBK"/>
                <w:lang w:val="en-US" w:eastAsia="zh-CN"/>
              </w:rPr>
            </w:pPr>
            <w:r>
              <w:rPr>
                <w:rFonts w:hint="eastAsia"/>
                <w:lang w:val="en-US" w:eastAsia="zh-CN"/>
              </w:rPr>
              <w:t>397.95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1"/>
            </w:pPr>
            <w:r>
              <w:t>1、房屋（平方米）</w:t>
            </w:r>
          </w:p>
        </w:tc>
        <w:tc>
          <w:tcPr>
            <w:tcW w:w="4933" w:type="dxa"/>
            <w:vAlign w:val="center"/>
          </w:tcPr>
          <w:p>
            <w:pPr>
              <w:pStyle w:val="12"/>
            </w:pPr>
            <w:r>
              <w:t>6162.79</w:t>
            </w:r>
          </w:p>
        </w:tc>
        <w:tc>
          <w:tcPr>
            <w:tcW w:w="4933" w:type="dxa"/>
            <w:vAlign w:val="center"/>
          </w:tcPr>
          <w:p>
            <w:pPr>
              <w:pStyle w:val="10"/>
            </w:pPr>
            <w:r>
              <w:t>176.95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1"/>
            </w:pPr>
            <w:r>
              <w:t>　　其中：办公用房（平方米）</w:t>
            </w:r>
          </w:p>
        </w:tc>
        <w:tc>
          <w:tcPr>
            <w:tcW w:w="4933" w:type="dxa"/>
            <w:vAlign w:val="center"/>
          </w:tcPr>
          <w:p>
            <w:pPr>
              <w:pStyle w:val="12"/>
            </w:pPr>
            <w:r>
              <w:t>3340</w:t>
            </w:r>
          </w:p>
        </w:tc>
        <w:tc>
          <w:tcPr>
            <w:tcW w:w="4933" w:type="dxa"/>
            <w:vAlign w:val="center"/>
          </w:tcPr>
          <w:p>
            <w:pPr>
              <w:pStyle w:val="10"/>
            </w:pPr>
            <w:r>
              <w:t>101.67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1"/>
            </w:pPr>
            <w:r>
              <w:t>2、车辆（台、辆）</w:t>
            </w:r>
          </w:p>
        </w:tc>
        <w:tc>
          <w:tcPr>
            <w:tcW w:w="4933" w:type="dxa"/>
            <w:vAlign w:val="center"/>
          </w:tcPr>
          <w:p>
            <w:pPr>
              <w:pStyle w:val="12"/>
            </w:pPr>
            <w:r>
              <w:t>1</w:t>
            </w:r>
          </w:p>
        </w:tc>
        <w:tc>
          <w:tcPr>
            <w:tcW w:w="4933" w:type="dxa"/>
            <w:vAlign w:val="center"/>
          </w:tcPr>
          <w:p>
            <w:pPr>
              <w:pStyle w:val="10"/>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1"/>
            </w:pPr>
            <w:r>
              <w:t>3、单价在20万元以上的设备</w:t>
            </w:r>
          </w:p>
        </w:tc>
        <w:tc>
          <w:tcPr>
            <w:tcW w:w="4933" w:type="dxa"/>
            <w:vAlign w:val="center"/>
          </w:tcPr>
          <w:p>
            <w:pPr>
              <w:pStyle w:val="12"/>
            </w:pPr>
          </w:p>
        </w:tc>
        <w:tc>
          <w:tcPr>
            <w:tcW w:w="493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1"/>
            </w:pPr>
            <w:r>
              <w:t>4、其他固定资产</w:t>
            </w:r>
          </w:p>
        </w:tc>
        <w:tc>
          <w:tcPr>
            <w:tcW w:w="4933" w:type="dxa"/>
            <w:vAlign w:val="center"/>
          </w:tcPr>
          <w:p>
            <w:pPr>
              <w:pStyle w:val="12"/>
            </w:pPr>
            <w:r>
              <w:t>2061</w:t>
            </w:r>
          </w:p>
        </w:tc>
        <w:tc>
          <w:tcPr>
            <w:tcW w:w="4933" w:type="dxa"/>
            <w:vAlign w:val="center"/>
          </w:tcPr>
          <w:p>
            <w:pPr>
              <w:pStyle w:val="10"/>
            </w:pPr>
            <w:r>
              <w:t>205.40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14400" w:firstLineChars="6000"/>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DYwOWI2M2M0ZjlmOTQ2ZDY4ZWVmYjI2MjE1M2E1Y2UifQ=="/>
  </w:docVars>
  <w:rsids>
    <w:rsidRoot w:val="00172A27"/>
    <w:rsid w:val="00EE6D96"/>
    <w:rsid w:val="00FE004B"/>
    <w:rsid w:val="01235103"/>
    <w:rsid w:val="016D2BB6"/>
    <w:rsid w:val="01F55B88"/>
    <w:rsid w:val="024319A3"/>
    <w:rsid w:val="07515909"/>
    <w:rsid w:val="0F7E0DB9"/>
    <w:rsid w:val="11C171E0"/>
    <w:rsid w:val="15391A5F"/>
    <w:rsid w:val="180169EF"/>
    <w:rsid w:val="188D5226"/>
    <w:rsid w:val="190368E7"/>
    <w:rsid w:val="194B0C12"/>
    <w:rsid w:val="1C6A2C01"/>
    <w:rsid w:val="1E5A6000"/>
    <w:rsid w:val="201C3676"/>
    <w:rsid w:val="21792A60"/>
    <w:rsid w:val="273E5B72"/>
    <w:rsid w:val="29946F1B"/>
    <w:rsid w:val="29BD5AC2"/>
    <w:rsid w:val="2B9659FA"/>
    <w:rsid w:val="2FFD3830"/>
    <w:rsid w:val="31E047FF"/>
    <w:rsid w:val="33483CCB"/>
    <w:rsid w:val="35172FE2"/>
    <w:rsid w:val="35C64569"/>
    <w:rsid w:val="369B2795"/>
    <w:rsid w:val="38165AA2"/>
    <w:rsid w:val="3B900DC8"/>
    <w:rsid w:val="3C14299D"/>
    <w:rsid w:val="3C8870E6"/>
    <w:rsid w:val="3DBB547A"/>
    <w:rsid w:val="3E8916FE"/>
    <w:rsid w:val="3ED323F0"/>
    <w:rsid w:val="3F6E01EF"/>
    <w:rsid w:val="3FFD1F6A"/>
    <w:rsid w:val="41C23E6E"/>
    <w:rsid w:val="43494EA9"/>
    <w:rsid w:val="442238E0"/>
    <w:rsid w:val="453427F6"/>
    <w:rsid w:val="47670698"/>
    <w:rsid w:val="47944E9E"/>
    <w:rsid w:val="4A70372C"/>
    <w:rsid w:val="4B446F88"/>
    <w:rsid w:val="4B847D71"/>
    <w:rsid w:val="4C7C5D8B"/>
    <w:rsid w:val="4E04568A"/>
    <w:rsid w:val="4EEE6DF1"/>
    <w:rsid w:val="51193B9B"/>
    <w:rsid w:val="55211BEA"/>
    <w:rsid w:val="57DE0E9E"/>
    <w:rsid w:val="59D71FC1"/>
    <w:rsid w:val="5C007222"/>
    <w:rsid w:val="5FBA666C"/>
    <w:rsid w:val="61B3527C"/>
    <w:rsid w:val="61D02A02"/>
    <w:rsid w:val="63755A13"/>
    <w:rsid w:val="639F66A6"/>
    <w:rsid w:val="643A1700"/>
    <w:rsid w:val="6DA73C10"/>
    <w:rsid w:val="6F2140E1"/>
    <w:rsid w:val="73A81F4C"/>
    <w:rsid w:val="744359CE"/>
    <w:rsid w:val="769A577B"/>
    <w:rsid w:val="769B7055"/>
    <w:rsid w:val="7F4209AC"/>
    <w:rsid w:val="7FDF3C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zh-CN" w:bidi="ar-SA"/>
    </w:rPr>
  </w:style>
  <w:style w:type="character" w:default="1" w:styleId="5">
    <w:name w:val="Default Paragraph Font"/>
    <w:unhideWhenUsed/>
    <w:qFormat/>
    <w:uiPriority w:val="1"/>
  </w:style>
  <w:style w:type="table" w:default="1" w:styleId="3">
    <w:name w:val="Normal Table"/>
    <w:unhideWhenUsed/>
    <w:qFormat/>
    <w:uiPriority w:val="99"/>
    <w:tblPr>
      <w:tblCellMar>
        <w:top w:w="0" w:type="dxa"/>
        <w:left w:w="108" w:type="dxa"/>
        <w:bottom w:w="0" w:type="dxa"/>
        <w:right w:w="108" w:type="dxa"/>
      </w:tblCellMar>
    </w:tblPr>
  </w:style>
  <w:style w:type="paragraph" w:styleId="2">
    <w:name w:val="header"/>
    <w:basedOn w:val="1"/>
    <w:semiHidden/>
    <w:unhideWhenUsed/>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8c6ee200-6e56-4c8d-9dd0-f220223ca9fe"/>
    <w:qFormat/>
    <w:uiPriority w:val="0"/>
    <w:rPr>
      <w:rFonts w:ascii="Times New Roman" w:hAnsi="Times New Roman" w:eastAsia="Times New Roman" w:cs="Times New Roman"/>
      <w:sz w:val="24"/>
      <w:szCs w:val="24"/>
      <w:lang w:val="en-US" w:eastAsia="zh-CN" w:bidi="ar-SA"/>
    </w:rPr>
  </w:style>
  <w:style w:type="paragraph" w:customStyle="1" w:styleId="24">
    <w:name w:val="单元格样式1_cf6c126f-2905-463d-9110-6932903aebf7"/>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3bc20f89-955a-4b74-be51-f23f9742779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42bc3220-7462-41f1-8f20-e9e6b7f3e10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TOC 2"/>
    <w:basedOn w:val="1"/>
    <w:qFormat/>
    <w:uiPriority w:val="0"/>
    <w:pPr>
      <w:ind w:left="240"/>
    </w:pPr>
  </w:style>
  <w:style w:type="paragraph" w:customStyle="1" w:styleId="33">
    <w:name w:val="TOC 3"/>
    <w:basedOn w:val="1"/>
    <w:qFormat/>
    <w:uiPriority w:val="0"/>
    <w:pPr>
      <w:ind w:left="480"/>
    </w:pPr>
  </w:style>
  <w:style w:type="paragraph" w:customStyle="1" w:styleId="34">
    <w:name w:val="TOC 4"/>
    <w:basedOn w:val="1"/>
    <w:qFormat/>
    <w:uiPriority w:val="0"/>
    <w:pPr>
      <w:ind w:left="720"/>
    </w:pPr>
  </w:style>
  <w:style w:type="paragraph" w:customStyle="1" w:styleId="3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90</Pages>
  <Words>23159</Words>
  <Characters>26589</Characters>
  <Lines>0</Lines>
  <Paragraphs>0</Paragraphs>
  <TotalTime>0</TotalTime>
  <ScaleCrop>false</ScaleCrop>
  <LinksUpToDate>false</LinksUpToDate>
  <CharactersWithSpaces>30726</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2022-02-15T18:42:00Z</dcterms:created>
  <dc:creator>Administrator</dc:creator>
  <cp:lastModifiedBy>work</cp:lastModifiedBy>
  <dcterms:modified xsi:type="dcterms:W3CDTF">2025-05-29T17:23:56Z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BF5A0863BABE487AA5BB9AC1D29DA5E0</vt:lpwstr>
  </property>
</Properties>
</file>