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656E51">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295966CD">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机关事务管理局</w:t>
      </w:r>
      <w:r>
        <w:rPr>
          <w:rFonts w:hint="eastAsia" w:ascii="宋体" w:hAnsi="宋体"/>
          <w:b/>
          <w:sz w:val="44"/>
          <w:szCs w:val="44"/>
        </w:rPr>
        <w:t>2021年</w:t>
      </w:r>
    </w:p>
    <w:p w14:paraId="506C8C48">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7E18426E">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1B5061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225CD3DD">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39F0DE4">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093594C0">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7B7F0D07">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046B8B93">
            <w:pPr>
              <w:widowControl/>
              <w:spacing w:line="240" w:lineRule="exact"/>
              <w:jc w:val="left"/>
              <w:rPr>
                <w:b/>
              </w:rPr>
            </w:pPr>
            <w:r>
              <w:rPr>
                <w:rFonts w:ascii="仿宋_GB2312" w:hAnsi="新宋体" w:eastAsia="仿宋_GB2312" w:cs="仿宋_GB2312"/>
                <w:b/>
                <w:kern w:val="0"/>
                <w:sz w:val="24"/>
                <w:szCs w:val="24"/>
              </w:rPr>
              <w:t>得分</w:t>
            </w:r>
          </w:p>
        </w:tc>
      </w:tr>
      <w:tr w14:paraId="225B27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E969090">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0B69D95">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1675CFF">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2C02EA8A">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561FE504">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5A533DB9">
            <w:pPr>
              <w:rPr>
                <w:rFonts w:ascii="宋体"/>
                <w:szCs w:val="21"/>
              </w:rPr>
            </w:pPr>
          </w:p>
        </w:tc>
      </w:tr>
      <w:tr w14:paraId="4C5F9F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0F15A3B4">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3365B24D">
            <w:pPr>
              <w:widowControl/>
              <w:spacing w:line="240" w:lineRule="exact"/>
              <w:jc w:val="left"/>
              <w:rPr>
                <w:rFonts w:hint="default" w:eastAsiaTheme="minorEastAsia"/>
                <w:szCs w:val="21"/>
                <w:lang w:val="en-US" w:eastAsia="zh-CN"/>
              </w:rPr>
            </w:pPr>
            <w:r>
              <w:rPr>
                <w:rFonts w:hint="eastAsia"/>
                <w:szCs w:val="21"/>
                <w:lang w:val="en-US" w:eastAsia="zh-CN"/>
              </w:rPr>
              <w:t>100</w:t>
            </w:r>
          </w:p>
        </w:tc>
      </w:tr>
      <w:tr w14:paraId="62BA88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7200BAF">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E1DBD1E">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1639F6E0">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43517B2E">
            <w:pPr>
              <w:widowControl/>
              <w:spacing w:line="240" w:lineRule="exact"/>
              <w:jc w:val="left"/>
              <w:rPr>
                <w:rFonts w:ascii="仿宋_GB2312" w:hAnsi="新宋体" w:eastAsia="仿宋_GB2312" w:cs="仿宋_GB2312"/>
                <w:kern w:val="0"/>
                <w:szCs w:val="21"/>
              </w:rPr>
            </w:pPr>
          </w:p>
          <w:p w14:paraId="2461B03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0E7B4931">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1964B327">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1C5EE9F1">
            <w:pPr>
              <w:widowControl/>
              <w:spacing w:line="240" w:lineRule="exact"/>
              <w:jc w:val="left"/>
              <w:rPr>
                <w:szCs w:val="21"/>
              </w:rPr>
            </w:pPr>
            <w:r>
              <w:rPr>
                <w:rFonts w:ascii="仿宋_GB2312" w:hAnsi="新宋体" w:eastAsia="仿宋_GB2312" w:cs="仿宋_GB2312"/>
                <w:kern w:val="0"/>
                <w:szCs w:val="21"/>
              </w:rPr>
              <w:t>符合（1）；</w:t>
            </w:r>
          </w:p>
          <w:p w14:paraId="317CF825">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4ECFFE93">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1C762E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2EF8F4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18E6EFB">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0E49224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6D343737">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4F28910E">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01CD5E0E">
            <w:pPr>
              <w:widowControl/>
              <w:spacing w:line="240" w:lineRule="exact"/>
              <w:jc w:val="left"/>
              <w:rPr>
                <w:szCs w:val="21"/>
              </w:rPr>
            </w:pPr>
            <w:r>
              <w:rPr>
                <w:rFonts w:ascii="仿宋_GB2312" w:hAnsi="新宋体" w:eastAsia="仿宋_GB2312" w:cs="仿宋_GB2312"/>
                <w:kern w:val="0"/>
                <w:szCs w:val="21"/>
              </w:rPr>
              <w:t>评价要点：</w:t>
            </w:r>
          </w:p>
          <w:p w14:paraId="7935EE2E">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6439588F">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2E41DDD7">
            <w:pPr>
              <w:widowControl/>
              <w:spacing w:line="240" w:lineRule="exact"/>
              <w:jc w:val="left"/>
              <w:rPr>
                <w:szCs w:val="21"/>
              </w:rPr>
            </w:pPr>
            <w:r>
              <w:rPr>
                <w:rFonts w:ascii="仿宋_GB2312" w:hAnsi="新宋体" w:eastAsia="仿宋_GB2312" w:cs="仿宋_GB2312"/>
                <w:kern w:val="0"/>
                <w:szCs w:val="21"/>
              </w:rPr>
              <w:t>全部符合（2）；</w:t>
            </w:r>
          </w:p>
          <w:p w14:paraId="6709A6EB">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3CC5786B">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D1E86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D47FE7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6E51A50">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37BC104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2F6E351B">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5D96DE58">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2C46753A">
            <w:pPr>
              <w:widowControl/>
              <w:spacing w:line="240" w:lineRule="exact"/>
              <w:jc w:val="left"/>
              <w:rPr>
                <w:szCs w:val="21"/>
              </w:rPr>
            </w:pPr>
            <w:r>
              <w:rPr>
                <w:rFonts w:ascii="仿宋_GB2312" w:hAnsi="新宋体" w:eastAsia="仿宋_GB2312" w:cs="仿宋_GB2312"/>
                <w:kern w:val="0"/>
                <w:szCs w:val="21"/>
              </w:rPr>
              <w:t>评价要点：</w:t>
            </w:r>
          </w:p>
          <w:p w14:paraId="7B277B48">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22AB93AF">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2BA5F5AD">
            <w:pPr>
              <w:widowControl/>
              <w:spacing w:line="240" w:lineRule="exact"/>
              <w:jc w:val="left"/>
              <w:rPr>
                <w:szCs w:val="21"/>
              </w:rPr>
            </w:pPr>
            <w:r>
              <w:rPr>
                <w:rFonts w:ascii="仿宋_GB2312" w:hAnsi="新宋体" w:eastAsia="仿宋_GB2312" w:cs="仿宋_GB2312"/>
                <w:kern w:val="0"/>
                <w:szCs w:val="21"/>
              </w:rPr>
              <w:t>全部符合（2）；</w:t>
            </w:r>
          </w:p>
          <w:p w14:paraId="04C5DAA6">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05D5D0A4">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5BB192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95914E4">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6572B2F2">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7A1283CD">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5D692F4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1F97D07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63CB5FA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506E6B0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051AB82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55837C7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7028571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03AEA7E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350F1EA7">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18E4F0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3A9198DF">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488EA9B9">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491FE80D">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260" w:type="dxa"/>
            <w:tcBorders>
              <w:top w:val="single" w:color="auto" w:sz="4" w:space="0"/>
              <w:left w:val="single" w:color="auto" w:sz="4" w:space="0"/>
              <w:right w:val="single" w:color="auto" w:sz="4" w:space="0"/>
            </w:tcBorders>
            <w:vAlign w:val="center"/>
          </w:tcPr>
          <w:p w14:paraId="5DC52F13">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bookmarkStart w:id="0" w:name="_GoBack"/>
            <w:bookmarkEnd w:id="0"/>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59284A3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051EEDA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183B723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55063057">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0E001C36">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10011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7C6F6561">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3E0D5751">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65E34A79">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5DAC4C6D">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7A721E0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79C6B39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7AF0AFF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791A219F">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7E7CDC01">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45E42E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C04E349">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83A53B8">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021A3DC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421B245E">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538BDB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6368736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584DE40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6B6BD0A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6350DDB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75C6F3F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10293ADF">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5273F0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FBB111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A276740">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C85F6E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31220653">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7F86C2D">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6AE498E7">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32D40F28">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5618D81C">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45DDD29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4C736BF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5A558FD8">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6F99B7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772CB01">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3A4CBD9">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C56E307">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7001C470">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BF47A1C">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145519E8">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46204359">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7C2BAA80">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4EF20879">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72319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122D6B1">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42199AC">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10D17E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2DAAFFF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10F47B9E">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B60A65E">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2C0E2068">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46FD8C7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24E93CD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6C9A048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5944C19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37161ACA">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740E7C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4B05882">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266DEAE">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756C11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344AD7A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54065CA0">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954BBB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7EDB6C2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08B88E7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3A46BA8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25B5871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690848C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53F200EE">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1C00F1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C630CB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F0DD158">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C6B0C9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2287998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1765911C">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FDE143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456B358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0F2E9EF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1F17ADC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1920AEB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4CE312A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23B5DED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7B44ACF0">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604351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80B4890">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2D22F10">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157FDE97">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6CD7889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6C496A3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2D07E7D2">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C02E7CA">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2AA009D6">
            <w:pPr>
              <w:widowControl/>
              <w:spacing w:line="240" w:lineRule="exact"/>
              <w:jc w:val="left"/>
              <w:rPr>
                <w:szCs w:val="21"/>
              </w:rPr>
            </w:pPr>
            <w:r>
              <w:rPr>
                <w:rFonts w:ascii="仿宋_GB2312" w:hAnsi="新宋体" w:eastAsia="仿宋_GB2312" w:cs="仿宋_GB2312"/>
                <w:kern w:val="0"/>
                <w:szCs w:val="21"/>
              </w:rPr>
              <w:t>评价要点：</w:t>
            </w:r>
          </w:p>
          <w:p w14:paraId="7A492099">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7B2D54DF">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54B0793A">
            <w:pPr>
              <w:widowControl/>
              <w:spacing w:line="240" w:lineRule="exact"/>
              <w:jc w:val="left"/>
              <w:rPr>
                <w:szCs w:val="21"/>
              </w:rPr>
            </w:pPr>
            <w:r>
              <w:rPr>
                <w:rFonts w:ascii="仿宋_GB2312" w:hAnsi="新宋体" w:eastAsia="仿宋_GB2312" w:cs="仿宋_GB2312"/>
                <w:kern w:val="0"/>
                <w:szCs w:val="21"/>
              </w:rPr>
              <w:t>3.项目的重大开支经过评估论证；</w:t>
            </w:r>
          </w:p>
          <w:p w14:paraId="3773DB7E">
            <w:pPr>
              <w:widowControl/>
              <w:spacing w:line="240" w:lineRule="exact"/>
              <w:jc w:val="left"/>
              <w:rPr>
                <w:szCs w:val="21"/>
              </w:rPr>
            </w:pPr>
            <w:r>
              <w:rPr>
                <w:rFonts w:ascii="仿宋_GB2312" w:hAnsi="新宋体" w:eastAsia="仿宋_GB2312" w:cs="仿宋_GB2312"/>
                <w:kern w:val="0"/>
                <w:szCs w:val="21"/>
              </w:rPr>
              <w:t>4.符合部门预算批复的用途；</w:t>
            </w:r>
          </w:p>
          <w:p w14:paraId="79363A46">
            <w:pPr>
              <w:widowControl/>
              <w:spacing w:line="240" w:lineRule="exact"/>
              <w:jc w:val="left"/>
              <w:rPr>
                <w:szCs w:val="21"/>
              </w:rPr>
            </w:pPr>
            <w:r>
              <w:rPr>
                <w:rFonts w:ascii="仿宋_GB2312" w:hAnsi="新宋体" w:eastAsia="仿宋_GB2312" w:cs="仿宋_GB2312"/>
                <w:kern w:val="0"/>
                <w:szCs w:val="21"/>
              </w:rPr>
              <w:t>5.不存在截留情况；</w:t>
            </w:r>
          </w:p>
          <w:p w14:paraId="32A02CCD">
            <w:pPr>
              <w:widowControl/>
              <w:spacing w:line="240" w:lineRule="exact"/>
              <w:jc w:val="left"/>
              <w:rPr>
                <w:szCs w:val="21"/>
              </w:rPr>
            </w:pPr>
            <w:r>
              <w:rPr>
                <w:rFonts w:ascii="仿宋_GB2312" w:hAnsi="新宋体" w:eastAsia="仿宋_GB2312" w:cs="仿宋_GB2312"/>
                <w:kern w:val="0"/>
                <w:szCs w:val="21"/>
              </w:rPr>
              <w:t>6.不存在挤占情况；</w:t>
            </w:r>
          </w:p>
          <w:p w14:paraId="2F1628E1">
            <w:pPr>
              <w:widowControl/>
              <w:spacing w:line="240" w:lineRule="exact"/>
              <w:jc w:val="left"/>
              <w:rPr>
                <w:szCs w:val="21"/>
              </w:rPr>
            </w:pPr>
            <w:r>
              <w:rPr>
                <w:rFonts w:ascii="仿宋_GB2312" w:hAnsi="新宋体" w:eastAsia="仿宋_GB2312" w:cs="仿宋_GB2312"/>
                <w:kern w:val="0"/>
                <w:szCs w:val="21"/>
              </w:rPr>
              <w:t>7.不存在挪用情况；</w:t>
            </w:r>
          </w:p>
          <w:p w14:paraId="78DCC6C9">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2595CE54">
            <w:pPr>
              <w:widowControl/>
              <w:spacing w:line="240" w:lineRule="exact"/>
              <w:jc w:val="left"/>
              <w:rPr>
                <w:szCs w:val="21"/>
              </w:rPr>
            </w:pPr>
            <w:r>
              <w:rPr>
                <w:rFonts w:ascii="仿宋_GB2312" w:hAnsi="新宋体" w:eastAsia="仿宋_GB2312" w:cs="仿宋_GB2312"/>
                <w:kern w:val="0"/>
                <w:szCs w:val="21"/>
              </w:rPr>
              <w:t>全部符合（8）；</w:t>
            </w:r>
          </w:p>
          <w:p w14:paraId="14713C28">
            <w:pPr>
              <w:widowControl/>
              <w:spacing w:line="240" w:lineRule="exact"/>
              <w:jc w:val="left"/>
              <w:rPr>
                <w:szCs w:val="21"/>
              </w:rPr>
            </w:pPr>
            <w:r>
              <w:rPr>
                <w:rFonts w:ascii="仿宋_GB2312" w:hAnsi="新宋体" w:eastAsia="仿宋_GB2312" w:cs="仿宋_GB2312"/>
                <w:kern w:val="0"/>
                <w:szCs w:val="21"/>
              </w:rPr>
              <w:t>符合其中七项（6）；</w:t>
            </w:r>
          </w:p>
          <w:p w14:paraId="368D0A6E">
            <w:pPr>
              <w:widowControl/>
              <w:spacing w:line="240" w:lineRule="exact"/>
              <w:jc w:val="left"/>
              <w:rPr>
                <w:szCs w:val="21"/>
              </w:rPr>
            </w:pPr>
            <w:r>
              <w:rPr>
                <w:rFonts w:ascii="仿宋_GB2312" w:hAnsi="新宋体" w:eastAsia="仿宋_GB2312" w:cs="仿宋_GB2312"/>
                <w:kern w:val="0"/>
                <w:szCs w:val="21"/>
              </w:rPr>
              <w:t>符合其中六项（4）；</w:t>
            </w:r>
          </w:p>
          <w:p w14:paraId="3E72DD78">
            <w:pPr>
              <w:widowControl/>
              <w:spacing w:line="240" w:lineRule="exact"/>
              <w:jc w:val="left"/>
              <w:rPr>
                <w:szCs w:val="21"/>
              </w:rPr>
            </w:pPr>
            <w:r>
              <w:rPr>
                <w:rFonts w:ascii="仿宋_GB2312" w:hAnsi="新宋体" w:eastAsia="仿宋_GB2312" w:cs="仿宋_GB2312"/>
                <w:kern w:val="0"/>
                <w:szCs w:val="21"/>
              </w:rPr>
              <w:t>符合其中五项（2）；</w:t>
            </w:r>
          </w:p>
          <w:p w14:paraId="2CD72D50">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6C6266C2">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7774A6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2BDFAD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205BA1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2E8ED8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351B4AA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576CA4A5">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B409C64">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6CD46D9D">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02BAFAB7">
            <w:pPr>
              <w:widowControl/>
              <w:spacing w:line="240" w:lineRule="exact"/>
              <w:jc w:val="left"/>
              <w:rPr>
                <w:szCs w:val="21"/>
              </w:rPr>
            </w:pPr>
            <w:r>
              <w:rPr>
                <w:rFonts w:ascii="仿宋_GB2312" w:hAnsi="新宋体" w:eastAsia="仿宋_GB2312" w:cs="仿宋_GB2312"/>
                <w:kern w:val="0"/>
                <w:szCs w:val="21"/>
              </w:rPr>
              <w:t>评价要点：</w:t>
            </w:r>
          </w:p>
          <w:p w14:paraId="4E56D9F2">
            <w:pPr>
              <w:widowControl/>
              <w:spacing w:line="240" w:lineRule="exact"/>
              <w:jc w:val="left"/>
              <w:rPr>
                <w:szCs w:val="21"/>
              </w:rPr>
            </w:pPr>
            <w:r>
              <w:rPr>
                <w:rFonts w:ascii="仿宋_GB2312" w:hAnsi="新宋体" w:eastAsia="仿宋_GB2312" w:cs="仿宋_GB2312"/>
                <w:kern w:val="0"/>
                <w:szCs w:val="21"/>
              </w:rPr>
              <w:t>1.公开预决算信息；</w:t>
            </w:r>
          </w:p>
          <w:p w14:paraId="3884A4E4">
            <w:pPr>
              <w:widowControl/>
              <w:spacing w:line="240" w:lineRule="exact"/>
              <w:jc w:val="left"/>
              <w:rPr>
                <w:szCs w:val="21"/>
              </w:rPr>
            </w:pPr>
            <w:r>
              <w:rPr>
                <w:rFonts w:ascii="仿宋_GB2312" w:hAnsi="新宋体" w:eastAsia="仿宋_GB2312" w:cs="仿宋_GB2312"/>
                <w:kern w:val="0"/>
                <w:szCs w:val="21"/>
              </w:rPr>
              <w:t>2.按规定内容公开预决算信息；</w:t>
            </w:r>
          </w:p>
          <w:p w14:paraId="6E65D312">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62042EA4">
            <w:pPr>
              <w:widowControl/>
              <w:spacing w:line="240" w:lineRule="exact"/>
              <w:jc w:val="left"/>
              <w:rPr>
                <w:szCs w:val="21"/>
              </w:rPr>
            </w:pPr>
            <w:r>
              <w:rPr>
                <w:rFonts w:ascii="仿宋_GB2312" w:hAnsi="新宋体" w:eastAsia="仿宋_GB2312" w:cs="仿宋_GB2312"/>
                <w:kern w:val="0"/>
                <w:szCs w:val="21"/>
              </w:rPr>
              <w:t>全部符合（3）；</w:t>
            </w:r>
          </w:p>
          <w:p w14:paraId="6FCFBF61">
            <w:pPr>
              <w:widowControl/>
              <w:spacing w:line="240" w:lineRule="exact"/>
              <w:jc w:val="left"/>
              <w:rPr>
                <w:szCs w:val="21"/>
              </w:rPr>
            </w:pPr>
            <w:r>
              <w:rPr>
                <w:rFonts w:ascii="仿宋_GB2312" w:hAnsi="新宋体" w:eastAsia="仿宋_GB2312" w:cs="仿宋_GB2312"/>
                <w:kern w:val="0"/>
                <w:szCs w:val="21"/>
              </w:rPr>
              <w:t>符合其中两项（2）</w:t>
            </w:r>
          </w:p>
          <w:p w14:paraId="29CBED17">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74BB37FA">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3AB20C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244369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628F61D">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0959FA2">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6B9F60BF">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39B9A5B6">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34C6A9D">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0C33EEAC">
            <w:pPr>
              <w:widowControl/>
              <w:spacing w:line="240" w:lineRule="exact"/>
              <w:jc w:val="left"/>
              <w:rPr>
                <w:szCs w:val="21"/>
              </w:rPr>
            </w:pPr>
            <w:r>
              <w:rPr>
                <w:rFonts w:ascii="仿宋_GB2312" w:hAnsi="新宋体" w:eastAsia="仿宋_GB2312" w:cs="仿宋_GB2312"/>
                <w:kern w:val="0"/>
                <w:szCs w:val="21"/>
              </w:rPr>
              <w:t>评价要点：</w:t>
            </w:r>
          </w:p>
          <w:p w14:paraId="2D55193F">
            <w:pPr>
              <w:widowControl/>
              <w:spacing w:line="240" w:lineRule="exact"/>
              <w:jc w:val="left"/>
              <w:rPr>
                <w:szCs w:val="21"/>
              </w:rPr>
            </w:pPr>
            <w:r>
              <w:rPr>
                <w:rFonts w:ascii="仿宋_GB2312" w:hAnsi="新宋体" w:eastAsia="仿宋_GB2312" w:cs="仿宋_GB2312"/>
                <w:kern w:val="0"/>
                <w:szCs w:val="21"/>
              </w:rPr>
              <w:t>1.基本财务管理制度健全；</w:t>
            </w:r>
          </w:p>
          <w:p w14:paraId="4BBD50F3">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5EAC38B1">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2B558E35">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5DD3BBC0">
            <w:pPr>
              <w:widowControl/>
              <w:spacing w:line="240" w:lineRule="exact"/>
              <w:jc w:val="left"/>
              <w:rPr>
                <w:szCs w:val="21"/>
              </w:rPr>
            </w:pPr>
            <w:r>
              <w:rPr>
                <w:rFonts w:ascii="仿宋_GB2312" w:hAnsi="新宋体" w:eastAsia="仿宋_GB2312" w:cs="仿宋_GB2312"/>
                <w:kern w:val="0"/>
                <w:szCs w:val="21"/>
              </w:rPr>
              <w:t>符合全部四项（4）；</w:t>
            </w:r>
          </w:p>
          <w:p w14:paraId="03B853ED">
            <w:pPr>
              <w:widowControl/>
              <w:spacing w:line="240" w:lineRule="exact"/>
              <w:jc w:val="left"/>
              <w:rPr>
                <w:szCs w:val="21"/>
              </w:rPr>
            </w:pPr>
            <w:r>
              <w:rPr>
                <w:rFonts w:ascii="仿宋_GB2312" w:hAnsi="新宋体" w:eastAsia="仿宋_GB2312" w:cs="仿宋_GB2312"/>
                <w:kern w:val="0"/>
                <w:szCs w:val="21"/>
              </w:rPr>
              <w:t>符合其中三项（2）；</w:t>
            </w:r>
          </w:p>
          <w:p w14:paraId="1E6A8456">
            <w:pPr>
              <w:widowControl/>
              <w:spacing w:line="240" w:lineRule="exact"/>
              <w:jc w:val="left"/>
              <w:rPr>
                <w:szCs w:val="21"/>
              </w:rPr>
            </w:pPr>
            <w:r>
              <w:rPr>
                <w:rFonts w:ascii="仿宋_GB2312" w:hAnsi="新宋体" w:eastAsia="仿宋_GB2312" w:cs="仿宋_GB2312"/>
                <w:kern w:val="0"/>
                <w:szCs w:val="21"/>
              </w:rPr>
              <w:t>符合其中两项（1）；</w:t>
            </w:r>
          </w:p>
          <w:p w14:paraId="7FC05FD8">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6CB2A1F8">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468F29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A82464C">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5C0D3FE8">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42C3A71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398FE81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71A93D65">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6DFAD2A0">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062CA070">
            <w:pPr>
              <w:widowControl/>
              <w:spacing w:line="240" w:lineRule="exact"/>
              <w:jc w:val="left"/>
              <w:rPr>
                <w:szCs w:val="21"/>
              </w:rPr>
            </w:pPr>
            <w:r>
              <w:rPr>
                <w:rFonts w:ascii="仿宋_GB2312" w:hAnsi="新宋体" w:eastAsia="仿宋_GB2312" w:cs="仿宋_GB2312"/>
                <w:kern w:val="0"/>
                <w:szCs w:val="21"/>
              </w:rPr>
              <w:t>评价要点：</w:t>
            </w:r>
          </w:p>
          <w:p w14:paraId="11F92EC4">
            <w:pPr>
              <w:widowControl/>
              <w:spacing w:line="240" w:lineRule="exact"/>
              <w:jc w:val="left"/>
              <w:rPr>
                <w:szCs w:val="21"/>
              </w:rPr>
            </w:pPr>
            <w:r>
              <w:rPr>
                <w:rFonts w:ascii="仿宋_GB2312" w:hAnsi="新宋体" w:eastAsia="仿宋_GB2312" w:cs="仿宋_GB2312"/>
                <w:kern w:val="0"/>
                <w:szCs w:val="21"/>
              </w:rPr>
              <w:t>1.资产保存完整；</w:t>
            </w:r>
          </w:p>
          <w:p w14:paraId="3C44649B">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rPr>
              <w:t>账实</w:t>
            </w:r>
            <w:r>
              <w:rPr>
                <w:rFonts w:ascii="仿宋_GB2312" w:hAnsi="新宋体" w:eastAsia="仿宋_GB2312" w:cs="仿宋_GB2312"/>
                <w:kern w:val="0"/>
                <w:szCs w:val="21"/>
              </w:rPr>
              <w:t>相符；</w:t>
            </w:r>
          </w:p>
          <w:p w14:paraId="25FFEB1F">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470DCD9D">
            <w:pPr>
              <w:widowControl/>
              <w:spacing w:line="240" w:lineRule="exact"/>
              <w:jc w:val="left"/>
              <w:rPr>
                <w:szCs w:val="21"/>
              </w:rPr>
            </w:pPr>
            <w:r>
              <w:rPr>
                <w:rFonts w:ascii="仿宋_GB2312" w:hAnsi="新宋体" w:eastAsia="仿宋_GB2312" w:cs="仿宋_GB2312"/>
                <w:kern w:val="0"/>
                <w:szCs w:val="21"/>
              </w:rPr>
              <w:t>符合全部三项（3）；</w:t>
            </w:r>
          </w:p>
          <w:p w14:paraId="6A0BD961">
            <w:pPr>
              <w:widowControl/>
              <w:spacing w:line="240" w:lineRule="exact"/>
              <w:jc w:val="left"/>
              <w:rPr>
                <w:szCs w:val="21"/>
              </w:rPr>
            </w:pPr>
            <w:r>
              <w:rPr>
                <w:rFonts w:ascii="仿宋_GB2312" w:hAnsi="新宋体" w:eastAsia="仿宋_GB2312" w:cs="仿宋_GB2312"/>
                <w:kern w:val="0"/>
                <w:szCs w:val="21"/>
              </w:rPr>
              <w:t>符合其中两项（2）；</w:t>
            </w:r>
          </w:p>
          <w:p w14:paraId="5506C4AB">
            <w:pPr>
              <w:widowControl/>
              <w:spacing w:line="240" w:lineRule="exact"/>
              <w:jc w:val="left"/>
              <w:rPr>
                <w:szCs w:val="21"/>
              </w:rPr>
            </w:pPr>
            <w:r>
              <w:rPr>
                <w:rFonts w:ascii="仿宋_GB2312" w:hAnsi="新宋体" w:eastAsia="仿宋_GB2312" w:cs="仿宋_GB2312"/>
                <w:kern w:val="0"/>
                <w:szCs w:val="21"/>
              </w:rPr>
              <w:t>符合其中一项（1）；</w:t>
            </w:r>
          </w:p>
          <w:p w14:paraId="148D0AA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29116FD5">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C519F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A448BB2">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500E70B">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3F43722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23E239A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7D7DFD7D">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6D3D3830">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1E855B5E">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619F2B7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707DB7B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21C4EBB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76C67F7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2407AADF">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6F0892F8">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5A7DBE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C108F04">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796582D">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3EC9E194">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3C1951E7">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38ACC9AA">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73F574E4">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54BA1A9F">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500CE7A6">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53B8568E">
            <w:pPr>
              <w:widowControl/>
              <w:spacing w:line="240" w:lineRule="exact"/>
              <w:jc w:val="left"/>
              <w:rPr>
                <w:rFonts w:hint="default" w:eastAsiaTheme="minorEastAsia"/>
                <w:szCs w:val="21"/>
                <w:lang w:val="en-US" w:eastAsia="zh-CN"/>
              </w:rPr>
            </w:pPr>
            <w:r>
              <w:rPr>
                <w:rFonts w:hint="eastAsia"/>
                <w:szCs w:val="21"/>
                <w:lang w:val="en-US" w:eastAsia="zh-CN"/>
              </w:rPr>
              <w:t>10</w:t>
            </w:r>
          </w:p>
        </w:tc>
      </w:tr>
      <w:tr w14:paraId="640AC7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BF835BE">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D48B540">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01F6048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72653B9B">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07FDAF5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20088C23">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0F73336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0CF638E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5E68CD4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25AE25C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334619A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77EFBE8E">
            <w:pPr>
              <w:widowControl/>
              <w:spacing w:line="240" w:lineRule="exact"/>
              <w:jc w:val="left"/>
              <w:rPr>
                <w:rFonts w:hint="default" w:eastAsiaTheme="minorEastAsia"/>
                <w:szCs w:val="21"/>
                <w:lang w:val="en-US" w:eastAsia="zh-CN"/>
              </w:rPr>
            </w:pPr>
            <w:r>
              <w:rPr>
                <w:rFonts w:hint="eastAsia"/>
                <w:szCs w:val="21"/>
                <w:lang w:val="en-US" w:eastAsia="zh-CN"/>
              </w:rPr>
              <w:t>15</w:t>
            </w:r>
          </w:p>
        </w:tc>
      </w:tr>
      <w:tr w14:paraId="583311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51DCF233">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4779E176">
            <w:pPr>
              <w:widowControl/>
              <w:spacing w:line="240" w:lineRule="exact"/>
              <w:jc w:val="left"/>
              <w:rPr>
                <w:rFonts w:ascii="仿宋_GB2312" w:hAnsi="新宋体" w:eastAsia="仿宋_GB2312" w:cs="仿宋_GB2312"/>
                <w:kern w:val="0"/>
                <w:szCs w:val="21"/>
              </w:rPr>
            </w:pPr>
          </w:p>
          <w:p w14:paraId="6A34EDB9">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46E96F7A">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173EBD10">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0A2E1FAE">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560DDAC">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4A509D1D">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1AF5738E">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0B132244">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5A062D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41A46187">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0793C808">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0741764">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4BE7E511">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7F16411A">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36DAAF6E">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4EE13883">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79FF87C7">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CB5F2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108EBF45">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68FE3775">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2CB3EF5">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569D37B7">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79545B31">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28E33DA9">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622E5E68">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719C02B1">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0048E8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804213A">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4EC98E5A">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F9C8454">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386B84A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61F8CFB1">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7B01380D">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672AA5AD">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2A8577F3">
      <w:pPr>
        <w:widowControl/>
        <w:spacing w:line="480" w:lineRule="exact"/>
        <w:jc w:val="left"/>
        <w:rPr>
          <w:rFonts w:ascii="仿宋" w:hAnsi="仿宋" w:eastAsia="仿宋" w:cs="仿宋"/>
          <w:kern w:val="0"/>
          <w:sz w:val="32"/>
          <w:szCs w:val="32"/>
          <w:shd w:val="clear" w:color="auto" w:fill="FFFFFF"/>
        </w:rPr>
      </w:pPr>
    </w:p>
    <w:p w14:paraId="042375E8">
      <w:pPr>
        <w:rPr>
          <w:rFonts w:ascii="黑体" w:hAnsi="黑体" w:eastAsia="黑体" w:cs="黑体"/>
          <w:b/>
          <w:bCs/>
          <w:sz w:val="30"/>
          <w:szCs w:val="30"/>
        </w:rPr>
      </w:pPr>
      <w:r>
        <w:rPr>
          <w:rFonts w:hint="eastAsia" w:ascii="黑体" w:hAnsi="黑体" w:eastAsia="黑体" w:cs="黑体"/>
          <w:b/>
          <w:bCs/>
          <w:sz w:val="30"/>
          <w:szCs w:val="30"/>
        </w:rPr>
        <w:t>(后附部门整体自评报告)</w:t>
      </w:r>
    </w:p>
    <w:p w14:paraId="257546F5">
      <w:pPr>
        <w:rPr>
          <w:rFonts w:ascii="黑体" w:hAnsi="黑体" w:eastAsia="黑体" w:cs="黑体"/>
          <w:b/>
          <w:bCs/>
          <w:sz w:val="30"/>
          <w:szCs w:val="30"/>
        </w:rPr>
      </w:pPr>
    </w:p>
    <w:p w14:paraId="3695655F">
      <w:pPr>
        <w:rPr>
          <w:rFonts w:ascii="黑体" w:hAnsi="黑体" w:eastAsia="黑体" w:cs="黑体"/>
          <w:b/>
          <w:bCs/>
          <w:sz w:val="30"/>
          <w:szCs w:val="30"/>
        </w:rPr>
      </w:pPr>
    </w:p>
    <w:p w14:paraId="278D1739">
      <w:pPr>
        <w:rPr>
          <w:rFonts w:ascii="黑体" w:hAnsi="黑体" w:eastAsia="黑体" w:cs="黑体"/>
          <w:b/>
          <w:bCs/>
          <w:sz w:val="30"/>
          <w:szCs w:val="30"/>
        </w:rPr>
      </w:pPr>
    </w:p>
    <w:p w14:paraId="60A104F7">
      <w:pPr>
        <w:rPr>
          <w:rFonts w:ascii="黑体" w:hAnsi="黑体" w:eastAsia="黑体" w:cs="黑体"/>
          <w:b/>
          <w:bCs/>
          <w:sz w:val="30"/>
          <w:szCs w:val="30"/>
        </w:rPr>
      </w:pPr>
    </w:p>
    <w:p w14:paraId="1D9ED46C">
      <w:pPr>
        <w:rPr>
          <w:rFonts w:ascii="黑体" w:hAnsi="黑体" w:eastAsia="黑体" w:cs="黑体"/>
          <w:b/>
          <w:bCs/>
          <w:sz w:val="30"/>
          <w:szCs w:val="30"/>
        </w:rPr>
      </w:pPr>
    </w:p>
    <w:p w14:paraId="77ACD47C">
      <w:pPr>
        <w:ind w:firstLine="780"/>
        <w:jc w:val="center"/>
        <w:rPr>
          <w:rFonts w:hint="eastAsia" w:cs="黑体" w:asciiTheme="minorEastAsia" w:hAnsiTheme="minorEastAsia" w:eastAsiaTheme="minorEastAsia"/>
          <w:b/>
          <w:bCs/>
          <w:sz w:val="44"/>
          <w:szCs w:val="44"/>
          <w:lang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机关事务管理局</w:t>
      </w:r>
    </w:p>
    <w:p w14:paraId="7C879ED9">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23A3739E">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2E8BFC40">
      <w:pPr>
        <w:numPr>
          <w:ilvl w:val="0"/>
          <w:numId w:val="1"/>
        </w:numPr>
        <w:spacing w:line="240" w:lineRule="auto"/>
        <w:ind w:left="-10" w:leftChars="0" w:firstLine="640" w:firstLineChars="0"/>
        <w:rPr>
          <w:rFonts w:ascii="仿宋" w:hAnsi="仿宋" w:eastAsia="仿宋" w:cs="仿宋"/>
          <w:sz w:val="32"/>
          <w:szCs w:val="32"/>
        </w:rPr>
      </w:pPr>
      <w:r>
        <w:rPr>
          <w:rFonts w:hint="eastAsia" w:ascii="仿宋" w:hAnsi="仿宋" w:eastAsia="仿宋" w:cs="仿宋"/>
          <w:sz w:val="32"/>
          <w:szCs w:val="32"/>
          <w:lang w:val="en-US" w:eastAsia="zh-CN"/>
        </w:rPr>
        <w:t>基本概况。主要职责职能研究制定本县各级机关事务管理工作的政策措施并组织实施；负责制定区域内的机关后勤管理和服务工作；负责车改后保留公务用车的管理、调度；负责机关办公用房配置管理；负责全县公共机构资源节约工作。组织架构3个。</w:t>
      </w:r>
    </w:p>
    <w:p w14:paraId="64E413ED">
      <w:pPr>
        <w:adjustRightInd w:val="0"/>
        <w:rPr>
          <w:rFonts w:ascii="仿宋" w:hAnsi="仿宋" w:eastAsia="仿宋" w:cs="仿宋"/>
          <w:sz w:val="32"/>
          <w:szCs w:val="32"/>
        </w:rPr>
      </w:pPr>
      <w:r>
        <w:rPr>
          <w:rFonts w:hint="eastAsia" w:ascii="仿宋" w:hAnsi="仿宋" w:eastAsia="仿宋" w:cs="仿宋"/>
          <w:sz w:val="32"/>
          <w:szCs w:val="32"/>
        </w:rPr>
        <w:t xml:space="preserve">   （二）</w:t>
      </w:r>
      <w:r>
        <w:rPr>
          <w:rFonts w:hint="eastAsia" w:ascii="仿宋" w:hAnsi="仿宋" w:eastAsia="仿宋" w:cs="仿宋"/>
          <w:sz w:val="32"/>
          <w:szCs w:val="32"/>
          <w:lang w:val="en-US" w:eastAsia="zh-CN"/>
        </w:rPr>
        <w:t>人员有21名，资产截止2021年年底2353.108399万元、部门履职总体目标保障全县各个机关单位车辆和房屋的使用、年度整体绩效目标、工作任务.</w:t>
      </w:r>
    </w:p>
    <w:p w14:paraId="1012B8E2">
      <w:pPr>
        <w:pStyle w:val="18"/>
        <w:ind w:left="0" w:leftChars="0" w:firstLine="320" w:firstLineChars="100"/>
        <w:rPr>
          <w:rFonts w:hint="default" w:eastAsia="方正仿宋_GBK"/>
          <w:lang w:val="en-US" w:eastAsia="zh-CN"/>
        </w:rPr>
      </w:pPr>
      <w:r>
        <w:rPr>
          <w:rFonts w:hint="eastAsia" w:ascii="仿宋" w:hAnsi="仿宋" w:eastAsia="仿宋" w:cs="仿宋"/>
          <w:sz w:val="32"/>
          <w:szCs w:val="32"/>
        </w:rPr>
        <w:t xml:space="preserve"> （三）</w:t>
      </w:r>
      <w:r>
        <w:rPr>
          <w:rFonts w:hint="eastAsia" w:ascii="仿宋" w:hAnsi="仿宋" w:eastAsia="仿宋" w:cs="仿宋"/>
          <w:sz w:val="32"/>
          <w:szCs w:val="32"/>
          <w:lang w:val="en-US" w:eastAsia="zh-CN"/>
        </w:rPr>
        <w:t>1、</w:t>
      </w:r>
      <w:r>
        <w:rPr>
          <w:rFonts w:hint="eastAsia" w:ascii="仿宋" w:hAnsi="仿宋" w:eastAsia="仿宋" w:cs="仿宋"/>
          <w:sz w:val="32"/>
          <w:szCs w:val="32"/>
        </w:rPr>
        <w:t>承担</w:t>
      </w:r>
      <w:r>
        <w:rPr>
          <w:rFonts w:hint="eastAsia" w:ascii="仿宋" w:hAnsi="仿宋" w:eastAsia="仿宋" w:cs="仿宋"/>
          <w:sz w:val="32"/>
          <w:szCs w:val="32"/>
          <w:lang w:val="en-US" w:eastAsia="zh-CN"/>
        </w:rPr>
        <w:t>县</w:t>
      </w:r>
      <w:r>
        <w:rPr>
          <w:rFonts w:hint="eastAsia" w:ascii="仿宋" w:hAnsi="仿宋" w:eastAsia="仿宋" w:cs="仿宋"/>
          <w:sz w:val="32"/>
          <w:szCs w:val="32"/>
        </w:rPr>
        <w:t>委、</w:t>
      </w:r>
      <w:r>
        <w:rPr>
          <w:rFonts w:hint="eastAsia" w:ascii="仿宋" w:hAnsi="仿宋" w:eastAsia="仿宋" w:cs="仿宋"/>
          <w:sz w:val="32"/>
          <w:szCs w:val="32"/>
          <w:lang w:val="en-US" w:eastAsia="zh-CN"/>
        </w:rPr>
        <w:t>县政府</w:t>
      </w:r>
      <w:r>
        <w:rPr>
          <w:rFonts w:hint="eastAsia" w:ascii="仿宋" w:hAnsi="仿宋" w:eastAsia="仿宋" w:cs="仿宋"/>
          <w:sz w:val="32"/>
          <w:szCs w:val="32"/>
        </w:rPr>
        <w:t>及部分事业单位的车辆、食堂、通讯、房屋修缮、供水、供暖、供电等方面的服务保障工作</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rPr>
        <w:t>完成</w:t>
      </w:r>
      <w:r>
        <w:rPr>
          <w:rFonts w:hint="eastAsia" w:ascii="仿宋" w:hAnsi="仿宋" w:eastAsia="仿宋" w:cs="仿宋"/>
          <w:sz w:val="32"/>
          <w:szCs w:val="32"/>
          <w:lang w:val="en-US" w:eastAsia="zh-CN"/>
        </w:rPr>
        <w:t>县</w:t>
      </w:r>
      <w:r>
        <w:rPr>
          <w:rFonts w:hint="eastAsia" w:ascii="仿宋" w:hAnsi="仿宋" w:eastAsia="仿宋" w:cs="仿宋"/>
          <w:sz w:val="32"/>
          <w:szCs w:val="32"/>
        </w:rPr>
        <w:t>委、</w:t>
      </w:r>
      <w:r>
        <w:rPr>
          <w:rFonts w:hint="eastAsia" w:ascii="仿宋" w:hAnsi="仿宋" w:eastAsia="仿宋" w:cs="仿宋"/>
          <w:sz w:val="32"/>
          <w:szCs w:val="32"/>
          <w:lang w:val="en-US" w:eastAsia="zh-CN"/>
        </w:rPr>
        <w:t>县政府</w:t>
      </w:r>
      <w:r>
        <w:rPr>
          <w:rFonts w:hint="eastAsia" w:ascii="仿宋" w:hAnsi="仿宋" w:eastAsia="仿宋" w:cs="仿宋"/>
          <w:sz w:val="32"/>
          <w:szCs w:val="32"/>
        </w:rPr>
        <w:t>交办的其他任务。</w:t>
      </w:r>
    </w:p>
    <w:p w14:paraId="143883ED">
      <w:pPr>
        <w:adjustRightInd w:val="0"/>
        <w:rPr>
          <w:rFonts w:ascii="仿宋" w:hAnsi="仿宋" w:eastAsia="仿宋" w:cs="仿宋"/>
          <w:sz w:val="32"/>
          <w:szCs w:val="32"/>
        </w:rPr>
      </w:pPr>
      <w:r>
        <w:rPr>
          <w:rFonts w:hint="eastAsia" w:ascii="仿宋" w:hAnsi="仿宋" w:eastAsia="仿宋" w:cs="仿宋"/>
          <w:sz w:val="32"/>
          <w:szCs w:val="32"/>
        </w:rPr>
        <w:t>。</w:t>
      </w:r>
    </w:p>
    <w:p w14:paraId="31C0A4FF">
      <w:pPr>
        <w:adjustRightInd w:val="0"/>
        <w:rPr>
          <w:rFonts w:ascii="仿宋" w:hAnsi="仿宋" w:eastAsia="仿宋" w:cs="仿宋"/>
          <w:sz w:val="32"/>
          <w:szCs w:val="32"/>
        </w:rPr>
      </w:pPr>
      <w:r>
        <w:rPr>
          <w:rFonts w:hint="eastAsia" w:ascii="仿宋" w:hAnsi="仿宋" w:eastAsia="仿宋" w:cs="仿宋"/>
          <w:sz w:val="32"/>
          <w:szCs w:val="32"/>
        </w:rPr>
        <w:t xml:space="preserve">   （四）年度整体绩效目标和工作任务。</w:t>
      </w:r>
    </w:p>
    <w:p w14:paraId="039DE958">
      <w:pPr>
        <w:adjustRightInd w:val="0"/>
        <w:rPr>
          <w:rFonts w:ascii="楷体" w:hAnsi="楷体" w:eastAsia="楷体" w:cs="仿宋"/>
          <w:sz w:val="32"/>
          <w:szCs w:val="32"/>
        </w:rPr>
      </w:pPr>
      <w:r>
        <w:rPr>
          <w:rFonts w:hint="eastAsia" w:ascii="仿宋" w:hAnsi="仿宋" w:eastAsia="仿宋" w:cs="仿宋"/>
          <w:sz w:val="32"/>
          <w:szCs w:val="32"/>
        </w:rPr>
        <w:t xml:space="preserve">   （五）</w:t>
      </w:r>
      <w:r>
        <w:rPr>
          <w:rFonts w:hint="eastAsia" w:ascii="仿宋" w:hAnsi="仿宋" w:eastAsia="仿宋" w:cs="仿宋"/>
          <w:sz w:val="32"/>
          <w:szCs w:val="32"/>
          <w:lang w:val="en-US" w:eastAsia="zh-CN"/>
        </w:rPr>
        <w:t>预算资金安排8610563.45元及资金支出8610563.45元。</w:t>
      </w:r>
    </w:p>
    <w:p w14:paraId="29F124DA">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14:paraId="7D4DA8F7">
      <w:pPr>
        <w:numPr>
          <w:ilvl w:val="0"/>
          <w:numId w:val="0"/>
        </w:numPr>
        <w:spacing w:line="240" w:lineRule="auto"/>
        <w:ind w:firstLine="640" w:firstLineChars="200"/>
        <w:rPr>
          <w:rFonts w:ascii="仿宋" w:hAnsi="仿宋" w:eastAsia="仿宋" w:cs="仿宋"/>
          <w:sz w:val="32"/>
          <w:szCs w:val="32"/>
        </w:rPr>
      </w:pPr>
      <w:r>
        <w:rPr>
          <w:rFonts w:hint="eastAsia" w:ascii="仿宋" w:hAnsi="仿宋" w:eastAsia="仿宋" w:cs="仿宋"/>
          <w:sz w:val="32"/>
          <w:szCs w:val="32"/>
        </w:rPr>
        <w:t>（一）</w:t>
      </w:r>
      <w:r>
        <w:rPr>
          <w:rFonts w:hint="eastAsia" w:ascii="仿宋" w:hAnsi="仿宋" w:eastAsia="仿宋" w:cs="仿宋"/>
          <w:sz w:val="32"/>
          <w:szCs w:val="32"/>
          <w:lang w:val="en-US" w:eastAsia="zh-CN"/>
        </w:rPr>
        <w:t>预算绩效保障各单位出行及办公的便利，各单位对我单位工作的认可。在节省开始的情况下完成出行、实施公车统一管理各单位工作效率更加完善各单位对我单位工作比较认可。</w:t>
      </w:r>
    </w:p>
    <w:p w14:paraId="4DFA7547">
      <w:pPr>
        <w:pStyle w:val="18"/>
        <w:rPr>
          <w:rFonts w:hint="eastAsia" w:ascii="仿宋" w:hAnsi="仿宋" w:eastAsia="仿宋" w:cs="仿宋"/>
          <w:sz w:val="32"/>
          <w:szCs w:val="32"/>
        </w:rPr>
      </w:pPr>
      <w:r>
        <w:rPr>
          <w:rFonts w:hint="eastAsia" w:ascii="仿宋" w:hAnsi="仿宋" w:eastAsia="仿宋" w:cs="仿宋"/>
          <w:sz w:val="32"/>
          <w:szCs w:val="32"/>
        </w:rPr>
        <w:t>（二）承担</w:t>
      </w:r>
      <w:r>
        <w:rPr>
          <w:rFonts w:hint="eastAsia" w:ascii="仿宋" w:hAnsi="仿宋" w:eastAsia="仿宋" w:cs="仿宋"/>
          <w:sz w:val="32"/>
          <w:szCs w:val="32"/>
          <w:lang w:val="en-US" w:eastAsia="zh-CN"/>
        </w:rPr>
        <w:t>县</w:t>
      </w:r>
      <w:r>
        <w:rPr>
          <w:rFonts w:hint="eastAsia" w:ascii="仿宋" w:hAnsi="仿宋" w:eastAsia="仿宋" w:cs="仿宋"/>
          <w:sz w:val="32"/>
          <w:szCs w:val="32"/>
        </w:rPr>
        <w:t>委、</w:t>
      </w:r>
      <w:r>
        <w:rPr>
          <w:rFonts w:hint="eastAsia" w:ascii="仿宋" w:hAnsi="仿宋" w:eastAsia="仿宋" w:cs="仿宋"/>
          <w:sz w:val="32"/>
          <w:szCs w:val="32"/>
          <w:lang w:val="en-US" w:eastAsia="zh-CN"/>
        </w:rPr>
        <w:t>县政府</w:t>
      </w:r>
      <w:r>
        <w:rPr>
          <w:rFonts w:hint="eastAsia" w:ascii="仿宋" w:hAnsi="仿宋" w:eastAsia="仿宋" w:cs="仿宋"/>
          <w:sz w:val="32"/>
          <w:szCs w:val="32"/>
        </w:rPr>
        <w:t>及部分事业单位的车辆、食堂、通讯、房屋修缮、供水、供暖、供电等方面的服务保障工作。</w:t>
      </w:r>
    </w:p>
    <w:p w14:paraId="29B6EA48">
      <w:pPr>
        <w:numPr>
          <w:ilvl w:val="0"/>
          <w:numId w:val="0"/>
        </w:numPr>
        <w:spacing w:line="240" w:lineRule="auto"/>
        <w:ind w:left="630" w:leftChars="0"/>
        <w:rPr>
          <w:rFonts w:ascii="仿宋" w:hAnsi="仿宋" w:eastAsia="仿宋" w:cs="仿宋"/>
          <w:sz w:val="32"/>
          <w:szCs w:val="32"/>
        </w:rPr>
      </w:pPr>
      <w:r>
        <w:rPr>
          <w:rFonts w:hint="eastAsia" w:ascii="仿宋" w:hAnsi="仿宋" w:eastAsia="仿宋" w:cs="仿宋"/>
          <w:sz w:val="32"/>
          <w:szCs w:val="32"/>
        </w:rPr>
        <w:t>（三）</w:t>
      </w:r>
      <w:r>
        <w:rPr>
          <w:rFonts w:hint="eastAsia" w:ascii="仿宋" w:hAnsi="仿宋" w:eastAsia="仿宋" w:cs="仿宋"/>
          <w:sz w:val="32"/>
          <w:szCs w:val="32"/>
          <w:lang w:val="en-US" w:eastAsia="zh-CN"/>
        </w:rPr>
        <w:t>绩效评价的组织实施情况评价对象是购买公务用车的数量及必要性绩效目标、绩效指标购买1辆考斯特、1辆帕萨特、4辆皮卡、1辆新能源。评价标准县直各单位对购买公务用车的评价和使用率。</w:t>
      </w:r>
    </w:p>
    <w:p w14:paraId="2A9D3F45">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14:paraId="37427001">
      <w:pPr>
        <w:numPr>
          <w:ilvl w:val="0"/>
          <w:numId w:val="0"/>
        </w:numPr>
        <w:spacing w:line="240" w:lineRule="auto"/>
        <w:ind w:firstLine="640" w:firstLineChars="200"/>
        <w:rPr>
          <w:rFonts w:ascii="仿宋" w:hAnsi="仿宋" w:eastAsia="仿宋" w:cs="仿宋"/>
          <w:sz w:val="32"/>
          <w:szCs w:val="32"/>
        </w:rPr>
      </w:pPr>
      <w:r>
        <w:rPr>
          <w:rFonts w:hint="eastAsia" w:ascii="仿宋" w:hAnsi="仿宋" w:eastAsia="仿宋" w:cs="仿宋"/>
          <w:sz w:val="32"/>
          <w:szCs w:val="32"/>
        </w:rPr>
        <w:t>（一）</w:t>
      </w:r>
      <w:r>
        <w:rPr>
          <w:rFonts w:hint="eastAsia" w:ascii="仿宋" w:hAnsi="仿宋" w:eastAsia="仿宋" w:cs="仿宋"/>
          <w:sz w:val="32"/>
          <w:szCs w:val="32"/>
          <w:lang w:val="en-US" w:eastAsia="zh-CN"/>
        </w:rPr>
        <w:t>预算绩效保障各单位出行及办公的便利，各单位对我单位工作的认可。在节省开始的情况下完成出行、实施公车统一管理各单位工作效率更加完善各单位对我单位工作比较认可。</w:t>
      </w:r>
    </w:p>
    <w:p w14:paraId="24462108">
      <w:pPr>
        <w:pStyle w:val="18"/>
        <w:rPr>
          <w:rFonts w:hint="eastAsia" w:ascii="仿宋" w:hAnsi="仿宋" w:eastAsia="仿宋" w:cs="仿宋"/>
          <w:sz w:val="32"/>
          <w:szCs w:val="32"/>
        </w:rPr>
      </w:pPr>
      <w:r>
        <w:rPr>
          <w:rFonts w:hint="eastAsia" w:ascii="仿宋" w:hAnsi="仿宋" w:eastAsia="仿宋" w:cs="仿宋"/>
          <w:sz w:val="32"/>
          <w:szCs w:val="32"/>
        </w:rPr>
        <w:t>（二）承担</w:t>
      </w:r>
      <w:r>
        <w:rPr>
          <w:rFonts w:hint="eastAsia" w:ascii="仿宋" w:hAnsi="仿宋" w:eastAsia="仿宋" w:cs="仿宋"/>
          <w:sz w:val="32"/>
          <w:szCs w:val="32"/>
          <w:lang w:val="en-US" w:eastAsia="zh-CN"/>
        </w:rPr>
        <w:t>县</w:t>
      </w:r>
      <w:r>
        <w:rPr>
          <w:rFonts w:hint="eastAsia" w:ascii="仿宋" w:hAnsi="仿宋" w:eastAsia="仿宋" w:cs="仿宋"/>
          <w:sz w:val="32"/>
          <w:szCs w:val="32"/>
        </w:rPr>
        <w:t>委、</w:t>
      </w:r>
      <w:r>
        <w:rPr>
          <w:rFonts w:hint="eastAsia" w:ascii="仿宋" w:hAnsi="仿宋" w:eastAsia="仿宋" w:cs="仿宋"/>
          <w:sz w:val="32"/>
          <w:szCs w:val="32"/>
          <w:lang w:val="en-US" w:eastAsia="zh-CN"/>
        </w:rPr>
        <w:t>县政府</w:t>
      </w:r>
      <w:r>
        <w:rPr>
          <w:rFonts w:hint="eastAsia" w:ascii="仿宋" w:hAnsi="仿宋" w:eastAsia="仿宋" w:cs="仿宋"/>
          <w:sz w:val="32"/>
          <w:szCs w:val="32"/>
        </w:rPr>
        <w:t>及部分事业单位的车辆、食堂、通讯、房屋修缮、供水、供暖、供电等方面的服务保障工作。</w:t>
      </w:r>
    </w:p>
    <w:p w14:paraId="1250F0D6">
      <w:pPr>
        <w:numPr>
          <w:ilvl w:val="0"/>
          <w:numId w:val="0"/>
        </w:numPr>
        <w:spacing w:line="240" w:lineRule="auto"/>
        <w:ind w:left="630" w:leftChars="0"/>
        <w:rPr>
          <w:rFonts w:ascii="仿宋" w:hAnsi="仿宋" w:eastAsia="仿宋" w:cs="仿宋"/>
          <w:sz w:val="32"/>
          <w:szCs w:val="32"/>
        </w:rPr>
      </w:pPr>
      <w:r>
        <w:rPr>
          <w:rFonts w:hint="eastAsia" w:ascii="仿宋" w:hAnsi="仿宋" w:eastAsia="仿宋" w:cs="仿宋"/>
          <w:sz w:val="32"/>
          <w:szCs w:val="32"/>
        </w:rPr>
        <w:t>（三）</w:t>
      </w:r>
      <w:r>
        <w:rPr>
          <w:rFonts w:hint="eastAsia" w:ascii="仿宋" w:hAnsi="仿宋" w:eastAsia="仿宋" w:cs="仿宋"/>
          <w:sz w:val="32"/>
          <w:szCs w:val="32"/>
          <w:lang w:val="en-US" w:eastAsia="zh-CN"/>
        </w:rPr>
        <w:t>绩效评价的组织实施情况评价对象是购买公务用车的数量及必要性绩效目标、绩效指标购买1辆考斯特、1辆帕萨特、4辆皮卡、1辆新能源。评价标准县直各单位对购买公务用车的评价和使用率。</w:t>
      </w:r>
    </w:p>
    <w:p w14:paraId="04CE04E2">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lang w:eastAsia="zh-CN"/>
        </w:rPr>
        <w:t>无</w:t>
      </w:r>
      <w:r>
        <w:rPr>
          <w:rFonts w:hint="eastAsia" w:ascii="黑体" w:hAnsi="黑体" w:eastAsia="黑体" w:cs="仿宋"/>
          <w:sz w:val="32"/>
          <w:szCs w:val="32"/>
        </w:rPr>
        <w:t>各项绩效目标的实现程度及差异性原因</w:t>
      </w:r>
      <w:r>
        <w:rPr>
          <w:rFonts w:hint="eastAsia" w:ascii="黑体" w:hAnsi="黑体" w:eastAsia="黑体" w:cs="仿宋"/>
          <w:sz w:val="32"/>
          <w:szCs w:val="32"/>
          <w:lang w:eastAsia="zh-CN"/>
        </w:rPr>
        <w:t>。</w:t>
      </w:r>
    </w:p>
    <w:p w14:paraId="05705F57">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lang w:eastAsia="zh-CN"/>
        </w:rPr>
        <w:t>无</w:t>
      </w:r>
      <w:r>
        <w:rPr>
          <w:rFonts w:hint="eastAsia" w:ascii="黑体" w:hAnsi="黑体" w:eastAsia="黑体" w:cs="仿宋"/>
          <w:sz w:val="32"/>
          <w:szCs w:val="32"/>
        </w:rPr>
        <w:t>存在问题</w:t>
      </w:r>
      <w:r>
        <w:rPr>
          <w:rFonts w:hint="eastAsia" w:ascii="黑体" w:hAnsi="黑体" w:eastAsia="黑体" w:cs="仿宋"/>
          <w:sz w:val="32"/>
          <w:szCs w:val="32"/>
          <w:lang w:eastAsia="zh-CN"/>
        </w:rPr>
        <w:t>。</w:t>
      </w:r>
    </w:p>
    <w:p w14:paraId="63C288F2">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lang w:eastAsia="zh-CN"/>
        </w:rPr>
        <w:t>无</w:t>
      </w:r>
      <w:r>
        <w:rPr>
          <w:rFonts w:hint="eastAsia" w:ascii="黑体" w:hAnsi="黑体" w:eastAsia="黑体" w:cs="仿宋"/>
          <w:sz w:val="32"/>
          <w:szCs w:val="32"/>
        </w:rPr>
        <w:t>采取的纠偏措施及改进绩效管理建议。</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altName w:val="微软雅黑"/>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83E246">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14:paraId="668B0938">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52B839">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00796901">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EDEA68"/>
    <w:multiLevelType w:val="singleLevel"/>
    <w:tmpl w:val="41EDEA68"/>
    <w:lvl w:ilvl="0" w:tentative="0">
      <w:start w:val="1"/>
      <w:numFmt w:val="chineseCounting"/>
      <w:suff w:val="nothing"/>
      <w:lvlText w:val="（%1）"/>
      <w:lvlJc w:val="left"/>
      <w:pPr>
        <w:ind w:left="-10"/>
      </w:pPr>
      <w:rPr>
        <w:rFonts w:hint="eastAsia"/>
      </w:rPr>
    </w:lvl>
  </w:abstractNum>
  <w:abstractNum w:abstractNumId="1">
    <w:nsid w:val="4DE332E9"/>
    <w:multiLevelType w:val="multilevel"/>
    <w:tmpl w:val="4DE332E9"/>
    <w:lvl w:ilvl="0" w:tentative="0">
      <w:start w:val="1"/>
      <w:numFmt w:val="japaneseCounting"/>
      <w:lvlText w:val="%1、"/>
      <w:lvlJc w:val="left"/>
      <w:pPr>
        <w:ind w:left="1429" w:hanging="720"/>
      </w:pPr>
      <w:rPr>
        <w:rFonts w:hint="default"/>
        <w:lang w:val="en-US"/>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HorizontalSpacing w:val="105"/>
  <w:drawingGridVerticalSpacing w:val="31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C8F0285"/>
    <w:rsid w:val="0F8F6BFC"/>
    <w:rsid w:val="107166F3"/>
    <w:rsid w:val="18B96007"/>
    <w:rsid w:val="1C841DE7"/>
    <w:rsid w:val="1CFF7C7F"/>
    <w:rsid w:val="34C07DFB"/>
    <w:rsid w:val="3791647A"/>
    <w:rsid w:val="40D07EFD"/>
    <w:rsid w:val="455969D8"/>
    <w:rsid w:val="48725571"/>
    <w:rsid w:val="4BDB04ED"/>
    <w:rsid w:val="526A3656"/>
    <w:rsid w:val="53CD5365"/>
    <w:rsid w:val="58BF63A4"/>
    <w:rsid w:val="5A7200CD"/>
    <w:rsid w:val="5D643D56"/>
    <w:rsid w:val="64283056"/>
    <w:rsid w:val="69BD0A47"/>
    <w:rsid w:val="6F7FA336"/>
    <w:rsid w:val="71A911C9"/>
    <w:rsid w:val="7793669D"/>
    <w:rsid w:val="7CCC213E"/>
    <w:rsid w:val="7EA32C34"/>
    <w:rsid w:val="7FDF56C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 w:type="paragraph" w:customStyle="1" w:styleId="1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857</Words>
  <Characters>4889</Characters>
  <Lines>40</Lines>
  <Paragraphs>11</Paragraphs>
  <TotalTime>3</TotalTime>
  <ScaleCrop>false</ScaleCrop>
  <LinksUpToDate>false</LinksUpToDate>
  <CharactersWithSpaces>5735</CharactersWithSpaces>
  <Application>WPS Office_12.1.0.17900_F1E327BC-269C-435d-A152-05C5408002CA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2016-02-22T23:07:00Z</dcterms:created>
  <dc:creator>Administrator</dc:creator>
  <cp:lastModifiedBy>work</cp:lastModifiedBy>
  <cp:lastPrinted>2018-11-29T19:23:00Z</cp:lastPrinted>
  <dcterms:modified xsi:type="dcterms:W3CDTF">2025-05-28T16:47:17Z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2052-12.1.0.17900</vt:lpwstr>
  </property>
  <property fmtid="{D5CDD505-2E9C-101B-9397-08002B2CF9AE}" pid="3" name="ICV">
    <vt:lpwstr>E5DC471DAB7500B495CD3668E08E0B8D_43</vt:lpwstr>
  </property>
</Properties>
</file>