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6B9698">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580454BE">
      <w:pPr>
        <w:spacing w:line="480" w:lineRule="exact"/>
        <w:jc w:val="center"/>
        <w:rPr>
          <w:rFonts w:hint="eastAsia" w:ascii="宋体" w:hAnsi="宋体"/>
          <w:b/>
          <w:sz w:val="44"/>
          <w:szCs w:val="44"/>
          <w:lang w:eastAsia="zh-CN"/>
        </w:rPr>
      </w:pPr>
      <w:r>
        <w:rPr>
          <w:rFonts w:hint="eastAsia" w:ascii="宋体" w:hAnsi="宋体"/>
          <w:b/>
          <w:sz w:val="44"/>
          <w:szCs w:val="44"/>
          <w:lang w:eastAsia="zh-CN"/>
        </w:rPr>
        <w:t>中共</w:t>
      </w:r>
      <w:r>
        <w:rPr>
          <w:rFonts w:hint="eastAsia" w:ascii="宋体" w:hAnsi="宋体"/>
          <w:b/>
          <w:sz w:val="44"/>
          <w:szCs w:val="44"/>
        </w:rPr>
        <w:t>隆尧县</w:t>
      </w:r>
      <w:r>
        <w:rPr>
          <w:rFonts w:hint="eastAsia" w:ascii="宋体" w:hAnsi="宋体"/>
          <w:b/>
          <w:sz w:val="44"/>
          <w:szCs w:val="44"/>
          <w:lang w:eastAsia="zh-CN"/>
        </w:rPr>
        <w:t>委办公室</w:t>
      </w:r>
    </w:p>
    <w:p w14:paraId="7497C7D6">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2021年部门整体支出绩效评价</w:t>
      </w:r>
      <w:r>
        <w:rPr>
          <w:rFonts w:hint="eastAsia" w:ascii="宋体" w:hAnsi="宋体" w:eastAsia="宋体" w:cs="宋体"/>
          <w:b/>
          <w:color w:val="000000"/>
          <w:kern w:val="0"/>
          <w:sz w:val="44"/>
          <w:szCs w:val="44"/>
          <w:shd w:val="clear" w:color="auto" w:fill="FFFFFF"/>
        </w:rPr>
        <w:t>指标体系评分表</w:t>
      </w:r>
    </w:p>
    <w:p w14:paraId="01ACF17A">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10"/>
        <w:tblW w:w="984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454"/>
        <w:gridCol w:w="900"/>
      </w:tblGrid>
      <w:tr w14:paraId="3450EC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D4ADEBC">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4EC957A">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3AF268EF">
            <w:pPr>
              <w:widowControl/>
              <w:spacing w:line="240" w:lineRule="exact"/>
              <w:jc w:val="center"/>
              <w:rPr>
                <w:b/>
              </w:rPr>
            </w:pPr>
            <w:r>
              <w:rPr>
                <w:rFonts w:ascii="仿宋_GB2312" w:hAnsi="新宋体" w:eastAsia="仿宋_GB2312" w:cs="仿宋_GB2312"/>
                <w:b/>
                <w:kern w:val="0"/>
                <w:sz w:val="24"/>
                <w:szCs w:val="24"/>
              </w:rPr>
              <w:t>三级指标</w:t>
            </w:r>
          </w:p>
        </w:tc>
        <w:tc>
          <w:tcPr>
            <w:tcW w:w="2454" w:type="dxa"/>
            <w:vMerge w:val="restart"/>
            <w:tcBorders>
              <w:top w:val="single" w:color="000000" w:sz="4" w:space="0"/>
              <w:left w:val="single" w:color="auto" w:sz="4" w:space="0"/>
              <w:bottom w:val="single" w:color="000000" w:sz="4" w:space="0"/>
              <w:right w:val="single" w:color="auto" w:sz="4" w:space="0"/>
            </w:tcBorders>
            <w:vAlign w:val="center"/>
          </w:tcPr>
          <w:p w14:paraId="5DB806C1">
            <w:pPr>
              <w:widowControl/>
              <w:spacing w:line="240" w:lineRule="exact"/>
              <w:jc w:val="center"/>
              <w:rPr>
                <w:b/>
              </w:rPr>
            </w:pPr>
            <w:r>
              <w:rPr>
                <w:rFonts w:ascii="仿宋_GB2312" w:hAnsi="新宋体" w:eastAsia="仿宋_GB2312" w:cs="仿宋_GB2312"/>
                <w:b/>
                <w:kern w:val="0"/>
                <w:sz w:val="24"/>
                <w:szCs w:val="24"/>
              </w:rPr>
              <w:t>评分标准</w:t>
            </w:r>
          </w:p>
        </w:tc>
        <w:tc>
          <w:tcPr>
            <w:tcW w:w="900" w:type="dxa"/>
            <w:vMerge w:val="restart"/>
            <w:tcBorders>
              <w:top w:val="single" w:color="000000" w:sz="4" w:space="0"/>
              <w:left w:val="single" w:color="auto" w:sz="4" w:space="0"/>
              <w:bottom w:val="single" w:color="000000" w:sz="4" w:space="0"/>
              <w:right w:val="single" w:color="auto" w:sz="4" w:space="0"/>
            </w:tcBorders>
            <w:vAlign w:val="center"/>
          </w:tcPr>
          <w:p w14:paraId="4E4D5033">
            <w:pPr>
              <w:widowControl/>
              <w:spacing w:line="240" w:lineRule="exact"/>
              <w:jc w:val="left"/>
              <w:rPr>
                <w:b/>
              </w:rPr>
            </w:pPr>
            <w:r>
              <w:rPr>
                <w:rFonts w:ascii="仿宋_GB2312" w:hAnsi="新宋体" w:eastAsia="仿宋_GB2312" w:cs="仿宋_GB2312"/>
                <w:b/>
                <w:kern w:val="0"/>
                <w:sz w:val="24"/>
                <w:szCs w:val="24"/>
              </w:rPr>
              <w:t>得分</w:t>
            </w:r>
          </w:p>
        </w:tc>
      </w:tr>
      <w:tr w14:paraId="0893C0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D10982E">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AADB14D">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457DC1C">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018B1C63">
            <w:pPr>
              <w:widowControl/>
              <w:spacing w:line="240" w:lineRule="exact"/>
              <w:jc w:val="center"/>
              <w:rPr>
                <w:b/>
              </w:rPr>
            </w:pPr>
            <w:r>
              <w:rPr>
                <w:rFonts w:ascii="仿宋_GB2312" w:hAnsi="新宋体" w:eastAsia="仿宋_GB2312" w:cs="仿宋_GB2312"/>
                <w:b/>
                <w:kern w:val="0"/>
                <w:sz w:val="24"/>
                <w:szCs w:val="24"/>
              </w:rPr>
              <w:t>指标解释说明</w:t>
            </w:r>
          </w:p>
        </w:tc>
        <w:tc>
          <w:tcPr>
            <w:tcW w:w="2454" w:type="dxa"/>
            <w:vMerge w:val="continue"/>
            <w:tcBorders>
              <w:top w:val="single" w:color="000000" w:sz="4" w:space="0"/>
              <w:left w:val="single" w:color="auto" w:sz="4" w:space="0"/>
              <w:bottom w:val="single" w:color="000000" w:sz="4" w:space="0"/>
              <w:right w:val="single" w:color="auto" w:sz="4" w:space="0"/>
            </w:tcBorders>
            <w:vAlign w:val="center"/>
          </w:tcPr>
          <w:p w14:paraId="3E2B7759">
            <w:pPr>
              <w:rPr>
                <w:rFonts w:ascii="宋体"/>
                <w:szCs w:val="21"/>
              </w:rPr>
            </w:pPr>
          </w:p>
        </w:tc>
        <w:tc>
          <w:tcPr>
            <w:tcW w:w="900" w:type="dxa"/>
            <w:vMerge w:val="continue"/>
            <w:tcBorders>
              <w:top w:val="single" w:color="000000" w:sz="4" w:space="0"/>
              <w:left w:val="single" w:color="auto" w:sz="4" w:space="0"/>
              <w:bottom w:val="single" w:color="000000" w:sz="4" w:space="0"/>
              <w:right w:val="single" w:color="auto" w:sz="4" w:space="0"/>
            </w:tcBorders>
            <w:vAlign w:val="center"/>
          </w:tcPr>
          <w:p w14:paraId="32876B23">
            <w:pPr>
              <w:rPr>
                <w:rFonts w:ascii="宋体"/>
                <w:szCs w:val="21"/>
              </w:rPr>
            </w:pPr>
          </w:p>
        </w:tc>
      </w:tr>
      <w:tr w14:paraId="0DC25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67" w:hRule="atLeast"/>
        </w:trPr>
        <w:tc>
          <w:tcPr>
            <w:tcW w:w="8941" w:type="dxa"/>
            <w:gridSpan w:val="5"/>
            <w:tcBorders>
              <w:top w:val="single" w:color="000000" w:sz="4" w:space="0"/>
              <w:left w:val="single" w:color="000000" w:sz="4" w:space="0"/>
              <w:bottom w:val="single" w:color="000000" w:sz="4" w:space="0"/>
              <w:right w:val="single" w:color="auto" w:sz="4" w:space="0"/>
            </w:tcBorders>
            <w:vAlign w:val="center"/>
          </w:tcPr>
          <w:p w14:paraId="6A1D4601">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900" w:type="dxa"/>
            <w:tcBorders>
              <w:top w:val="single" w:color="000000" w:sz="4" w:space="0"/>
              <w:left w:val="single" w:color="auto" w:sz="4" w:space="0"/>
              <w:bottom w:val="single" w:color="auto" w:sz="4" w:space="0"/>
              <w:right w:val="single" w:color="000000" w:sz="4" w:space="0"/>
            </w:tcBorders>
            <w:vAlign w:val="center"/>
          </w:tcPr>
          <w:p w14:paraId="6CC55AB7">
            <w:pPr>
              <w:widowControl/>
              <w:spacing w:line="240" w:lineRule="exact"/>
              <w:jc w:val="left"/>
              <w:rPr>
                <w:rFonts w:hint="default" w:eastAsiaTheme="minorEastAsia"/>
                <w:szCs w:val="21"/>
                <w:lang w:val="en-US" w:eastAsia="zh-CN"/>
              </w:rPr>
            </w:pPr>
            <w:r>
              <w:rPr>
                <w:rFonts w:hint="eastAsia"/>
                <w:szCs w:val="21"/>
                <w:lang w:val="en-US" w:eastAsia="zh-CN"/>
              </w:rPr>
              <w:t>99.45</w:t>
            </w:r>
          </w:p>
        </w:tc>
      </w:tr>
      <w:tr w14:paraId="54DAD8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A0BB563">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23CF9C5">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3F7EEA67">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13AE173D">
            <w:pPr>
              <w:widowControl/>
              <w:spacing w:line="240" w:lineRule="exact"/>
              <w:jc w:val="left"/>
              <w:rPr>
                <w:rFonts w:ascii="仿宋_GB2312" w:hAnsi="新宋体" w:eastAsia="仿宋_GB2312" w:cs="仿宋_GB2312"/>
                <w:kern w:val="0"/>
                <w:szCs w:val="21"/>
              </w:rPr>
            </w:pPr>
          </w:p>
          <w:p w14:paraId="71DDAB5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10969371">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48E5E88">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454" w:type="dxa"/>
            <w:tcBorders>
              <w:top w:val="single" w:color="000000" w:sz="4" w:space="0"/>
              <w:left w:val="single" w:color="auto" w:sz="4" w:space="0"/>
              <w:bottom w:val="single" w:color="auto" w:sz="4" w:space="0"/>
              <w:right w:val="single" w:color="auto" w:sz="4" w:space="0"/>
            </w:tcBorders>
            <w:vAlign w:val="center"/>
          </w:tcPr>
          <w:p w14:paraId="42D424A8">
            <w:pPr>
              <w:widowControl/>
              <w:spacing w:line="240" w:lineRule="exact"/>
              <w:jc w:val="left"/>
              <w:rPr>
                <w:szCs w:val="21"/>
              </w:rPr>
            </w:pPr>
            <w:r>
              <w:rPr>
                <w:rFonts w:ascii="仿宋_GB2312" w:hAnsi="新宋体" w:eastAsia="仿宋_GB2312" w:cs="仿宋_GB2312"/>
                <w:kern w:val="0"/>
                <w:szCs w:val="21"/>
              </w:rPr>
              <w:t>符合（1）；</w:t>
            </w:r>
          </w:p>
          <w:p w14:paraId="61C4DE42">
            <w:pPr>
              <w:widowControl/>
              <w:spacing w:line="240" w:lineRule="exact"/>
              <w:jc w:val="left"/>
              <w:rPr>
                <w:szCs w:val="21"/>
              </w:rPr>
            </w:pPr>
            <w:r>
              <w:rPr>
                <w:rFonts w:ascii="仿宋_GB2312" w:hAnsi="新宋体" w:eastAsia="仿宋_GB2312" w:cs="仿宋_GB2312"/>
                <w:kern w:val="0"/>
                <w:szCs w:val="21"/>
              </w:rPr>
              <w:t>不符合（0）。</w:t>
            </w:r>
          </w:p>
        </w:tc>
        <w:tc>
          <w:tcPr>
            <w:tcW w:w="900" w:type="dxa"/>
            <w:tcBorders>
              <w:top w:val="single" w:color="000000" w:sz="4" w:space="0"/>
              <w:left w:val="single" w:color="auto" w:sz="4" w:space="0"/>
              <w:bottom w:val="single" w:color="auto" w:sz="4" w:space="0"/>
              <w:right w:val="single" w:color="000000" w:sz="4" w:space="0"/>
            </w:tcBorders>
            <w:vAlign w:val="center"/>
          </w:tcPr>
          <w:p w14:paraId="0ADF6DA3">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B4523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D30C8C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8697D98">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2018C84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1D576325">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2D35AE4">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5707F252">
            <w:pPr>
              <w:widowControl/>
              <w:spacing w:line="240" w:lineRule="exact"/>
              <w:jc w:val="left"/>
              <w:rPr>
                <w:szCs w:val="21"/>
              </w:rPr>
            </w:pPr>
            <w:r>
              <w:rPr>
                <w:rFonts w:ascii="仿宋_GB2312" w:hAnsi="新宋体" w:eastAsia="仿宋_GB2312" w:cs="仿宋_GB2312"/>
                <w:kern w:val="0"/>
                <w:szCs w:val="21"/>
              </w:rPr>
              <w:t>评价要点：</w:t>
            </w:r>
          </w:p>
          <w:p w14:paraId="59063A5F">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0F681C9D">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454" w:type="dxa"/>
            <w:tcBorders>
              <w:top w:val="single" w:color="000000" w:sz="4" w:space="0"/>
              <w:left w:val="single" w:color="auto" w:sz="4" w:space="0"/>
              <w:bottom w:val="single" w:color="auto" w:sz="4" w:space="0"/>
              <w:right w:val="single" w:color="auto" w:sz="4" w:space="0"/>
            </w:tcBorders>
            <w:vAlign w:val="center"/>
          </w:tcPr>
          <w:p w14:paraId="15F3ECB6">
            <w:pPr>
              <w:widowControl/>
              <w:spacing w:line="240" w:lineRule="exact"/>
              <w:jc w:val="left"/>
              <w:rPr>
                <w:szCs w:val="21"/>
              </w:rPr>
            </w:pPr>
            <w:r>
              <w:rPr>
                <w:rFonts w:ascii="仿宋_GB2312" w:hAnsi="新宋体" w:eastAsia="仿宋_GB2312" w:cs="仿宋_GB2312"/>
                <w:kern w:val="0"/>
                <w:szCs w:val="21"/>
              </w:rPr>
              <w:t>全部符合（2）；</w:t>
            </w:r>
          </w:p>
          <w:p w14:paraId="4E39DCDC">
            <w:pPr>
              <w:widowControl/>
              <w:spacing w:line="240" w:lineRule="exact"/>
              <w:jc w:val="left"/>
              <w:rPr>
                <w:szCs w:val="21"/>
              </w:rPr>
            </w:pPr>
            <w:r>
              <w:rPr>
                <w:rFonts w:ascii="仿宋_GB2312" w:hAnsi="新宋体" w:eastAsia="仿宋_GB2312" w:cs="仿宋_GB2312"/>
                <w:kern w:val="0"/>
                <w:szCs w:val="21"/>
              </w:rPr>
              <w:t>其中一项不符合（0）。</w:t>
            </w:r>
          </w:p>
        </w:tc>
        <w:tc>
          <w:tcPr>
            <w:tcW w:w="900" w:type="dxa"/>
            <w:tcBorders>
              <w:top w:val="single" w:color="000000" w:sz="4" w:space="0"/>
              <w:left w:val="single" w:color="auto" w:sz="4" w:space="0"/>
              <w:bottom w:val="single" w:color="auto" w:sz="4" w:space="0"/>
              <w:right w:val="single" w:color="000000" w:sz="4" w:space="0"/>
            </w:tcBorders>
            <w:vAlign w:val="center"/>
          </w:tcPr>
          <w:p w14:paraId="5A61BC64">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192F0F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920C3D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4696FE1">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6B8913C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0D14FA9F">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414AB6B">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5252CABA">
            <w:pPr>
              <w:widowControl/>
              <w:spacing w:line="240" w:lineRule="exact"/>
              <w:jc w:val="left"/>
              <w:rPr>
                <w:szCs w:val="21"/>
              </w:rPr>
            </w:pPr>
            <w:r>
              <w:rPr>
                <w:rFonts w:ascii="仿宋_GB2312" w:hAnsi="新宋体" w:eastAsia="仿宋_GB2312" w:cs="仿宋_GB2312"/>
                <w:kern w:val="0"/>
                <w:szCs w:val="21"/>
              </w:rPr>
              <w:t>评价要点：</w:t>
            </w:r>
          </w:p>
          <w:p w14:paraId="655B9D94">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66EAD47B">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454" w:type="dxa"/>
            <w:tcBorders>
              <w:top w:val="single" w:color="000000" w:sz="4" w:space="0"/>
              <w:left w:val="single" w:color="auto" w:sz="4" w:space="0"/>
              <w:bottom w:val="single" w:color="auto" w:sz="4" w:space="0"/>
              <w:right w:val="single" w:color="auto" w:sz="4" w:space="0"/>
            </w:tcBorders>
            <w:vAlign w:val="center"/>
          </w:tcPr>
          <w:p w14:paraId="221887D5">
            <w:pPr>
              <w:widowControl/>
              <w:spacing w:line="240" w:lineRule="exact"/>
              <w:jc w:val="left"/>
              <w:rPr>
                <w:szCs w:val="21"/>
              </w:rPr>
            </w:pPr>
            <w:r>
              <w:rPr>
                <w:rFonts w:ascii="仿宋_GB2312" w:hAnsi="新宋体" w:eastAsia="仿宋_GB2312" w:cs="仿宋_GB2312"/>
                <w:kern w:val="0"/>
                <w:szCs w:val="21"/>
              </w:rPr>
              <w:t>全部符合（2）；</w:t>
            </w:r>
          </w:p>
          <w:p w14:paraId="5BFB2CD1">
            <w:pPr>
              <w:widowControl/>
              <w:spacing w:line="240" w:lineRule="exact"/>
              <w:jc w:val="left"/>
              <w:rPr>
                <w:szCs w:val="21"/>
              </w:rPr>
            </w:pPr>
            <w:r>
              <w:rPr>
                <w:rFonts w:ascii="仿宋_GB2312" w:hAnsi="新宋体" w:eastAsia="仿宋_GB2312" w:cs="仿宋_GB2312"/>
                <w:kern w:val="0"/>
                <w:szCs w:val="21"/>
              </w:rPr>
              <w:t>其中一项不符合（0）。</w:t>
            </w:r>
          </w:p>
        </w:tc>
        <w:tc>
          <w:tcPr>
            <w:tcW w:w="900" w:type="dxa"/>
            <w:tcBorders>
              <w:top w:val="single" w:color="000000" w:sz="4" w:space="0"/>
              <w:left w:val="single" w:color="auto" w:sz="4" w:space="0"/>
              <w:bottom w:val="single" w:color="auto" w:sz="4" w:space="0"/>
              <w:right w:val="single" w:color="000000" w:sz="4" w:space="0"/>
            </w:tcBorders>
            <w:vAlign w:val="center"/>
          </w:tcPr>
          <w:p w14:paraId="3768750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FF72B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DB9D783">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31CFB34A">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18892B1A">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2D1CF7B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3F26D71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7643677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15B9F95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454" w:type="dxa"/>
            <w:tcBorders>
              <w:top w:val="single" w:color="auto" w:sz="4" w:space="0"/>
              <w:left w:val="single" w:color="auto" w:sz="4" w:space="0"/>
              <w:right w:val="single" w:color="auto" w:sz="4" w:space="0"/>
            </w:tcBorders>
            <w:vAlign w:val="center"/>
          </w:tcPr>
          <w:p w14:paraId="31373CD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69C9206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3E7836B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5F16BAE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900" w:type="dxa"/>
            <w:tcBorders>
              <w:top w:val="single" w:color="auto" w:sz="4" w:space="0"/>
              <w:left w:val="single" w:color="auto" w:sz="4" w:space="0"/>
              <w:bottom w:val="single" w:color="000000" w:sz="4" w:space="0"/>
              <w:right w:val="single" w:color="000000" w:sz="4" w:space="0"/>
            </w:tcBorders>
            <w:vAlign w:val="center"/>
          </w:tcPr>
          <w:p w14:paraId="0927FDC0">
            <w:pPr>
              <w:widowControl/>
              <w:spacing w:line="240" w:lineRule="exact"/>
              <w:jc w:val="left"/>
              <w:rPr>
                <w:szCs w:val="21"/>
              </w:rPr>
            </w:pPr>
          </w:p>
          <w:p w14:paraId="48C212D3">
            <w:pPr>
              <w:bidi w:val="0"/>
              <w:ind w:firstLine="214" w:firstLineChars="0"/>
              <w:jc w:val="left"/>
              <w:rPr>
                <w:rFonts w:hint="default" w:asciiTheme="minorHAnsi" w:hAnsiTheme="minorHAnsi" w:eastAsiaTheme="minorEastAsia" w:cstheme="minorBidi"/>
                <w:kern w:val="2"/>
                <w:sz w:val="21"/>
                <w:szCs w:val="22"/>
                <w:lang w:val="en-US" w:eastAsia="zh-CN" w:bidi="ar-SA"/>
              </w:rPr>
            </w:pPr>
            <w:r>
              <w:rPr>
                <w:rFonts w:hint="eastAsia" w:cstheme="minorBidi"/>
                <w:kern w:val="2"/>
                <w:sz w:val="21"/>
                <w:szCs w:val="22"/>
                <w:lang w:val="en-US" w:eastAsia="zh-CN" w:bidi="ar-SA"/>
              </w:rPr>
              <w:t>1</w:t>
            </w:r>
          </w:p>
        </w:tc>
      </w:tr>
      <w:tr w14:paraId="33F29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45DF28C1">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2C4A5862">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18DEA00A">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56A3BD3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454" w:type="dxa"/>
            <w:tcBorders>
              <w:top w:val="single" w:color="auto" w:sz="4" w:space="0"/>
              <w:left w:val="single" w:color="auto" w:sz="4" w:space="0"/>
              <w:right w:val="single" w:color="auto" w:sz="4" w:space="0"/>
            </w:tcBorders>
            <w:vAlign w:val="center"/>
          </w:tcPr>
          <w:p w14:paraId="2DD3B9E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536B774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4AD0466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5258FCBB">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900" w:type="dxa"/>
            <w:tcBorders>
              <w:top w:val="single" w:color="auto" w:sz="4" w:space="0"/>
              <w:left w:val="single" w:color="auto" w:sz="4" w:space="0"/>
              <w:bottom w:val="single" w:color="000000" w:sz="4" w:space="0"/>
              <w:right w:val="single" w:color="000000" w:sz="4" w:space="0"/>
            </w:tcBorders>
            <w:vAlign w:val="center"/>
          </w:tcPr>
          <w:p w14:paraId="72B3D619">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7D316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166CEC4D">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51926A8F">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7EE37C2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23DC53B0">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454" w:type="dxa"/>
            <w:tcBorders>
              <w:top w:val="single" w:color="auto" w:sz="4" w:space="0"/>
              <w:left w:val="single" w:color="auto" w:sz="4" w:space="0"/>
              <w:right w:val="single" w:color="auto" w:sz="4" w:space="0"/>
            </w:tcBorders>
            <w:vAlign w:val="center"/>
          </w:tcPr>
          <w:p w14:paraId="3D03F10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6CD40A3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166C352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6F1997C3">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900" w:type="dxa"/>
            <w:tcBorders>
              <w:top w:val="single" w:color="auto" w:sz="4" w:space="0"/>
              <w:left w:val="single" w:color="auto" w:sz="4" w:space="0"/>
              <w:bottom w:val="single" w:color="000000" w:sz="4" w:space="0"/>
              <w:right w:val="single" w:color="000000" w:sz="4" w:space="0"/>
            </w:tcBorders>
            <w:vAlign w:val="center"/>
          </w:tcPr>
          <w:p w14:paraId="3EF790E0">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ECC8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4E5504F">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AE92027">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6D1A888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47EF9D7F">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ED8A7F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552562E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454" w:type="dxa"/>
            <w:tcBorders>
              <w:top w:val="single" w:color="000000" w:sz="4" w:space="0"/>
              <w:left w:val="single" w:color="auto" w:sz="4" w:space="0"/>
              <w:bottom w:val="single" w:color="000000" w:sz="4" w:space="0"/>
              <w:right w:val="single" w:color="auto" w:sz="4" w:space="0"/>
            </w:tcBorders>
            <w:vAlign w:val="center"/>
          </w:tcPr>
          <w:p w14:paraId="619CA93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6E6FEC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6BEB6FB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7787B3E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900" w:type="dxa"/>
            <w:tcBorders>
              <w:top w:val="single" w:color="000000" w:sz="4" w:space="0"/>
              <w:left w:val="single" w:color="auto" w:sz="4" w:space="0"/>
              <w:bottom w:val="single" w:color="000000" w:sz="4" w:space="0"/>
              <w:right w:val="single" w:color="000000" w:sz="4" w:space="0"/>
            </w:tcBorders>
            <w:vAlign w:val="center"/>
          </w:tcPr>
          <w:p w14:paraId="25A792A8">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39918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DED865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5EAE81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12A424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325D3B8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EF01A80">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0FD30D00">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454" w:type="dxa"/>
            <w:tcBorders>
              <w:top w:val="single" w:color="000000" w:sz="4" w:space="0"/>
              <w:left w:val="single" w:color="auto" w:sz="4" w:space="0"/>
              <w:bottom w:val="single" w:color="000000" w:sz="4" w:space="0"/>
              <w:right w:val="single" w:color="auto" w:sz="4" w:space="0"/>
            </w:tcBorders>
            <w:vAlign w:val="center"/>
          </w:tcPr>
          <w:p w14:paraId="64A83861">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230DAD56">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2F10A41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34E3817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900" w:type="dxa"/>
            <w:tcBorders>
              <w:top w:val="single" w:color="000000" w:sz="4" w:space="0"/>
              <w:left w:val="single" w:color="auto" w:sz="4" w:space="0"/>
              <w:bottom w:val="single" w:color="000000" w:sz="4" w:space="0"/>
              <w:right w:val="single" w:color="000000" w:sz="4" w:space="0"/>
            </w:tcBorders>
            <w:vAlign w:val="center"/>
          </w:tcPr>
          <w:p w14:paraId="1D352973">
            <w:pPr>
              <w:widowControl/>
              <w:spacing w:line="240" w:lineRule="exact"/>
              <w:jc w:val="center"/>
              <w:rPr>
                <w:rFonts w:hint="default" w:eastAsiaTheme="minorEastAsia"/>
                <w:szCs w:val="21"/>
                <w:lang w:val="en-US" w:eastAsia="zh-CN"/>
              </w:rPr>
            </w:pPr>
            <w:r>
              <w:rPr>
                <w:rFonts w:hint="eastAsia"/>
                <w:szCs w:val="21"/>
                <w:lang w:val="en-US" w:eastAsia="zh-CN"/>
              </w:rPr>
              <w:t>2.5</w:t>
            </w:r>
          </w:p>
        </w:tc>
      </w:tr>
      <w:tr w14:paraId="5FDA6D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D7DCD6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A2DABD8">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FD86C4B">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5DA66FD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4C88F2A">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7C9A4D80">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454" w:type="dxa"/>
            <w:tcBorders>
              <w:top w:val="single" w:color="000000" w:sz="4" w:space="0"/>
              <w:left w:val="single" w:color="auto" w:sz="4" w:space="0"/>
              <w:bottom w:val="single" w:color="000000" w:sz="4" w:space="0"/>
              <w:right w:val="single" w:color="auto" w:sz="4" w:space="0"/>
            </w:tcBorders>
            <w:vAlign w:val="center"/>
          </w:tcPr>
          <w:p w14:paraId="2164BC44">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1C079752">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900" w:type="dxa"/>
            <w:tcBorders>
              <w:top w:val="single" w:color="000000" w:sz="4" w:space="0"/>
              <w:left w:val="single" w:color="auto" w:sz="4" w:space="0"/>
              <w:bottom w:val="single" w:color="000000" w:sz="4" w:space="0"/>
              <w:right w:val="single" w:color="000000" w:sz="4" w:space="0"/>
            </w:tcBorders>
            <w:vAlign w:val="center"/>
          </w:tcPr>
          <w:p w14:paraId="1DD3AB8D">
            <w:pPr>
              <w:widowControl/>
              <w:spacing w:line="240" w:lineRule="exact"/>
              <w:jc w:val="left"/>
              <w:rPr>
                <w:rFonts w:hint="default" w:eastAsiaTheme="minorEastAsia"/>
                <w:szCs w:val="21"/>
                <w:lang w:val="en-US" w:eastAsia="zh-CN"/>
              </w:rPr>
            </w:pPr>
            <w:r>
              <w:rPr>
                <w:rFonts w:hint="eastAsia"/>
                <w:sz w:val="18"/>
                <w:szCs w:val="18"/>
                <w:lang w:val="en-US" w:eastAsia="zh-CN"/>
              </w:rPr>
              <w:t>4.95</w:t>
            </w:r>
          </w:p>
        </w:tc>
      </w:tr>
      <w:tr w14:paraId="09974D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15BDFB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FA265CF">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9630A0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7A621E3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6CF15A68">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D9682FF">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3BEE2075">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454" w:type="dxa"/>
            <w:tcBorders>
              <w:top w:val="single" w:color="000000" w:sz="4" w:space="0"/>
              <w:left w:val="single" w:color="auto" w:sz="4" w:space="0"/>
              <w:bottom w:val="single" w:color="000000" w:sz="4" w:space="0"/>
              <w:right w:val="single" w:color="auto" w:sz="4" w:space="0"/>
            </w:tcBorders>
            <w:vAlign w:val="center"/>
          </w:tcPr>
          <w:p w14:paraId="3BD7E3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3D5611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72D2855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1A03A27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900" w:type="dxa"/>
            <w:tcBorders>
              <w:top w:val="single" w:color="000000" w:sz="4" w:space="0"/>
              <w:left w:val="single" w:color="auto" w:sz="4" w:space="0"/>
              <w:bottom w:val="single" w:color="000000" w:sz="4" w:space="0"/>
              <w:right w:val="single" w:color="000000" w:sz="4" w:space="0"/>
            </w:tcBorders>
            <w:vAlign w:val="center"/>
          </w:tcPr>
          <w:p w14:paraId="5D2203B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192CCD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B59210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C03F4F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F8DD50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348008D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610AD23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D70469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44FD352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454" w:type="dxa"/>
            <w:tcBorders>
              <w:top w:val="single" w:color="000000" w:sz="4" w:space="0"/>
              <w:left w:val="single" w:color="auto" w:sz="4" w:space="0"/>
              <w:bottom w:val="single" w:color="000000" w:sz="4" w:space="0"/>
              <w:right w:val="single" w:color="auto" w:sz="4" w:space="0"/>
            </w:tcBorders>
            <w:vAlign w:val="center"/>
          </w:tcPr>
          <w:p w14:paraId="6DE06DF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74FA61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1E1228F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414348C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900" w:type="dxa"/>
            <w:tcBorders>
              <w:top w:val="single" w:color="000000" w:sz="4" w:space="0"/>
              <w:left w:val="single" w:color="auto" w:sz="4" w:space="0"/>
              <w:bottom w:val="single" w:color="000000" w:sz="4" w:space="0"/>
              <w:right w:val="single" w:color="000000" w:sz="4" w:space="0"/>
            </w:tcBorders>
            <w:vAlign w:val="center"/>
          </w:tcPr>
          <w:p w14:paraId="6966261B">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3B4F2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AE41102">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6F7D94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BF5D8C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0DFA74C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065CAA8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0FB603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06B5003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698B7E9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454" w:type="dxa"/>
            <w:tcBorders>
              <w:top w:val="single" w:color="000000" w:sz="4" w:space="0"/>
              <w:left w:val="single" w:color="auto" w:sz="4" w:space="0"/>
              <w:bottom w:val="single" w:color="000000" w:sz="4" w:space="0"/>
              <w:right w:val="single" w:color="auto" w:sz="4" w:space="0"/>
            </w:tcBorders>
            <w:vAlign w:val="center"/>
          </w:tcPr>
          <w:p w14:paraId="7E0130D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7D32272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1C93481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4931A30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900" w:type="dxa"/>
            <w:tcBorders>
              <w:top w:val="single" w:color="000000" w:sz="4" w:space="0"/>
              <w:left w:val="single" w:color="auto" w:sz="4" w:space="0"/>
              <w:bottom w:val="single" w:color="000000" w:sz="4" w:space="0"/>
              <w:right w:val="single" w:color="000000" w:sz="4" w:space="0"/>
            </w:tcBorders>
            <w:vAlign w:val="center"/>
          </w:tcPr>
          <w:p w14:paraId="48D660AC">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5B98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D6CFDB2">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A120B27">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06FD8475">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4F8E3FE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2076AF5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2466F63A">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DB9008E">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52DF5B8D">
            <w:pPr>
              <w:widowControl/>
              <w:spacing w:line="240" w:lineRule="exact"/>
              <w:jc w:val="left"/>
              <w:rPr>
                <w:szCs w:val="21"/>
              </w:rPr>
            </w:pPr>
            <w:r>
              <w:rPr>
                <w:rFonts w:ascii="仿宋_GB2312" w:hAnsi="新宋体" w:eastAsia="仿宋_GB2312" w:cs="仿宋_GB2312"/>
                <w:kern w:val="0"/>
                <w:szCs w:val="21"/>
              </w:rPr>
              <w:t>评价要点：</w:t>
            </w:r>
          </w:p>
          <w:p w14:paraId="0A03AEE2">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39FA0A9F">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36A50312">
            <w:pPr>
              <w:widowControl/>
              <w:spacing w:line="240" w:lineRule="exact"/>
              <w:jc w:val="left"/>
              <w:rPr>
                <w:szCs w:val="21"/>
              </w:rPr>
            </w:pPr>
            <w:r>
              <w:rPr>
                <w:rFonts w:ascii="仿宋_GB2312" w:hAnsi="新宋体" w:eastAsia="仿宋_GB2312" w:cs="仿宋_GB2312"/>
                <w:kern w:val="0"/>
                <w:szCs w:val="21"/>
              </w:rPr>
              <w:t>3.项目的重大开支经过评估论证；</w:t>
            </w:r>
          </w:p>
          <w:p w14:paraId="2FF0AFC0">
            <w:pPr>
              <w:widowControl/>
              <w:spacing w:line="240" w:lineRule="exact"/>
              <w:jc w:val="left"/>
              <w:rPr>
                <w:szCs w:val="21"/>
              </w:rPr>
            </w:pPr>
            <w:r>
              <w:rPr>
                <w:rFonts w:ascii="仿宋_GB2312" w:hAnsi="新宋体" w:eastAsia="仿宋_GB2312" w:cs="仿宋_GB2312"/>
                <w:kern w:val="0"/>
                <w:szCs w:val="21"/>
              </w:rPr>
              <w:t>4.符合部门预算批复的用途；</w:t>
            </w:r>
          </w:p>
          <w:p w14:paraId="5645BB96">
            <w:pPr>
              <w:widowControl/>
              <w:spacing w:line="240" w:lineRule="exact"/>
              <w:jc w:val="left"/>
              <w:rPr>
                <w:szCs w:val="21"/>
              </w:rPr>
            </w:pPr>
            <w:r>
              <w:rPr>
                <w:rFonts w:ascii="仿宋_GB2312" w:hAnsi="新宋体" w:eastAsia="仿宋_GB2312" w:cs="仿宋_GB2312"/>
                <w:kern w:val="0"/>
                <w:szCs w:val="21"/>
              </w:rPr>
              <w:t>5.不存在截留情况；</w:t>
            </w:r>
          </w:p>
          <w:p w14:paraId="64A725B6">
            <w:pPr>
              <w:widowControl/>
              <w:spacing w:line="240" w:lineRule="exact"/>
              <w:jc w:val="left"/>
              <w:rPr>
                <w:szCs w:val="21"/>
              </w:rPr>
            </w:pPr>
            <w:r>
              <w:rPr>
                <w:rFonts w:ascii="仿宋_GB2312" w:hAnsi="新宋体" w:eastAsia="仿宋_GB2312" w:cs="仿宋_GB2312"/>
                <w:kern w:val="0"/>
                <w:szCs w:val="21"/>
              </w:rPr>
              <w:t>6.不存在挤占情况；</w:t>
            </w:r>
          </w:p>
          <w:p w14:paraId="5EDA218A">
            <w:pPr>
              <w:widowControl/>
              <w:spacing w:line="240" w:lineRule="exact"/>
              <w:jc w:val="left"/>
              <w:rPr>
                <w:szCs w:val="21"/>
              </w:rPr>
            </w:pPr>
            <w:r>
              <w:rPr>
                <w:rFonts w:ascii="仿宋_GB2312" w:hAnsi="新宋体" w:eastAsia="仿宋_GB2312" w:cs="仿宋_GB2312"/>
                <w:kern w:val="0"/>
                <w:szCs w:val="21"/>
              </w:rPr>
              <w:t>7.不存在挪用情况；</w:t>
            </w:r>
          </w:p>
          <w:p w14:paraId="4EF1432C">
            <w:pPr>
              <w:widowControl/>
              <w:spacing w:line="240" w:lineRule="exact"/>
              <w:jc w:val="left"/>
              <w:rPr>
                <w:szCs w:val="21"/>
              </w:rPr>
            </w:pPr>
            <w:r>
              <w:rPr>
                <w:rFonts w:ascii="仿宋_GB2312" w:hAnsi="新宋体" w:eastAsia="仿宋_GB2312" w:cs="仿宋_GB2312"/>
                <w:kern w:val="0"/>
                <w:szCs w:val="21"/>
              </w:rPr>
              <w:t>8.不存在虚列支出情况。</w:t>
            </w:r>
          </w:p>
        </w:tc>
        <w:tc>
          <w:tcPr>
            <w:tcW w:w="2454" w:type="dxa"/>
            <w:tcBorders>
              <w:top w:val="single" w:color="000000" w:sz="4" w:space="0"/>
              <w:left w:val="single" w:color="auto" w:sz="4" w:space="0"/>
              <w:bottom w:val="single" w:color="000000" w:sz="4" w:space="0"/>
              <w:right w:val="single" w:color="auto" w:sz="4" w:space="0"/>
            </w:tcBorders>
            <w:vAlign w:val="center"/>
          </w:tcPr>
          <w:p w14:paraId="14B10F05">
            <w:pPr>
              <w:widowControl/>
              <w:spacing w:line="240" w:lineRule="exact"/>
              <w:jc w:val="left"/>
              <w:rPr>
                <w:szCs w:val="21"/>
              </w:rPr>
            </w:pPr>
            <w:r>
              <w:rPr>
                <w:rFonts w:ascii="仿宋_GB2312" w:hAnsi="新宋体" w:eastAsia="仿宋_GB2312" w:cs="仿宋_GB2312"/>
                <w:kern w:val="0"/>
                <w:szCs w:val="21"/>
              </w:rPr>
              <w:t>全部符合（8）；</w:t>
            </w:r>
          </w:p>
          <w:p w14:paraId="4D47D541">
            <w:pPr>
              <w:widowControl/>
              <w:spacing w:line="240" w:lineRule="exact"/>
              <w:jc w:val="left"/>
              <w:rPr>
                <w:szCs w:val="21"/>
              </w:rPr>
            </w:pPr>
            <w:r>
              <w:rPr>
                <w:rFonts w:ascii="仿宋_GB2312" w:hAnsi="新宋体" w:eastAsia="仿宋_GB2312" w:cs="仿宋_GB2312"/>
                <w:kern w:val="0"/>
                <w:szCs w:val="21"/>
              </w:rPr>
              <w:t>符合其中七项（6）；</w:t>
            </w:r>
          </w:p>
          <w:p w14:paraId="0447F353">
            <w:pPr>
              <w:widowControl/>
              <w:spacing w:line="240" w:lineRule="exact"/>
              <w:jc w:val="left"/>
              <w:rPr>
                <w:szCs w:val="21"/>
              </w:rPr>
            </w:pPr>
            <w:r>
              <w:rPr>
                <w:rFonts w:ascii="仿宋_GB2312" w:hAnsi="新宋体" w:eastAsia="仿宋_GB2312" w:cs="仿宋_GB2312"/>
                <w:kern w:val="0"/>
                <w:szCs w:val="21"/>
              </w:rPr>
              <w:t>符合其中六项（4）；</w:t>
            </w:r>
          </w:p>
          <w:p w14:paraId="3F503BF3">
            <w:pPr>
              <w:widowControl/>
              <w:spacing w:line="240" w:lineRule="exact"/>
              <w:jc w:val="left"/>
              <w:rPr>
                <w:szCs w:val="21"/>
              </w:rPr>
            </w:pPr>
            <w:r>
              <w:rPr>
                <w:rFonts w:ascii="仿宋_GB2312" w:hAnsi="新宋体" w:eastAsia="仿宋_GB2312" w:cs="仿宋_GB2312"/>
                <w:kern w:val="0"/>
                <w:szCs w:val="21"/>
              </w:rPr>
              <w:t>符合其中五项（2）；</w:t>
            </w:r>
          </w:p>
          <w:p w14:paraId="0F8461AD">
            <w:pPr>
              <w:widowControl/>
              <w:spacing w:line="240" w:lineRule="exact"/>
              <w:jc w:val="left"/>
              <w:rPr>
                <w:szCs w:val="21"/>
              </w:rPr>
            </w:pPr>
            <w:r>
              <w:rPr>
                <w:rFonts w:ascii="仿宋_GB2312" w:hAnsi="新宋体" w:eastAsia="仿宋_GB2312" w:cs="仿宋_GB2312"/>
                <w:kern w:val="0"/>
                <w:szCs w:val="21"/>
              </w:rPr>
              <w:t>符合其中四项及以下（0）。</w:t>
            </w:r>
          </w:p>
        </w:tc>
        <w:tc>
          <w:tcPr>
            <w:tcW w:w="900" w:type="dxa"/>
            <w:tcBorders>
              <w:top w:val="single" w:color="000000" w:sz="4" w:space="0"/>
              <w:left w:val="single" w:color="auto" w:sz="4" w:space="0"/>
              <w:bottom w:val="single" w:color="000000" w:sz="4" w:space="0"/>
              <w:right w:val="single" w:color="000000" w:sz="4" w:space="0"/>
            </w:tcBorders>
            <w:vAlign w:val="center"/>
          </w:tcPr>
          <w:p w14:paraId="56AD5663">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6DFC84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78FD45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F567729">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DAD858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03E8303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167D8DEF">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E1C795C">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74A6544B">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2BE21334">
            <w:pPr>
              <w:widowControl/>
              <w:spacing w:line="240" w:lineRule="exact"/>
              <w:jc w:val="left"/>
              <w:rPr>
                <w:szCs w:val="21"/>
              </w:rPr>
            </w:pPr>
            <w:r>
              <w:rPr>
                <w:rFonts w:ascii="仿宋_GB2312" w:hAnsi="新宋体" w:eastAsia="仿宋_GB2312" w:cs="仿宋_GB2312"/>
                <w:kern w:val="0"/>
                <w:szCs w:val="21"/>
              </w:rPr>
              <w:t>评价要点：</w:t>
            </w:r>
          </w:p>
          <w:p w14:paraId="2B1741F3">
            <w:pPr>
              <w:widowControl/>
              <w:spacing w:line="240" w:lineRule="exact"/>
              <w:jc w:val="left"/>
              <w:rPr>
                <w:szCs w:val="21"/>
              </w:rPr>
            </w:pPr>
            <w:r>
              <w:rPr>
                <w:rFonts w:ascii="仿宋_GB2312" w:hAnsi="新宋体" w:eastAsia="仿宋_GB2312" w:cs="仿宋_GB2312"/>
                <w:kern w:val="0"/>
                <w:szCs w:val="21"/>
              </w:rPr>
              <w:t>1.公开预决算信息；</w:t>
            </w:r>
          </w:p>
          <w:p w14:paraId="0777BB82">
            <w:pPr>
              <w:widowControl/>
              <w:spacing w:line="240" w:lineRule="exact"/>
              <w:jc w:val="left"/>
              <w:rPr>
                <w:szCs w:val="21"/>
              </w:rPr>
            </w:pPr>
            <w:r>
              <w:rPr>
                <w:rFonts w:ascii="仿宋_GB2312" w:hAnsi="新宋体" w:eastAsia="仿宋_GB2312" w:cs="仿宋_GB2312"/>
                <w:kern w:val="0"/>
                <w:szCs w:val="21"/>
              </w:rPr>
              <w:t>2.按规定内容公开预决算信息；</w:t>
            </w:r>
          </w:p>
          <w:p w14:paraId="62B33629">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454" w:type="dxa"/>
            <w:tcBorders>
              <w:top w:val="single" w:color="000000" w:sz="4" w:space="0"/>
              <w:left w:val="single" w:color="auto" w:sz="4" w:space="0"/>
              <w:bottom w:val="single" w:color="000000" w:sz="4" w:space="0"/>
              <w:right w:val="single" w:color="auto" w:sz="4" w:space="0"/>
            </w:tcBorders>
            <w:vAlign w:val="center"/>
          </w:tcPr>
          <w:p w14:paraId="0A6D3F18">
            <w:pPr>
              <w:widowControl/>
              <w:spacing w:line="240" w:lineRule="exact"/>
              <w:jc w:val="left"/>
              <w:rPr>
                <w:szCs w:val="21"/>
              </w:rPr>
            </w:pPr>
            <w:r>
              <w:rPr>
                <w:rFonts w:ascii="仿宋_GB2312" w:hAnsi="新宋体" w:eastAsia="仿宋_GB2312" w:cs="仿宋_GB2312"/>
                <w:kern w:val="0"/>
                <w:szCs w:val="21"/>
              </w:rPr>
              <w:t>全部符合（3）；</w:t>
            </w:r>
          </w:p>
          <w:p w14:paraId="449A54DC">
            <w:pPr>
              <w:widowControl/>
              <w:spacing w:line="240" w:lineRule="exact"/>
              <w:jc w:val="left"/>
              <w:rPr>
                <w:szCs w:val="21"/>
              </w:rPr>
            </w:pPr>
            <w:r>
              <w:rPr>
                <w:rFonts w:ascii="仿宋_GB2312" w:hAnsi="新宋体" w:eastAsia="仿宋_GB2312" w:cs="仿宋_GB2312"/>
                <w:kern w:val="0"/>
                <w:szCs w:val="21"/>
              </w:rPr>
              <w:t>符合其中两项（2）</w:t>
            </w:r>
          </w:p>
          <w:p w14:paraId="07A9010C">
            <w:pPr>
              <w:widowControl/>
              <w:spacing w:line="240" w:lineRule="exact"/>
              <w:jc w:val="left"/>
              <w:rPr>
                <w:szCs w:val="21"/>
              </w:rPr>
            </w:pPr>
            <w:r>
              <w:rPr>
                <w:rFonts w:ascii="仿宋_GB2312" w:hAnsi="新宋体" w:eastAsia="仿宋_GB2312" w:cs="仿宋_GB2312"/>
                <w:kern w:val="0"/>
                <w:szCs w:val="21"/>
              </w:rPr>
              <w:t>符合其中一项及以下（0）。</w:t>
            </w:r>
          </w:p>
        </w:tc>
        <w:tc>
          <w:tcPr>
            <w:tcW w:w="900" w:type="dxa"/>
            <w:tcBorders>
              <w:top w:val="single" w:color="000000" w:sz="4" w:space="0"/>
              <w:left w:val="single" w:color="auto" w:sz="4" w:space="0"/>
              <w:bottom w:val="single" w:color="000000" w:sz="4" w:space="0"/>
              <w:right w:val="single" w:color="000000" w:sz="4" w:space="0"/>
            </w:tcBorders>
            <w:vAlign w:val="center"/>
          </w:tcPr>
          <w:p w14:paraId="61AD2C23">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C2C5E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8B00B9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68C51B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E9C4555">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6AE9DBBA">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617E0CAA">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DD14B32">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3ACAF6E0">
            <w:pPr>
              <w:widowControl/>
              <w:spacing w:line="240" w:lineRule="exact"/>
              <w:jc w:val="left"/>
              <w:rPr>
                <w:szCs w:val="21"/>
              </w:rPr>
            </w:pPr>
            <w:r>
              <w:rPr>
                <w:rFonts w:ascii="仿宋_GB2312" w:hAnsi="新宋体" w:eastAsia="仿宋_GB2312" w:cs="仿宋_GB2312"/>
                <w:kern w:val="0"/>
                <w:szCs w:val="21"/>
              </w:rPr>
              <w:t>评价要点：</w:t>
            </w:r>
          </w:p>
          <w:p w14:paraId="78483CD9">
            <w:pPr>
              <w:widowControl/>
              <w:spacing w:line="240" w:lineRule="exact"/>
              <w:jc w:val="left"/>
              <w:rPr>
                <w:szCs w:val="21"/>
              </w:rPr>
            </w:pPr>
            <w:r>
              <w:rPr>
                <w:rFonts w:ascii="仿宋_GB2312" w:hAnsi="新宋体" w:eastAsia="仿宋_GB2312" w:cs="仿宋_GB2312"/>
                <w:kern w:val="0"/>
                <w:szCs w:val="21"/>
              </w:rPr>
              <w:t>1.基本财务管理制度健全；</w:t>
            </w:r>
          </w:p>
          <w:p w14:paraId="3EE513C9">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2DE97328">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1D0C81A4">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454" w:type="dxa"/>
            <w:tcBorders>
              <w:top w:val="single" w:color="000000" w:sz="4" w:space="0"/>
              <w:left w:val="single" w:color="auto" w:sz="4" w:space="0"/>
              <w:bottom w:val="single" w:color="000000" w:sz="4" w:space="0"/>
              <w:right w:val="single" w:color="auto" w:sz="4" w:space="0"/>
            </w:tcBorders>
            <w:vAlign w:val="center"/>
          </w:tcPr>
          <w:p w14:paraId="08C2D9FE">
            <w:pPr>
              <w:widowControl/>
              <w:spacing w:line="240" w:lineRule="exact"/>
              <w:jc w:val="left"/>
              <w:rPr>
                <w:szCs w:val="21"/>
              </w:rPr>
            </w:pPr>
            <w:r>
              <w:rPr>
                <w:rFonts w:ascii="仿宋_GB2312" w:hAnsi="新宋体" w:eastAsia="仿宋_GB2312" w:cs="仿宋_GB2312"/>
                <w:kern w:val="0"/>
                <w:szCs w:val="21"/>
              </w:rPr>
              <w:t>符合全部四项（4）；</w:t>
            </w:r>
          </w:p>
          <w:p w14:paraId="0FB695C7">
            <w:pPr>
              <w:widowControl/>
              <w:spacing w:line="240" w:lineRule="exact"/>
              <w:jc w:val="left"/>
              <w:rPr>
                <w:szCs w:val="21"/>
              </w:rPr>
            </w:pPr>
            <w:r>
              <w:rPr>
                <w:rFonts w:ascii="仿宋_GB2312" w:hAnsi="新宋体" w:eastAsia="仿宋_GB2312" w:cs="仿宋_GB2312"/>
                <w:kern w:val="0"/>
                <w:szCs w:val="21"/>
              </w:rPr>
              <w:t>符合其中三项（2）；</w:t>
            </w:r>
          </w:p>
          <w:p w14:paraId="077CA7F8">
            <w:pPr>
              <w:widowControl/>
              <w:spacing w:line="240" w:lineRule="exact"/>
              <w:jc w:val="left"/>
              <w:rPr>
                <w:szCs w:val="21"/>
              </w:rPr>
            </w:pPr>
            <w:r>
              <w:rPr>
                <w:rFonts w:ascii="仿宋_GB2312" w:hAnsi="新宋体" w:eastAsia="仿宋_GB2312" w:cs="仿宋_GB2312"/>
                <w:kern w:val="0"/>
                <w:szCs w:val="21"/>
              </w:rPr>
              <w:t>符合其中两项（1）；</w:t>
            </w:r>
          </w:p>
          <w:p w14:paraId="0EB0659F">
            <w:pPr>
              <w:widowControl/>
              <w:spacing w:line="240" w:lineRule="exact"/>
              <w:jc w:val="left"/>
              <w:rPr>
                <w:szCs w:val="21"/>
              </w:rPr>
            </w:pPr>
            <w:r>
              <w:rPr>
                <w:rFonts w:ascii="仿宋_GB2312" w:hAnsi="新宋体" w:eastAsia="仿宋_GB2312" w:cs="仿宋_GB2312"/>
                <w:kern w:val="0"/>
                <w:szCs w:val="21"/>
              </w:rPr>
              <w:t>符合其中一项及以下（0）。</w:t>
            </w:r>
          </w:p>
        </w:tc>
        <w:tc>
          <w:tcPr>
            <w:tcW w:w="900" w:type="dxa"/>
            <w:tcBorders>
              <w:top w:val="single" w:color="000000" w:sz="4" w:space="0"/>
              <w:left w:val="single" w:color="auto" w:sz="4" w:space="0"/>
              <w:bottom w:val="single" w:color="000000" w:sz="4" w:space="0"/>
              <w:right w:val="single" w:color="000000" w:sz="4" w:space="0"/>
            </w:tcBorders>
            <w:vAlign w:val="center"/>
          </w:tcPr>
          <w:p w14:paraId="189D12CD">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50F1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D7122E6">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104F83A">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4434133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465EDDA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743300C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52641049">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15874A56">
            <w:pPr>
              <w:widowControl/>
              <w:spacing w:line="240" w:lineRule="exact"/>
              <w:jc w:val="left"/>
              <w:rPr>
                <w:szCs w:val="21"/>
              </w:rPr>
            </w:pPr>
            <w:r>
              <w:rPr>
                <w:rFonts w:ascii="仿宋_GB2312" w:hAnsi="新宋体" w:eastAsia="仿宋_GB2312" w:cs="仿宋_GB2312"/>
                <w:kern w:val="0"/>
                <w:szCs w:val="21"/>
              </w:rPr>
              <w:t>评价要点：</w:t>
            </w:r>
          </w:p>
          <w:p w14:paraId="22796F39">
            <w:pPr>
              <w:widowControl/>
              <w:spacing w:line="240" w:lineRule="exact"/>
              <w:jc w:val="left"/>
              <w:rPr>
                <w:szCs w:val="21"/>
              </w:rPr>
            </w:pPr>
            <w:r>
              <w:rPr>
                <w:rFonts w:ascii="仿宋_GB2312" w:hAnsi="新宋体" w:eastAsia="仿宋_GB2312" w:cs="仿宋_GB2312"/>
                <w:kern w:val="0"/>
                <w:szCs w:val="21"/>
              </w:rPr>
              <w:t>1.资产保存完整；</w:t>
            </w:r>
          </w:p>
          <w:p w14:paraId="3897542B">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rPr>
              <w:t>账实</w:t>
            </w:r>
            <w:r>
              <w:rPr>
                <w:rFonts w:ascii="仿宋_GB2312" w:hAnsi="新宋体" w:eastAsia="仿宋_GB2312" w:cs="仿宋_GB2312"/>
                <w:kern w:val="0"/>
                <w:szCs w:val="21"/>
              </w:rPr>
              <w:t>相符；</w:t>
            </w:r>
          </w:p>
          <w:p w14:paraId="615AC4D1">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454" w:type="dxa"/>
            <w:tcBorders>
              <w:top w:val="single" w:color="auto" w:sz="4" w:space="0"/>
              <w:left w:val="single" w:color="auto" w:sz="4" w:space="0"/>
              <w:bottom w:val="single" w:color="000000" w:sz="4" w:space="0"/>
              <w:right w:val="single" w:color="auto" w:sz="4" w:space="0"/>
            </w:tcBorders>
            <w:vAlign w:val="center"/>
          </w:tcPr>
          <w:p w14:paraId="48039140">
            <w:pPr>
              <w:widowControl/>
              <w:spacing w:line="240" w:lineRule="exact"/>
              <w:jc w:val="left"/>
              <w:rPr>
                <w:szCs w:val="21"/>
              </w:rPr>
            </w:pPr>
            <w:r>
              <w:rPr>
                <w:rFonts w:ascii="仿宋_GB2312" w:hAnsi="新宋体" w:eastAsia="仿宋_GB2312" w:cs="仿宋_GB2312"/>
                <w:kern w:val="0"/>
                <w:szCs w:val="21"/>
              </w:rPr>
              <w:t>符合全部三项（3）；</w:t>
            </w:r>
          </w:p>
          <w:p w14:paraId="5F67259F">
            <w:pPr>
              <w:widowControl/>
              <w:spacing w:line="240" w:lineRule="exact"/>
              <w:jc w:val="left"/>
              <w:rPr>
                <w:szCs w:val="21"/>
              </w:rPr>
            </w:pPr>
            <w:r>
              <w:rPr>
                <w:rFonts w:ascii="仿宋_GB2312" w:hAnsi="新宋体" w:eastAsia="仿宋_GB2312" w:cs="仿宋_GB2312"/>
                <w:kern w:val="0"/>
                <w:szCs w:val="21"/>
              </w:rPr>
              <w:t>符合其中两项（2）；</w:t>
            </w:r>
          </w:p>
          <w:p w14:paraId="0F34A1AB">
            <w:pPr>
              <w:widowControl/>
              <w:spacing w:line="240" w:lineRule="exact"/>
              <w:jc w:val="left"/>
              <w:rPr>
                <w:szCs w:val="21"/>
              </w:rPr>
            </w:pPr>
            <w:r>
              <w:rPr>
                <w:rFonts w:ascii="仿宋_GB2312" w:hAnsi="新宋体" w:eastAsia="仿宋_GB2312" w:cs="仿宋_GB2312"/>
                <w:kern w:val="0"/>
                <w:szCs w:val="21"/>
              </w:rPr>
              <w:t>符合其中一项（1）；</w:t>
            </w:r>
          </w:p>
          <w:p w14:paraId="7CC8C2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900" w:type="dxa"/>
            <w:tcBorders>
              <w:top w:val="single" w:color="auto" w:sz="4" w:space="0"/>
              <w:left w:val="single" w:color="auto" w:sz="4" w:space="0"/>
              <w:bottom w:val="single" w:color="000000" w:sz="4" w:space="0"/>
              <w:right w:val="single" w:color="000000" w:sz="4" w:space="0"/>
            </w:tcBorders>
            <w:vAlign w:val="center"/>
          </w:tcPr>
          <w:p w14:paraId="7E143A26">
            <w:pPr>
              <w:widowControl/>
              <w:spacing w:line="240" w:lineRule="exact"/>
              <w:jc w:val="left"/>
              <w:rPr>
                <w:rFonts w:hint="default" w:eastAsiaTheme="minorEastAsia"/>
                <w:szCs w:val="21"/>
                <w:lang w:val="en-US" w:eastAsia="zh-CN"/>
              </w:rPr>
            </w:pPr>
            <w:r>
              <w:rPr>
                <w:rFonts w:hint="eastAsia"/>
                <w:szCs w:val="21"/>
                <w:lang w:val="en-US" w:eastAsia="zh-CN"/>
              </w:rPr>
              <w:t>2</w:t>
            </w:r>
          </w:p>
        </w:tc>
      </w:tr>
      <w:tr w14:paraId="77ABE5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83C5BB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7F11CFE">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4510781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281F9CB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58F4D407">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395B0C6C">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7C18E91A">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454" w:type="dxa"/>
            <w:tcBorders>
              <w:top w:val="single" w:color="auto" w:sz="4" w:space="0"/>
              <w:left w:val="single" w:color="auto" w:sz="4" w:space="0"/>
              <w:bottom w:val="single" w:color="000000" w:sz="4" w:space="0"/>
              <w:right w:val="single" w:color="auto" w:sz="4" w:space="0"/>
            </w:tcBorders>
            <w:vAlign w:val="center"/>
          </w:tcPr>
          <w:p w14:paraId="1FD0908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76A54A8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4B72002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529EC08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26B855B1">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900" w:type="dxa"/>
            <w:tcBorders>
              <w:top w:val="single" w:color="auto" w:sz="4" w:space="0"/>
              <w:left w:val="single" w:color="auto" w:sz="4" w:space="0"/>
              <w:bottom w:val="single" w:color="000000" w:sz="4" w:space="0"/>
              <w:right w:val="single" w:color="000000" w:sz="4" w:space="0"/>
            </w:tcBorders>
            <w:vAlign w:val="center"/>
          </w:tcPr>
          <w:p w14:paraId="380A0953">
            <w:pPr>
              <w:widowControl/>
              <w:spacing w:line="240" w:lineRule="exact"/>
              <w:jc w:val="left"/>
              <w:rPr>
                <w:rFonts w:hint="default" w:eastAsiaTheme="minorEastAsia"/>
                <w:szCs w:val="21"/>
                <w:lang w:val="en-US" w:eastAsia="zh-CN"/>
              </w:rPr>
            </w:pPr>
            <w:r>
              <w:rPr>
                <w:rFonts w:hint="eastAsia"/>
                <w:szCs w:val="21"/>
                <w:lang w:val="en-US" w:eastAsia="zh-CN"/>
              </w:rPr>
              <w:t>3</w:t>
            </w:r>
          </w:p>
        </w:tc>
      </w:tr>
      <w:tr w14:paraId="556F3F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D096BD0">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AD2C5D1">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269C5EB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145D1054">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684393C9">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3E76B8D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3261B8B">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454" w:type="dxa"/>
            <w:tcBorders>
              <w:top w:val="single" w:color="000000" w:sz="4" w:space="0"/>
              <w:left w:val="single" w:color="auto" w:sz="4" w:space="0"/>
              <w:bottom w:val="single" w:color="auto" w:sz="4" w:space="0"/>
              <w:right w:val="single" w:color="auto" w:sz="4" w:space="0"/>
            </w:tcBorders>
            <w:vAlign w:val="center"/>
          </w:tcPr>
          <w:p w14:paraId="16268EF2">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900" w:type="dxa"/>
            <w:tcBorders>
              <w:top w:val="single" w:color="000000" w:sz="4" w:space="0"/>
              <w:left w:val="single" w:color="auto" w:sz="4" w:space="0"/>
              <w:bottom w:val="single" w:color="auto" w:sz="4" w:space="0"/>
              <w:right w:val="single" w:color="000000" w:sz="4" w:space="0"/>
            </w:tcBorders>
            <w:vAlign w:val="center"/>
          </w:tcPr>
          <w:p w14:paraId="3A0E4D37">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548735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6B0F59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E5FA815">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4D20A89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7579F544">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3CB9489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3CC9F3BA">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54FFE54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454" w:type="dxa"/>
            <w:tcBorders>
              <w:top w:val="single" w:color="000000" w:sz="4" w:space="0"/>
              <w:left w:val="single" w:color="auto" w:sz="4" w:space="0"/>
              <w:right w:val="single" w:color="auto" w:sz="4" w:space="0"/>
            </w:tcBorders>
            <w:vAlign w:val="center"/>
          </w:tcPr>
          <w:p w14:paraId="20D1FB9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0FED7F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0CEAEF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5122A83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900" w:type="dxa"/>
            <w:tcBorders>
              <w:top w:val="single" w:color="000000" w:sz="4" w:space="0"/>
              <w:left w:val="single" w:color="auto" w:sz="4" w:space="0"/>
              <w:bottom w:val="single" w:color="auto" w:sz="4" w:space="0"/>
              <w:right w:val="single" w:color="000000" w:sz="4" w:space="0"/>
            </w:tcBorders>
            <w:vAlign w:val="center"/>
          </w:tcPr>
          <w:p w14:paraId="043FA78F">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0DAE8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5387EBA">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2DBB1878">
            <w:pPr>
              <w:widowControl/>
              <w:spacing w:line="240" w:lineRule="exact"/>
              <w:jc w:val="left"/>
              <w:rPr>
                <w:rFonts w:ascii="仿宋_GB2312" w:hAnsi="新宋体" w:eastAsia="仿宋_GB2312" w:cs="仿宋_GB2312"/>
                <w:kern w:val="0"/>
                <w:szCs w:val="21"/>
              </w:rPr>
            </w:pPr>
          </w:p>
          <w:p w14:paraId="5FFB87C6">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539F945A">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0B9158B8">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345AE88F">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286FC01">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6556CFA4">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454" w:type="dxa"/>
            <w:tcBorders>
              <w:top w:val="single" w:color="000000" w:sz="4" w:space="0"/>
              <w:left w:val="single" w:color="auto" w:sz="4" w:space="0"/>
              <w:bottom w:val="single" w:color="000000" w:sz="4" w:space="0"/>
              <w:right w:val="single" w:color="auto" w:sz="4" w:space="0"/>
            </w:tcBorders>
            <w:vAlign w:val="center"/>
          </w:tcPr>
          <w:p w14:paraId="7F0E5062">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900" w:type="dxa"/>
            <w:tcBorders>
              <w:top w:val="single" w:color="000000" w:sz="4" w:space="0"/>
              <w:left w:val="single" w:color="auto" w:sz="4" w:space="0"/>
              <w:bottom w:val="single" w:color="000000" w:sz="4" w:space="0"/>
              <w:right w:val="single" w:color="000000" w:sz="4" w:space="0"/>
            </w:tcBorders>
            <w:vAlign w:val="center"/>
          </w:tcPr>
          <w:p w14:paraId="1A2990FF">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38117E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28EC218F">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F765141">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E1C0115">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19040792">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14F746C">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2A2BB158">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454" w:type="dxa"/>
            <w:tcBorders>
              <w:top w:val="single" w:color="000000" w:sz="4" w:space="0"/>
              <w:left w:val="single" w:color="auto" w:sz="4" w:space="0"/>
              <w:bottom w:val="single" w:color="000000" w:sz="4" w:space="0"/>
              <w:right w:val="single" w:color="auto" w:sz="4" w:space="0"/>
            </w:tcBorders>
            <w:vAlign w:val="center"/>
          </w:tcPr>
          <w:p w14:paraId="6B0BFFAF">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900" w:type="dxa"/>
            <w:tcBorders>
              <w:top w:val="single" w:color="000000" w:sz="4" w:space="0"/>
              <w:left w:val="single" w:color="auto" w:sz="4" w:space="0"/>
              <w:bottom w:val="single" w:color="000000" w:sz="4" w:space="0"/>
              <w:right w:val="single" w:color="000000" w:sz="4" w:space="0"/>
            </w:tcBorders>
            <w:vAlign w:val="center"/>
          </w:tcPr>
          <w:p w14:paraId="5413EE51">
            <w:pPr>
              <w:widowControl/>
              <w:spacing w:line="240" w:lineRule="exact"/>
              <w:jc w:val="left"/>
              <w:rPr>
                <w:rFonts w:hint="default" w:eastAsiaTheme="minorEastAsia"/>
                <w:szCs w:val="21"/>
                <w:lang w:val="en-US" w:eastAsia="zh-CN"/>
              </w:rPr>
            </w:pPr>
            <w:r>
              <w:rPr>
                <w:rFonts w:hint="eastAsia"/>
                <w:szCs w:val="21"/>
                <w:lang w:val="en-US" w:eastAsia="zh-CN"/>
              </w:rPr>
              <w:t>5</w:t>
            </w:r>
          </w:p>
        </w:tc>
      </w:tr>
      <w:tr w14:paraId="2E819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545967C0">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5F49F651">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B2FD12C">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3E98CB0A">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75E930C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32CBF702">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454" w:type="dxa"/>
            <w:tcBorders>
              <w:top w:val="single" w:color="000000" w:sz="4" w:space="0"/>
              <w:left w:val="single" w:color="auto" w:sz="4" w:space="0"/>
              <w:bottom w:val="single" w:color="000000" w:sz="4" w:space="0"/>
              <w:right w:val="single" w:color="auto" w:sz="4" w:space="0"/>
            </w:tcBorders>
            <w:vAlign w:val="center"/>
          </w:tcPr>
          <w:p w14:paraId="4849B94C">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900" w:type="dxa"/>
            <w:tcBorders>
              <w:top w:val="single" w:color="000000" w:sz="4" w:space="0"/>
              <w:left w:val="single" w:color="auto" w:sz="4" w:space="0"/>
              <w:bottom w:val="single" w:color="000000" w:sz="4" w:space="0"/>
              <w:right w:val="single" w:color="000000" w:sz="4" w:space="0"/>
            </w:tcBorders>
            <w:vAlign w:val="center"/>
          </w:tcPr>
          <w:p w14:paraId="61946F97">
            <w:pPr>
              <w:widowControl/>
              <w:spacing w:line="240" w:lineRule="exact"/>
              <w:jc w:val="left"/>
              <w:rPr>
                <w:rFonts w:hint="default" w:eastAsiaTheme="minorEastAsia"/>
                <w:szCs w:val="21"/>
                <w:lang w:val="en-US" w:eastAsia="zh-CN"/>
              </w:rPr>
            </w:pPr>
            <w:r>
              <w:rPr>
                <w:rFonts w:hint="eastAsia"/>
                <w:szCs w:val="21"/>
                <w:lang w:val="en-US" w:eastAsia="zh-CN"/>
              </w:rPr>
              <w:t>5</w:t>
            </w:r>
          </w:p>
        </w:tc>
      </w:tr>
      <w:tr w14:paraId="14C56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247D2CE">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45E1DAAC">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F203FDE">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04D2205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454" w:type="dxa"/>
            <w:tcBorders>
              <w:top w:val="single" w:color="000000" w:sz="4" w:space="0"/>
              <w:left w:val="single" w:color="auto" w:sz="4" w:space="0"/>
              <w:bottom w:val="single" w:color="000000" w:sz="4" w:space="0"/>
              <w:right w:val="single" w:color="auto" w:sz="4" w:space="0"/>
            </w:tcBorders>
            <w:vAlign w:val="center"/>
          </w:tcPr>
          <w:p w14:paraId="2401ADE2">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7A1FEF00">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900" w:type="dxa"/>
            <w:tcBorders>
              <w:top w:val="single" w:color="000000" w:sz="4" w:space="0"/>
              <w:left w:val="single" w:color="auto" w:sz="4" w:space="0"/>
              <w:bottom w:val="single" w:color="000000" w:sz="4" w:space="0"/>
              <w:right w:val="single" w:color="000000" w:sz="4" w:space="0"/>
            </w:tcBorders>
            <w:vAlign w:val="center"/>
          </w:tcPr>
          <w:p w14:paraId="0919F998">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2FBD9F56">
      <w:pPr>
        <w:widowControl/>
        <w:spacing w:line="480" w:lineRule="exact"/>
        <w:jc w:val="left"/>
        <w:rPr>
          <w:rFonts w:ascii="仿宋" w:hAnsi="仿宋" w:eastAsia="仿宋" w:cs="仿宋"/>
          <w:kern w:val="0"/>
          <w:sz w:val="32"/>
          <w:szCs w:val="32"/>
          <w:shd w:val="clear" w:color="auto" w:fill="FFFFFF"/>
        </w:rPr>
      </w:pPr>
    </w:p>
    <w:p w14:paraId="45F4EFD9">
      <w:pPr>
        <w:rPr>
          <w:rFonts w:ascii="黑体" w:hAnsi="黑体" w:eastAsia="黑体" w:cs="黑体"/>
          <w:b/>
          <w:bCs/>
          <w:sz w:val="30"/>
          <w:szCs w:val="30"/>
        </w:rPr>
      </w:pPr>
    </w:p>
    <w:p w14:paraId="23C3880F">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lang w:eastAsia="zh-CN"/>
        </w:rPr>
        <w:t>中共</w:t>
      </w: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委办公室</w:t>
      </w:r>
    </w:p>
    <w:p w14:paraId="78409EFB">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3A72F5DD">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1C748C46">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6D3FB3FF">
      <w:pPr>
        <w:numPr>
          <w:ilvl w:val="0"/>
          <w:numId w:val="0"/>
        </w:numPr>
        <w:adjustRightInd w:val="0"/>
        <w:spacing w:line="600" w:lineRule="exact"/>
        <w:ind w:firstLine="643"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职责：</w:t>
      </w:r>
    </w:p>
    <w:p w14:paraId="5EDB0ACA">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中共隆尧县委国家安全委员会办公室承担委员会具体工作，贯彻落实党中央和省委、市委、县委关于国家安全工作的各项决策部署，协调督促有关方面落实委员会决定事项、工作部署和要求等。</w:t>
      </w:r>
    </w:p>
    <w:p w14:paraId="1B190244">
      <w:pPr>
        <w:numPr>
          <w:ilvl w:val="0"/>
          <w:numId w:val="0"/>
        </w:numPr>
        <w:adjustRightIn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lang w:val="en-US" w:eastAsia="zh"/>
        </w:rPr>
        <w:t>2</w:t>
      </w:r>
      <w:r>
        <w:rPr>
          <w:rFonts w:hint="eastAsia" w:ascii="仿宋" w:hAnsi="仿宋" w:eastAsia="仿宋" w:cs="仿宋"/>
          <w:sz w:val="32"/>
          <w:szCs w:val="32"/>
          <w:lang w:val="en-US" w:eastAsia="zh-CN"/>
        </w:rPr>
        <w:t>、</w:t>
      </w:r>
      <w:r>
        <w:rPr>
          <w:rFonts w:hint="eastAsia" w:ascii="仿宋" w:hAnsi="仿宋" w:eastAsia="仿宋" w:cs="仿宋"/>
          <w:sz w:val="32"/>
          <w:szCs w:val="32"/>
        </w:rPr>
        <w:t>中共隆尧县委全面深化改革委员会办公室承担委员会具体工作，贯彻落实党中央和省委、市委、县委关于全面深化改革工作的各项决策部署，协调督促有关方面落实委员会决定事项、工作部署和要求等。</w:t>
      </w:r>
    </w:p>
    <w:p w14:paraId="1520747B">
      <w:pPr>
        <w:adjustRightInd w:val="0"/>
        <w:spacing w:line="600" w:lineRule="exact"/>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3、</w:t>
      </w:r>
      <w:r>
        <w:rPr>
          <w:rFonts w:hint="eastAsia" w:ascii="仿宋" w:hAnsi="仿宋" w:eastAsia="仿宋" w:cs="仿宋"/>
          <w:sz w:val="32"/>
          <w:szCs w:val="32"/>
        </w:rPr>
        <w:t>县委办公室的主要职责是：</w:t>
      </w:r>
    </w:p>
    <w:p w14:paraId="7DEA085C">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负责推动党中央和省委、市委、县委决策部署的落实，按照县委要求协调有关方面开展工作，承担县委运行保障具体事务。</w:t>
      </w:r>
    </w:p>
    <w:p w14:paraId="7BAF6B09">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负责县委和县委办公室文件、县委领导讲话稿的起草、修改等工作。</w:t>
      </w:r>
    </w:p>
    <w:p w14:paraId="5E8EC072">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负责党中央和省委、市委、县委重要决策部署贯彻落实的督促检查，中央和省委、市委、县委领导批示和交办事项的催办反馈，县委统一部署的重大专项活动的推进落实。</w:t>
      </w:r>
    </w:p>
    <w:p w14:paraId="2E280787">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4</w:t>
      </w:r>
      <w:r>
        <w:rPr>
          <w:rFonts w:hint="eastAsia" w:ascii="仿宋" w:hAnsi="仿宋" w:eastAsia="仿宋" w:cs="仿宋"/>
          <w:sz w:val="32"/>
          <w:szCs w:val="32"/>
          <w:lang w:eastAsia="zh-CN"/>
        </w:rPr>
        <w:t>）</w:t>
      </w:r>
      <w:r>
        <w:rPr>
          <w:rFonts w:hint="eastAsia" w:ascii="仿宋" w:hAnsi="仿宋" w:eastAsia="仿宋" w:cs="仿宋"/>
          <w:sz w:val="32"/>
          <w:szCs w:val="32"/>
        </w:rPr>
        <w:t>负责收集和处理信息、反映动态；负责社情民意的搜集、整理和编报工作。</w:t>
      </w:r>
    </w:p>
    <w:p w14:paraId="44582FB7">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5</w:t>
      </w:r>
      <w:r>
        <w:rPr>
          <w:rFonts w:hint="eastAsia" w:ascii="仿宋" w:hAnsi="仿宋" w:eastAsia="仿宋" w:cs="仿宋"/>
          <w:sz w:val="32"/>
          <w:szCs w:val="32"/>
          <w:lang w:eastAsia="zh-CN"/>
        </w:rPr>
        <w:t>）</w:t>
      </w:r>
      <w:r>
        <w:rPr>
          <w:rFonts w:hint="eastAsia" w:ascii="仿宋" w:hAnsi="仿宋" w:eastAsia="仿宋" w:cs="仿宋"/>
          <w:sz w:val="32"/>
          <w:szCs w:val="32"/>
        </w:rPr>
        <w:t>根据县委安排部署，组织力量对经济建设、政治建设、文化建设、社会建设、生态文明建设和党的建设等方面的重大问题进行调查研究，提出意见和建议。</w:t>
      </w:r>
    </w:p>
    <w:p w14:paraId="0B0F13B0">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6</w:t>
      </w:r>
      <w:r>
        <w:rPr>
          <w:rFonts w:hint="eastAsia" w:ascii="仿宋" w:hAnsi="仿宋" w:eastAsia="仿宋" w:cs="仿宋"/>
          <w:sz w:val="32"/>
          <w:szCs w:val="32"/>
          <w:lang w:eastAsia="zh-CN"/>
        </w:rPr>
        <w:t>）</w:t>
      </w:r>
      <w:r>
        <w:rPr>
          <w:rFonts w:hint="eastAsia" w:ascii="仿宋" w:hAnsi="仿宋" w:eastAsia="仿宋" w:cs="仿宋"/>
          <w:sz w:val="32"/>
          <w:szCs w:val="32"/>
        </w:rPr>
        <w:t>组织撰写宣传、阐释党的路线方针政策和县委工作思路、部署要求的文章。</w:t>
      </w:r>
    </w:p>
    <w:p w14:paraId="58D067CD">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7</w:t>
      </w:r>
      <w:r>
        <w:rPr>
          <w:rFonts w:hint="eastAsia" w:ascii="仿宋" w:hAnsi="仿宋" w:eastAsia="仿宋" w:cs="仿宋"/>
          <w:sz w:val="32"/>
          <w:szCs w:val="32"/>
          <w:lang w:eastAsia="zh-CN"/>
        </w:rPr>
        <w:t>）</w:t>
      </w:r>
      <w:r>
        <w:rPr>
          <w:rFonts w:hint="eastAsia" w:ascii="仿宋" w:hAnsi="仿宋" w:eastAsia="仿宋" w:cs="仿宋"/>
          <w:sz w:val="32"/>
          <w:szCs w:val="32"/>
        </w:rPr>
        <w:t>负责县委全委会、县委常委会和县委其他重要会议的</w:t>
      </w:r>
      <w:r>
        <w:rPr>
          <w:rFonts w:hint="eastAsia" w:ascii="仿宋" w:hAnsi="仿宋" w:eastAsia="仿宋" w:cs="仿宋"/>
          <w:spacing w:val="6"/>
          <w:sz w:val="32"/>
          <w:szCs w:val="32"/>
        </w:rPr>
        <w:t>会务工作；负责县委领导参加重大活动和日常工作活动的组织安排</w:t>
      </w:r>
      <w:r>
        <w:rPr>
          <w:rFonts w:hint="eastAsia" w:ascii="仿宋" w:hAnsi="仿宋" w:eastAsia="仿宋" w:cs="仿宋"/>
          <w:sz w:val="32"/>
          <w:szCs w:val="32"/>
        </w:rPr>
        <w:t>。</w:t>
      </w:r>
    </w:p>
    <w:p w14:paraId="616A9530">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8</w:t>
      </w:r>
      <w:r>
        <w:rPr>
          <w:rFonts w:hint="eastAsia" w:ascii="仿宋" w:hAnsi="仿宋" w:eastAsia="仿宋" w:cs="仿宋"/>
          <w:sz w:val="32"/>
          <w:szCs w:val="32"/>
          <w:lang w:eastAsia="zh-CN"/>
        </w:rPr>
        <w:t>）</w:t>
      </w:r>
      <w:r>
        <w:rPr>
          <w:rFonts w:hint="eastAsia" w:ascii="仿宋" w:hAnsi="仿宋" w:eastAsia="仿宋" w:cs="仿宋"/>
          <w:sz w:val="32"/>
          <w:szCs w:val="32"/>
        </w:rPr>
        <w:t>负责县委日常文书处理；负责县委文件和县委办公室代县委行文的审核工作；负责县委制定规范性文件的服务工作；负责统筹协调和督促指导全县党务公开工作。</w:t>
      </w:r>
    </w:p>
    <w:p w14:paraId="271A8DF9">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9</w:t>
      </w:r>
      <w:r>
        <w:rPr>
          <w:rFonts w:hint="eastAsia" w:ascii="仿宋" w:hAnsi="仿宋" w:eastAsia="仿宋" w:cs="仿宋"/>
          <w:sz w:val="32"/>
          <w:szCs w:val="32"/>
          <w:lang w:eastAsia="zh-CN"/>
        </w:rPr>
        <w:t>）</w:t>
      </w:r>
      <w:r>
        <w:rPr>
          <w:rFonts w:hint="eastAsia" w:ascii="仿宋" w:hAnsi="仿宋" w:eastAsia="仿宋" w:cs="仿宋"/>
          <w:sz w:val="32"/>
          <w:szCs w:val="32"/>
        </w:rPr>
        <w:t>负责全县档案事业宏观管理和执法复议、监督指导等工作。</w:t>
      </w:r>
    </w:p>
    <w:p w14:paraId="564E1472">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10</w:t>
      </w:r>
      <w:r>
        <w:rPr>
          <w:rFonts w:hint="eastAsia" w:ascii="仿宋" w:hAnsi="仿宋" w:eastAsia="仿宋" w:cs="仿宋"/>
          <w:sz w:val="32"/>
          <w:szCs w:val="32"/>
          <w:lang w:eastAsia="zh-CN"/>
        </w:rPr>
        <w:t>）</w:t>
      </w:r>
      <w:r>
        <w:rPr>
          <w:rFonts w:hint="eastAsia" w:ascii="仿宋" w:hAnsi="仿宋" w:eastAsia="仿宋" w:cs="仿宋"/>
          <w:sz w:val="32"/>
          <w:szCs w:val="32"/>
        </w:rPr>
        <w:t>负责全县公务接待机构的业务指导和重大接待活动的服务保障工作。</w:t>
      </w:r>
    </w:p>
    <w:p w14:paraId="228491C4">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11</w:t>
      </w:r>
      <w:r>
        <w:rPr>
          <w:rFonts w:hint="eastAsia" w:ascii="仿宋" w:hAnsi="仿宋" w:eastAsia="仿宋" w:cs="仿宋"/>
          <w:sz w:val="32"/>
          <w:szCs w:val="32"/>
          <w:lang w:eastAsia="zh-CN"/>
        </w:rPr>
        <w:t>）</w:t>
      </w:r>
      <w:r>
        <w:rPr>
          <w:rFonts w:hint="eastAsia" w:ascii="仿宋" w:hAnsi="仿宋" w:eastAsia="仿宋" w:cs="仿宋"/>
          <w:sz w:val="32"/>
          <w:szCs w:val="32"/>
        </w:rPr>
        <w:t>负责县委机关行政后勤、安全保卫和县委办公室财务管理工作。</w:t>
      </w:r>
    </w:p>
    <w:p w14:paraId="6C20F9A4">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12</w:t>
      </w:r>
      <w:r>
        <w:rPr>
          <w:rFonts w:hint="eastAsia" w:ascii="仿宋" w:hAnsi="仿宋" w:eastAsia="仿宋" w:cs="仿宋"/>
          <w:sz w:val="32"/>
          <w:szCs w:val="32"/>
          <w:lang w:eastAsia="zh-CN"/>
        </w:rPr>
        <w:t>）</w:t>
      </w:r>
      <w:r>
        <w:rPr>
          <w:rFonts w:hint="eastAsia" w:ascii="仿宋" w:hAnsi="仿宋" w:eastAsia="仿宋" w:cs="仿宋"/>
          <w:sz w:val="32"/>
          <w:szCs w:val="32"/>
        </w:rPr>
        <w:t>负责县机关事务的行政管理工作。</w:t>
      </w:r>
    </w:p>
    <w:p w14:paraId="37EDCCA7">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13）</w:t>
      </w:r>
      <w:r>
        <w:rPr>
          <w:rFonts w:hint="eastAsia" w:ascii="仿宋" w:hAnsi="仿宋" w:eastAsia="仿宋" w:cs="仿宋"/>
          <w:sz w:val="32"/>
          <w:szCs w:val="32"/>
        </w:rPr>
        <w:t>承担县委保密委员会和县密码工作领导小组的日常工作。负责全县保密、密码工作发展规划的拟订和组织实施，制定相关规章制度；对全县密码工作实施业务领导，对全县党政机关及经济、科学等领域保密工作实施业务指导；负责通信和计算机网络的保密监督；负责全县密码的装备、使用和管理；负责失泄密事件的查处工作；负责全县电子政务内网、党委系统信息化等建设和管理工作；负责全县保密机要干部教育培训工作；承办县委保密委员会和县密码工作领导小组交办的其他工作。</w:t>
      </w:r>
    </w:p>
    <w:p w14:paraId="3F0250C0">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14</w:t>
      </w:r>
      <w:r>
        <w:rPr>
          <w:rFonts w:hint="eastAsia" w:ascii="仿宋" w:hAnsi="仿宋" w:eastAsia="仿宋" w:cs="仿宋"/>
          <w:sz w:val="32"/>
          <w:szCs w:val="32"/>
          <w:lang w:eastAsia="zh-CN"/>
        </w:rPr>
        <w:t>）</w:t>
      </w:r>
      <w:r>
        <w:rPr>
          <w:rFonts w:hint="eastAsia" w:ascii="仿宋" w:hAnsi="仿宋" w:eastAsia="仿宋" w:cs="仿宋"/>
          <w:sz w:val="32"/>
          <w:szCs w:val="32"/>
        </w:rPr>
        <w:t>完成县委交办的其他任务。</w:t>
      </w:r>
    </w:p>
    <w:p w14:paraId="16ED9A83">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机关事务管理局职责</w:t>
      </w:r>
    </w:p>
    <w:p w14:paraId="11A1C04A">
      <w:pPr>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eastAsia="zh-CN"/>
        </w:rPr>
        <w:t>（</w:t>
      </w: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研究制定本县各级机关事务管理工作的政策措施并组织实施；</w:t>
      </w:r>
    </w:p>
    <w:p w14:paraId="462FBC7E">
      <w:pPr>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w:t>
      </w: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负责指定区域内的机关后勤管理和服务工作；</w:t>
      </w:r>
    </w:p>
    <w:p w14:paraId="24C26CFC">
      <w:pPr>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w:t>
      </w: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负责车改后保留公务用车的管理、调度；</w:t>
      </w:r>
    </w:p>
    <w:p w14:paraId="6DA19145">
      <w:pPr>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eastAsia="zh-CN"/>
        </w:rPr>
        <w:t>（</w:t>
      </w:r>
      <w:r>
        <w:rPr>
          <w:rFonts w:hint="eastAsia" w:ascii="仿宋" w:hAnsi="仿宋" w:eastAsia="仿宋" w:cs="仿宋"/>
          <w:sz w:val="32"/>
          <w:szCs w:val="32"/>
        </w:rPr>
        <w:t>4</w:t>
      </w:r>
      <w:r>
        <w:rPr>
          <w:rFonts w:hint="eastAsia" w:ascii="仿宋" w:hAnsi="仿宋" w:eastAsia="仿宋" w:cs="仿宋"/>
          <w:sz w:val="32"/>
          <w:szCs w:val="32"/>
          <w:lang w:eastAsia="zh-CN"/>
        </w:rPr>
        <w:t>）</w:t>
      </w:r>
      <w:r>
        <w:rPr>
          <w:rFonts w:hint="eastAsia" w:ascii="仿宋" w:hAnsi="仿宋" w:eastAsia="仿宋" w:cs="仿宋"/>
          <w:sz w:val="32"/>
          <w:szCs w:val="32"/>
        </w:rPr>
        <w:t>负责机关办公用房配置管理； </w:t>
      </w:r>
    </w:p>
    <w:p w14:paraId="228AA1B6">
      <w:pPr>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w:t>
      </w:r>
      <w:r>
        <w:rPr>
          <w:rFonts w:hint="eastAsia" w:ascii="仿宋" w:hAnsi="仿宋" w:eastAsia="仿宋" w:cs="仿宋"/>
          <w:sz w:val="32"/>
          <w:szCs w:val="32"/>
        </w:rPr>
        <w:t>5</w:t>
      </w:r>
      <w:r>
        <w:rPr>
          <w:rFonts w:hint="eastAsia" w:ascii="仿宋" w:hAnsi="仿宋" w:eastAsia="仿宋" w:cs="仿宋"/>
          <w:sz w:val="32"/>
          <w:szCs w:val="32"/>
          <w:lang w:eastAsia="zh-CN"/>
        </w:rPr>
        <w:t>）</w:t>
      </w:r>
      <w:r>
        <w:rPr>
          <w:rFonts w:hint="eastAsia" w:ascii="仿宋" w:hAnsi="仿宋" w:eastAsia="仿宋" w:cs="仿宋"/>
          <w:sz w:val="32"/>
          <w:szCs w:val="32"/>
        </w:rPr>
        <w:t>负责全县公共机构资源节约的工作。</w:t>
      </w:r>
    </w:p>
    <w:p w14:paraId="1C67BC8A">
      <w:pPr>
        <w:rPr>
          <w:rFonts w:ascii="仿宋" w:hAnsi="仿宋" w:eastAsia="仿宋" w:cs="Times New Roman"/>
          <w:b/>
          <w:sz w:val="32"/>
          <w:szCs w:val="32"/>
        </w:rPr>
      </w:pPr>
      <w:r>
        <w:rPr>
          <w:rFonts w:hint="eastAsia" w:ascii="仿宋" w:hAnsi="仿宋" w:eastAsia="仿宋" w:cs="Times New Roman"/>
          <w:b/>
          <w:sz w:val="32"/>
          <w:szCs w:val="32"/>
        </w:rPr>
        <w:t>机构设置：</w:t>
      </w:r>
    </w:p>
    <w:p w14:paraId="4FE24951">
      <w:pPr>
        <w:jc w:val="center"/>
        <w:outlineLvl w:val="0"/>
        <w:rPr>
          <w:rFonts w:ascii="Times New Roman" w:hAnsi="Times New Roman" w:eastAsia="方正小标宋_GBK" w:cs="Times New Roman"/>
          <w:sz w:val="32"/>
          <w:szCs w:val="24"/>
        </w:rPr>
      </w:pPr>
    </w:p>
    <w:p w14:paraId="5B231305">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10"/>
        <w:tblpPr w:leftFromText="180" w:rightFromText="180" w:vertAnchor="text" w:horzAnchor="page" w:tblpX="1423" w:tblpY="189"/>
        <w:tblOverlap w:val="never"/>
        <w:tblW w:w="91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25"/>
        <w:gridCol w:w="1470"/>
        <w:gridCol w:w="1500"/>
        <w:gridCol w:w="2265"/>
      </w:tblGrid>
      <w:tr w14:paraId="37FE31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 w:hRule="atLeast"/>
        </w:trPr>
        <w:tc>
          <w:tcPr>
            <w:tcW w:w="3925" w:type="dxa"/>
          </w:tcPr>
          <w:p w14:paraId="36CF0938">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单位名称</w:t>
            </w:r>
          </w:p>
        </w:tc>
        <w:tc>
          <w:tcPr>
            <w:tcW w:w="1470" w:type="dxa"/>
          </w:tcPr>
          <w:p w14:paraId="6D2F05EC">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单位性质</w:t>
            </w:r>
          </w:p>
        </w:tc>
        <w:tc>
          <w:tcPr>
            <w:tcW w:w="1500" w:type="dxa"/>
          </w:tcPr>
          <w:p w14:paraId="67AF02C6">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单位规格</w:t>
            </w:r>
          </w:p>
        </w:tc>
        <w:tc>
          <w:tcPr>
            <w:tcW w:w="2265" w:type="dxa"/>
          </w:tcPr>
          <w:p w14:paraId="25516B58">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经费保障形式</w:t>
            </w:r>
          </w:p>
        </w:tc>
      </w:tr>
      <w:tr w14:paraId="05087E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3925" w:type="dxa"/>
          </w:tcPr>
          <w:p w14:paraId="055DC6BA">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中共隆尧县委办公室（机关）</w:t>
            </w:r>
          </w:p>
        </w:tc>
        <w:tc>
          <w:tcPr>
            <w:tcW w:w="1470" w:type="dxa"/>
          </w:tcPr>
          <w:p w14:paraId="33253CEE">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行政</w:t>
            </w:r>
          </w:p>
        </w:tc>
        <w:tc>
          <w:tcPr>
            <w:tcW w:w="1500" w:type="dxa"/>
          </w:tcPr>
          <w:p w14:paraId="6BDA56C8">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正科级</w:t>
            </w:r>
          </w:p>
        </w:tc>
        <w:tc>
          <w:tcPr>
            <w:tcW w:w="2265" w:type="dxa"/>
          </w:tcPr>
          <w:p w14:paraId="40340B76">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r w14:paraId="3FE3B4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 w:hRule="atLeast"/>
        </w:trPr>
        <w:tc>
          <w:tcPr>
            <w:tcW w:w="3925" w:type="dxa"/>
          </w:tcPr>
          <w:p w14:paraId="0C7A4B0C">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sz w:val="28"/>
                <w:szCs w:val="28"/>
              </w:rPr>
              <w:t>中共隆尧县委办公室信息中心</w:t>
            </w:r>
          </w:p>
        </w:tc>
        <w:tc>
          <w:tcPr>
            <w:tcW w:w="1470" w:type="dxa"/>
          </w:tcPr>
          <w:p w14:paraId="6C09321D">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事业</w:t>
            </w:r>
          </w:p>
        </w:tc>
        <w:tc>
          <w:tcPr>
            <w:tcW w:w="1500" w:type="dxa"/>
          </w:tcPr>
          <w:p w14:paraId="3648E7A2">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股级</w:t>
            </w:r>
          </w:p>
        </w:tc>
        <w:tc>
          <w:tcPr>
            <w:tcW w:w="2265" w:type="dxa"/>
          </w:tcPr>
          <w:p w14:paraId="019D7D00">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r w14:paraId="680254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925" w:type="dxa"/>
          </w:tcPr>
          <w:p w14:paraId="03167206">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sz w:val="28"/>
                <w:szCs w:val="28"/>
              </w:rPr>
              <w:t>隆尧县机关事务管理局</w:t>
            </w:r>
          </w:p>
        </w:tc>
        <w:tc>
          <w:tcPr>
            <w:tcW w:w="1470" w:type="dxa"/>
          </w:tcPr>
          <w:p w14:paraId="08480D4F">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事业</w:t>
            </w:r>
          </w:p>
        </w:tc>
        <w:tc>
          <w:tcPr>
            <w:tcW w:w="1500" w:type="dxa"/>
          </w:tcPr>
          <w:p w14:paraId="66317CDF">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副科级</w:t>
            </w:r>
          </w:p>
        </w:tc>
        <w:tc>
          <w:tcPr>
            <w:tcW w:w="2265" w:type="dxa"/>
          </w:tcPr>
          <w:p w14:paraId="71928C0F">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bl>
    <w:p w14:paraId="58701829">
      <w:pPr>
        <w:adjustRightInd w:val="0"/>
        <w:rPr>
          <w:rFonts w:ascii="仿宋" w:hAnsi="仿宋" w:eastAsia="仿宋" w:cs="仿宋"/>
          <w:sz w:val="32"/>
          <w:szCs w:val="32"/>
        </w:rPr>
      </w:pPr>
      <w:r>
        <w:rPr>
          <w:rFonts w:hint="eastAsia" w:ascii="仿宋" w:hAnsi="仿宋" w:eastAsia="仿宋" w:cs="仿宋"/>
          <w:sz w:val="32"/>
          <w:szCs w:val="32"/>
        </w:rPr>
        <w:t xml:space="preserve">   （二）人员及资产情况。</w:t>
      </w:r>
      <w:r>
        <w:rPr>
          <w:rFonts w:hint="eastAsia" w:ascii="仿宋" w:hAnsi="仿宋" w:eastAsia="仿宋" w:cs="仿宋"/>
          <w:color w:val="auto"/>
          <w:sz w:val="32"/>
          <w:szCs w:val="32"/>
          <w:lang w:val="en-US" w:eastAsia="zh-CN"/>
        </w:rPr>
        <w:t>截至2021年末，在职人员40人，退休9人，遗属人员2</w:t>
      </w:r>
    </w:p>
    <w:p w14:paraId="3C5AEEDD">
      <w:pPr>
        <w:adjustRightInd w:val="0"/>
        <w:rPr>
          <w:rFonts w:hint="eastAsia" w:ascii="仿宋" w:hAnsi="仿宋" w:eastAsia="仿宋" w:cs="仿宋"/>
          <w:sz w:val="32"/>
          <w:szCs w:val="32"/>
        </w:rPr>
      </w:pPr>
      <w:r>
        <w:rPr>
          <w:rFonts w:hint="eastAsia" w:ascii="仿宋" w:hAnsi="仿宋" w:eastAsia="仿宋" w:cs="仿宋"/>
          <w:sz w:val="32"/>
          <w:szCs w:val="32"/>
        </w:rPr>
        <w:t xml:space="preserve">   （三）部门履职总体目标。</w:t>
      </w:r>
    </w:p>
    <w:p w14:paraId="5B9ED4AD">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w:t>
      </w:r>
      <w:r>
        <w:rPr>
          <w:rFonts w:hint="eastAsia" w:ascii="仿宋" w:hAnsi="仿宋" w:eastAsia="仿宋" w:cs="仿宋"/>
          <w:sz w:val="32"/>
          <w:szCs w:val="32"/>
          <w:lang w:eastAsia="zh-CN"/>
        </w:rPr>
        <w:t>县委办公室工作的指导思想是：</w:t>
      </w:r>
      <w:r>
        <w:rPr>
          <w:rFonts w:hint="eastAsia" w:ascii="仿宋" w:hAnsi="仿宋" w:eastAsia="仿宋" w:cs="仿宋"/>
          <w:sz w:val="32"/>
          <w:szCs w:val="32"/>
        </w:rPr>
        <w:t>全面学习宣传贯彻落实党的十九大、中央经济工作会和省市委全会精神及决策部署，以习近平新时代中国特色社会主义思想为统领，坚持稳中求进工作总基调，坚持新发展理念，按照高质量发展的要求，统筹推进“五位一体”总体布局和协调推进“四个全面”战略布局，坚持“走新路、有作为、创亮点、守底线”，深入推进“11446”发展思路和“135”发展布局。认真履行参谋、服务、协调三大职能，突出工作重点，创新工作举措，把办公室打造成参之有道、谋之有策的“参谋部”，协调有力、统筹得力的“指挥部”，敢打硬仗、能打胜仗的“作战部”，为更好地服务县委决策、服务发展大局，为推进建设经济强县、幸福隆尧新局面，充分发挥职能作用。</w:t>
      </w:r>
    </w:p>
    <w:p w14:paraId="68091941">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14:paraId="35B6956E">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1、综合文字工作。起草、整理、印发各类文稿</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00余篇，其中：领导讲话1</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0余篇，常委会议纪要</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0期，领导议事纪要</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0期，主持词1</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0多篇，县委文件、县委办文件1</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0余份。</w:t>
      </w:r>
    </w:p>
    <w:p w14:paraId="4A50B461">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2、调研工作。围绕县委总体工作部署开展综合调研，收集和处理信息、反映动态；承担县委重要工作部署贯彻落实的督导检查，上级领导和县委领导批示件的传达和催办落实。准备就做好深入开展学习实践科学发展观和作风建设年活动进行调研，预计调研30余次。</w:t>
      </w:r>
    </w:p>
    <w:p w14:paraId="14384662">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3、信息工作。202</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年，县委办信息中心将以坚持主动超前、报送亮点、推广典型、宣传隆尧”的宗旨，以争创一流为目标，紧紧围绕县委中心工作，密切跟踪京津冀协同发展、深化改革、防范化解重大风险、精准脱贫、污染防治三大攻坚战、新型城镇化建设、乡村振兴、农村人居环境整治等重点工作，通过“五个加大”，即加大信息工作调度力度、加大信息约稿力度、加大跟班培训力度、加大县乡联合调研力度、加大信息采用情况通报考核力度等途径，整合全县信息资源，及时反映全县经济社会发展的最新成就、创新做法和先进经验，全面提升信息服务党委科学决策的层次和水平，以新的气象、新的状态、新的业绩，为建设经济强县、幸福隆尧做出新的贡献。</w:t>
      </w:r>
    </w:p>
    <w:p w14:paraId="69C56451">
      <w:pPr>
        <w:adjustRightInd w:val="0"/>
        <w:spacing w:line="60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eastAsia="zh-CN"/>
        </w:rPr>
        <w:t>4、督查工作。准备组织专项督查40余次，编发《督查通报》、《督查专报》25期。印刷深化纠正“四风”文件</w:t>
      </w:r>
      <w:r>
        <w:rPr>
          <w:rFonts w:hint="eastAsia" w:ascii="仿宋" w:hAnsi="仿宋" w:eastAsia="仿宋" w:cs="仿宋"/>
          <w:sz w:val="32"/>
          <w:szCs w:val="32"/>
          <w:lang w:val="en-US" w:eastAsia="zh-CN"/>
        </w:rPr>
        <w:t>10余期，，印发深化纠正“四风”工作简报20期。</w:t>
      </w:r>
    </w:p>
    <w:p w14:paraId="148E1E95">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（1）着力抓好决策督查。全年计划组织开展2-3次有影响、有震动的督查活动，提前制定督查预案，明确工作分工，形成督查合力，推动工作落实，确保中央和省市县委各项决策部署得到不折不扣落实。</w:t>
      </w:r>
    </w:p>
    <w:p w14:paraId="4E87AFED">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（2）着力抓好专项督查。及时建立跟踪督导台账，对领导批示件明确具体牵头单位和责任单位，定期督导要账，确保领导批示问题件件有着落、事事有回音，专项督查取得更好效果。</w:t>
      </w:r>
    </w:p>
    <w:p w14:paraId="148F9053">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（3）着力抓好综合督查。按照全年重点工作分解表安排，逐项对照抓落实，确保工作进展成效明显。对阶段性部署工作，注重既看当前，又看长远，特别是大气污染防</w:t>
      </w:r>
      <w:r>
        <w:rPr>
          <w:rFonts w:hint="eastAsia" w:ascii="仿宋" w:hAnsi="仿宋" w:eastAsia="仿宋" w:cs="仿宋"/>
          <w:sz w:val="32"/>
          <w:szCs w:val="32"/>
          <w:lang w:eastAsia="zh-CN"/>
        </w:rPr>
        <w:t>治</w:t>
      </w:r>
      <w:r>
        <w:rPr>
          <w:rFonts w:hint="eastAsia" w:ascii="仿宋" w:hAnsi="仿宋" w:eastAsia="仿宋" w:cs="仿宋"/>
          <w:sz w:val="32"/>
          <w:szCs w:val="32"/>
        </w:rPr>
        <w:t xml:space="preserve">、违法占地清理、植树造林等工作，确保各项工作全部落实到位。 </w:t>
      </w:r>
    </w:p>
    <w:p w14:paraId="3F357DA0">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5、值班和公文办理工作。继续强化值班工作责任制，认真做好上传下达，开展公文办理培训，提高工作水平,争取做到零失误。</w:t>
      </w:r>
    </w:p>
    <w:p w14:paraId="7639909F">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6、公文规范化管理。认真贯彻《公文规范化管理条件》做好公文的编发和审核工作以及人员培训工作。让我县的公文规范化工作跃上一个新台阶。</w:t>
      </w:r>
    </w:p>
    <w:p w14:paraId="200C67EB">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、接待和会议工作。做好大型会议和活动组织安排、公务接待等。准备定期培训一批专业接待人员，提高全县的接待水平。</w:t>
      </w:r>
    </w:p>
    <w:p w14:paraId="52E33CCD">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、后勤保障工作。维修和美化办公区，改善机关办公条件，维护县委机关形象，使包括县委办在内的进驻各单位能够正常办公。</w:t>
      </w:r>
    </w:p>
    <w:p w14:paraId="41FAC281">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9</w:t>
      </w:r>
      <w:r>
        <w:rPr>
          <w:rFonts w:hint="eastAsia" w:ascii="仿宋" w:hAnsi="仿宋" w:eastAsia="仿宋" w:cs="仿宋"/>
          <w:sz w:val="32"/>
          <w:szCs w:val="32"/>
        </w:rPr>
        <w:t>、机关事务管理工作。贯彻落实中办《党政机关公务用车管理办法》，加强公车服务平台建设，认真做好事业单位公车改革工作;贯彻落实中办《党政机关办公用房管理办法》，加强党政机关办公用房管理、调配工作;做好全县公共机构节能工作。</w:t>
      </w:r>
    </w:p>
    <w:p w14:paraId="0BEFC7EA">
      <w:pPr>
        <w:adjustRightInd w:val="0"/>
        <w:spacing w:line="600" w:lineRule="exact"/>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 xml:space="preserve">    11、改革办工作。组织开展全县全面深化改革重大问题的政策研究，每月通报改革进展情况，及时编制年度改革进展和评估报告。</w:t>
      </w:r>
    </w:p>
    <w:p w14:paraId="5DD21A51">
      <w:pPr>
        <w:adjustRightInd w:val="0"/>
        <w:spacing w:line="600" w:lineRule="exact"/>
        <w:ind w:firstLine="640"/>
        <w:rPr>
          <w:rFonts w:hint="default" w:ascii="仿宋" w:hAnsi="仿宋" w:eastAsia="仿宋" w:cs="仿宋"/>
          <w:sz w:val="32"/>
          <w:szCs w:val="32"/>
          <w:lang w:val="en-US" w:eastAsia="zh-CN"/>
        </w:rPr>
      </w:pPr>
      <w:r>
        <w:rPr>
          <w:rFonts w:hint="eastAsia" w:ascii="仿宋" w:hAnsi="仿宋" w:eastAsia="仿宋" w:cs="仿宋"/>
          <w:sz w:val="32"/>
          <w:szCs w:val="32"/>
        </w:rPr>
        <w:t>12、</w:t>
      </w:r>
      <w:r>
        <w:rPr>
          <w:rFonts w:hint="eastAsia" w:ascii="仿宋" w:hAnsi="仿宋" w:eastAsia="仿宋" w:cs="仿宋"/>
          <w:sz w:val="32"/>
          <w:szCs w:val="32"/>
          <w:lang w:eastAsia="zh-CN"/>
        </w:rPr>
        <w:t>实绩考核和“三创四建”活动工作。印刷上级文件</w:t>
      </w:r>
      <w:r>
        <w:rPr>
          <w:rFonts w:hint="eastAsia" w:ascii="仿宋" w:hAnsi="仿宋" w:eastAsia="仿宋" w:cs="仿宋"/>
          <w:sz w:val="32"/>
          <w:szCs w:val="32"/>
          <w:lang w:val="en-US" w:eastAsia="zh-CN"/>
        </w:rPr>
        <w:t>360余份、通报240余份、简报50余份其他印刷资料200余份。</w:t>
      </w:r>
    </w:p>
    <w:p w14:paraId="2FD3A71D">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完成县委县政府交办的其他工作。</w:t>
      </w:r>
    </w:p>
    <w:p w14:paraId="350A34DD">
      <w:pPr>
        <w:adjustRightInd w:val="0"/>
        <w:rPr>
          <w:rFonts w:hint="eastAsia" w:ascii="楷体" w:hAnsi="楷体" w:eastAsia="楷体" w:cs="仿宋"/>
          <w:color w:val="auto"/>
          <w:sz w:val="32"/>
          <w:szCs w:val="32"/>
        </w:rPr>
      </w:pPr>
      <w:r>
        <w:rPr>
          <w:rFonts w:hint="eastAsia" w:ascii="仿宋" w:hAnsi="仿宋" w:eastAsia="仿宋" w:cs="仿宋"/>
          <w:sz w:val="32"/>
          <w:szCs w:val="32"/>
        </w:rPr>
        <w:t xml:space="preserve">   </w:t>
      </w:r>
      <w:r>
        <w:rPr>
          <w:rFonts w:hint="eastAsia" w:ascii="仿宋" w:hAnsi="仿宋" w:eastAsia="仿宋" w:cs="仿宋"/>
          <w:color w:val="auto"/>
          <w:sz w:val="32"/>
          <w:szCs w:val="32"/>
        </w:rPr>
        <w:t>（五）预算资金安排及资金支出</w:t>
      </w:r>
      <w:r>
        <w:rPr>
          <w:rFonts w:hint="eastAsia" w:ascii="楷体" w:hAnsi="楷体" w:eastAsia="楷体" w:cs="仿宋"/>
          <w:color w:val="auto"/>
          <w:sz w:val="32"/>
          <w:szCs w:val="32"/>
        </w:rPr>
        <w:t>情况。</w:t>
      </w:r>
    </w:p>
    <w:p w14:paraId="0544CE4B">
      <w:pPr>
        <w:adjustRightInd w:val="0"/>
        <w:ind w:firstLine="640" w:firstLineChars="200"/>
        <w:rPr>
          <w:rFonts w:hint="eastAsia" w:ascii="楷体" w:hAnsi="楷体" w:eastAsia="楷体" w:cs="仿宋"/>
          <w:color w:val="auto"/>
          <w:sz w:val="32"/>
          <w:szCs w:val="32"/>
        </w:rPr>
      </w:pP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21</w:t>
      </w:r>
      <w:r>
        <w:rPr>
          <w:rFonts w:hint="eastAsia" w:ascii="仿宋_GB2312" w:hAnsi="仿宋_GB2312" w:eastAsia="仿宋_GB2312" w:cs="仿宋_GB2312"/>
          <w:color w:val="auto"/>
          <w:sz w:val="32"/>
          <w:szCs w:val="32"/>
        </w:rPr>
        <w:t>年，我单位</w:t>
      </w:r>
      <w:r>
        <w:rPr>
          <w:rFonts w:hint="eastAsia" w:ascii="仿宋_GB2312" w:hAnsi="仿宋_GB2312" w:eastAsia="仿宋_GB2312" w:cs="仿宋_GB2312"/>
          <w:color w:val="auto"/>
          <w:sz w:val="32"/>
          <w:szCs w:val="32"/>
          <w:lang w:eastAsia="zh-CN"/>
        </w:rPr>
        <w:t>项目</w:t>
      </w:r>
      <w:r>
        <w:rPr>
          <w:rFonts w:hint="eastAsia" w:ascii="仿宋_GB2312" w:hAnsi="仿宋_GB2312" w:eastAsia="仿宋_GB2312" w:cs="仿宋_GB2312"/>
          <w:color w:val="auto"/>
          <w:sz w:val="32"/>
          <w:szCs w:val="32"/>
        </w:rPr>
        <w:t>预算资金安排</w:t>
      </w:r>
      <w:r>
        <w:rPr>
          <w:rFonts w:hint="eastAsia" w:ascii="仿宋_GB2312" w:hAnsi="仿宋_GB2312" w:eastAsia="仿宋_GB2312" w:cs="仿宋_GB2312"/>
          <w:color w:val="auto"/>
          <w:sz w:val="32"/>
          <w:szCs w:val="32"/>
          <w:lang w:val="en-US" w:eastAsia="zh-CN"/>
        </w:rPr>
        <w:t>312.04万</w:t>
      </w:r>
      <w:r>
        <w:rPr>
          <w:rFonts w:hint="eastAsia" w:ascii="仿宋_GB2312" w:hAnsi="仿宋_GB2312" w:eastAsia="仿宋_GB2312" w:cs="仿宋_GB2312"/>
          <w:color w:val="auto"/>
          <w:sz w:val="32"/>
          <w:szCs w:val="32"/>
        </w:rPr>
        <w:t>元，资金实际支出</w:t>
      </w:r>
      <w:r>
        <w:rPr>
          <w:rFonts w:hint="eastAsia" w:ascii="仿宋_GB2312" w:hAnsi="仿宋_GB2312" w:eastAsia="仿宋_GB2312" w:cs="仿宋_GB2312"/>
          <w:color w:val="auto"/>
          <w:sz w:val="32"/>
          <w:szCs w:val="32"/>
          <w:lang w:val="en-US" w:eastAsia="zh-CN"/>
        </w:rPr>
        <w:t>308.76</w:t>
      </w:r>
      <w:r>
        <w:rPr>
          <w:rFonts w:hint="eastAsia" w:ascii="仿宋_GB2312" w:hAnsi="仿宋_GB2312" w:eastAsia="仿宋_GB2312" w:cs="仿宋_GB2312"/>
          <w:color w:val="auto"/>
          <w:sz w:val="32"/>
          <w:szCs w:val="32"/>
        </w:rPr>
        <w:t>元</w:t>
      </w:r>
      <w:r>
        <w:rPr>
          <w:rFonts w:hint="eastAsia" w:ascii="仿宋_GB2312" w:hAnsi="仿宋_GB2312" w:eastAsia="仿宋_GB2312" w:cs="仿宋_GB2312"/>
          <w:color w:val="auto"/>
          <w:sz w:val="32"/>
          <w:szCs w:val="32"/>
          <w:lang w:val="en-US" w:eastAsia="zh-CN"/>
        </w:rPr>
        <w:t>,节省3.28元。</w:t>
      </w:r>
    </w:p>
    <w:p w14:paraId="57BB9A0C">
      <w:pPr>
        <w:pStyle w:val="19"/>
        <w:numPr>
          <w:ilvl w:val="0"/>
          <w:numId w:val="0"/>
        </w:numPr>
        <w:ind w:left="709" w:leftChars="0"/>
        <w:rPr>
          <w:rFonts w:ascii="黑体" w:hAnsi="黑体" w:eastAsia="黑体" w:cs="仿宋"/>
          <w:sz w:val="32"/>
          <w:szCs w:val="32"/>
        </w:rPr>
      </w:pPr>
      <w:r>
        <w:rPr>
          <w:rFonts w:hint="eastAsia" w:ascii="黑体" w:hAnsi="黑体" w:eastAsia="黑体" w:cs="仿宋"/>
          <w:sz w:val="32"/>
          <w:szCs w:val="32"/>
          <w:lang w:eastAsia="zh-CN"/>
        </w:rPr>
        <w:t>二、</w:t>
      </w:r>
      <w:r>
        <w:rPr>
          <w:rFonts w:hint="eastAsia" w:ascii="黑体" w:hAnsi="黑体" w:eastAsia="黑体" w:cs="仿宋"/>
          <w:sz w:val="32"/>
          <w:szCs w:val="32"/>
        </w:rPr>
        <w:t>预算绩效管理开展及整体绩效实现情况。</w:t>
      </w:r>
    </w:p>
    <w:p w14:paraId="60DAEA4D">
      <w:pPr>
        <w:numPr>
          <w:ilvl w:val="0"/>
          <w:numId w:val="1"/>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14:paraId="2ACD3A56">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全面实施预算项目绩效管理，我单位一是加强预算编制绩效管理，每年对单位申报预算项目进行全面梳理、加强审核、合理保障，所有项目有明细的资金预算；二是完善项目绩效管理责任，财政局批复下达年度预算时，通过规范格式同步下达绩效目标，我单位明确预算执行主体，负责实现项目绩效目标，对未如期完成或绩效目标结果差的，在编制下年度预算时适当调减项目资金额度；三是积极推进项目绩效评价，在加强预算编制环节的基础上，加强预算执行监管和执行结果评价，将财务监督渗透到预算管理的事前、事中、事后各个环节。</w:t>
      </w:r>
    </w:p>
    <w:p w14:paraId="0C3C6284">
      <w:pPr>
        <w:numPr>
          <w:ilvl w:val="0"/>
          <w:numId w:val="0"/>
        </w:numPr>
        <w:adjustRightInd w:val="0"/>
        <w:ind w:leftChars="150" w:firstLine="320" w:firstLineChars="100"/>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工作履行活动完成情况。</w:t>
      </w:r>
    </w:p>
    <w:p w14:paraId="3810BD14">
      <w:pPr>
        <w:numPr>
          <w:ilvl w:val="0"/>
          <w:numId w:val="0"/>
        </w:numPr>
        <w:adjustRightInd w:val="0"/>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每项任务已制定了明确、具体、可量化、可衡量的绩效指标</w:t>
      </w:r>
      <w:r>
        <w:rPr>
          <w:rFonts w:hint="eastAsia" w:ascii="仿宋" w:hAnsi="仿宋" w:eastAsia="仿宋" w:cs="仿宋"/>
          <w:sz w:val="32"/>
          <w:szCs w:val="32"/>
          <w:lang w:eastAsia="zh-CN"/>
        </w:rPr>
        <w:t>，</w:t>
      </w:r>
      <w:r>
        <w:rPr>
          <w:rFonts w:hint="eastAsia" w:ascii="仿宋" w:hAnsi="仿宋" w:eastAsia="仿宋" w:cs="仿宋"/>
          <w:sz w:val="32"/>
          <w:szCs w:val="32"/>
        </w:rPr>
        <w:t xml:space="preserve"> 建立了目标责任制，落实到具体部门和人员负责</w:t>
      </w:r>
      <w:r>
        <w:rPr>
          <w:rFonts w:hint="eastAsia" w:ascii="仿宋" w:hAnsi="仿宋" w:eastAsia="仿宋" w:cs="仿宋"/>
          <w:sz w:val="32"/>
          <w:szCs w:val="32"/>
          <w:lang w:eastAsia="zh-CN"/>
        </w:rPr>
        <w:t>；</w:t>
      </w:r>
      <w:r>
        <w:rPr>
          <w:rFonts w:hint="eastAsia" w:ascii="仿宋" w:hAnsi="仿宋" w:eastAsia="仿宋" w:cs="仿宋"/>
          <w:sz w:val="32"/>
          <w:szCs w:val="32"/>
        </w:rPr>
        <w:t>每项任务绩效指标全部完成</w:t>
      </w:r>
      <w:r>
        <w:rPr>
          <w:rFonts w:hint="eastAsia" w:ascii="仿宋" w:hAnsi="仿宋" w:eastAsia="仿宋" w:cs="仿宋"/>
          <w:sz w:val="32"/>
          <w:szCs w:val="32"/>
          <w:lang w:eastAsia="zh-CN"/>
        </w:rPr>
        <w:t>，全部优秀。</w:t>
      </w:r>
    </w:p>
    <w:p w14:paraId="16A38586">
      <w:pPr>
        <w:numPr>
          <w:ilvl w:val="0"/>
          <w:numId w:val="0"/>
        </w:numPr>
        <w:adjustRightInd w:val="0"/>
        <w:ind w:leftChars="150" w:firstLine="320" w:firstLineChars="100"/>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实施履职活动产生的效果或服务对象满意程度。</w:t>
      </w:r>
    </w:p>
    <w:p w14:paraId="3C06F2A4">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通过预算支出项目的实施，完善了突发情况的监测预警，保障了生产安全，降低了生产损失</w:t>
      </w:r>
      <w:r>
        <w:rPr>
          <w:rFonts w:hint="eastAsia" w:ascii="仿宋" w:hAnsi="仿宋" w:eastAsia="仿宋" w:cs="仿宋"/>
          <w:sz w:val="32"/>
          <w:szCs w:val="32"/>
          <w:lang w:eastAsia="zh-CN"/>
        </w:rPr>
        <w:t>，</w:t>
      </w:r>
      <w:r>
        <w:rPr>
          <w:rFonts w:hint="eastAsia" w:ascii="仿宋" w:hAnsi="仿宋" w:eastAsia="仿宋" w:cs="仿宋"/>
          <w:sz w:val="32"/>
          <w:szCs w:val="32"/>
        </w:rPr>
        <w:t>行业形象得到了大大提升了，增强了</w:t>
      </w:r>
      <w:r>
        <w:rPr>
          <w:rFonts w:hint="eastAsia" w:ascii="仿宋" w:hAnsi="仿宋" w:eastAsia="仿宋" w:cs="仿宋"/>
          <w:sz w:val="32"/>
          <w:szCs w:val="32"/>
          <w:lang w:eastAsia="zh-CN"/>
        </w:rPr>
        <w:t>县委办</w:t>
      </w:r>
      <w:r>
        <w:rPr>
          <w:rFonts w:hint="eastAsia" w:ascii="仿宋" w:hAnsi="仿宋" w:eastAsia="仿宋" w:cs="仿宋"/>
          <w:sz w:val="32"/>
          <w:szCs w:val="32"/>
        </w:rPr>
        <w:t>影响力</w:t>
      </w:r>
      <w:r>
        <w:rPr>
          <w:rFonts w:hint="eastAsia" w:ascii="仿宋" w:hAnsi="仿宋" w:eastAsia="仿宋" w:cs="仿宋"/>
          <w:sz w:val="32"/>
          <w:szCs w:val="32"/>
          <w:lang w:eastAsia="zh-CN"/>
        </w:rPr>
        <w:t>，</w:t>
      </w:r>
      <w:r>
        <w:rPr>
          <w:rFonts w:hint="eastAsia" w:ascii="仿宋" w:hAnsi="仿宋" w:eastAsia="仿宋" w:cs="仿宋"/>
          <w:sz w:val="32"/>
          <w:szCs w:val="32"/>
        </w:rPr>
        <w:t>有效地控制虚假、伪劣、霉变等劣质产品进入市场，影响了人民生活质量，净化地市场环境；通过预算支出项目的实施，达到减少</w:t>
      </w:r>
      <w:bookmarkStart w:id="0" w:name="_GoBack"/>
      <w:bookmarkEnd w:id="0"/>
      <w:r>
        <w:rPr>
          <w:rFonts w:hint="eastAsia" w:ascii="仿宋" w:hAnsi="仿宋" w:eastAsia="仿宋" w:cs="仿宋"/>
          <w:sz w:val="32"/>
          <w:szCs w:val="32"/>
        </w:rPr>
        <w:t>污染物排放，周围环境得到了整治，面貌得到了改善</w:t>
      </w:r>
      <w:r>
        <w:rPr>
          <w:rFonts w:hint="eastAsia" w:ascii="仿宋" w:hAnsi="仿宋" w:eastAsia="仿宋" w:cs="仿宋"/>
          <w:sz w:val="32"/>
          <w:szCs w:val="32"/>
          <w:lang w:eastAsia="zh-CN"/>
        </w:rPr>
        <w:t>；通过</w:t>
      </w:r>
      <w:r>
        <w:rPr>
          <w:rFonts w:hint="eastAsia" w:ascii="仿宋" w:hAnsi="仿宋" w:eastAsia="仿宋" w:cs="仿宋"/>
          <w:sz w:val="32"/>
          <w:szCs w:val="32"/>
        </w:rPr>
        <w:t>满意程度调查，反映和社会公众</w:t>
      </w:r>
      <w:r>
        <w:rPr>
          <w:rFonts w:hint="eastAsia" w:ascii="仿宋" w:hAnsi="仿宋" w:eastAsia="仿宋" w:cs="仿宋"/>
          <w:sz w:val="32"/>
          <w:szCs w:val="32"/>
          <w:lang w:eastAsia="zh-CN"/>
        </w:rPr>
        <w:t>及领导</w:t>
      </w:r>
      <w:r>
        <w:rPr>
          <w:rFonts w:hint="eastAsia" w:ascii="仿宋" w:hAnsi="仿宋" w:eastAsia="仿宋" w:cs="仿宋"/>
          <w:sz w:val="32"/>
          <w:szCs w:val="32"/>
        </w:rPr>
        <w:t>对</w:t>
      </w:r>
      <w:r>
        <w:rPr>
          <w:rFonts w:hint="eastAsia" w:ascii="仿宋" w:hAnsi="仿宋" w:eastAsia="仿宋" w:cs="仿宋"/>
          <w:sz w:val="32"/>
          <w:szCs w:val="32"/>
          <w:lang w:eastAsia="zh-CN"/>
        </w:rPr>
        <w:t>县委办</w:t>
      </w:r>
      <w:r>
        <w:rPr>
          <w:rFonts w:hint="eastAsia" w:ascii="仿宋" w:hAnsi="仿宋" w:eastAsia="仿宋" w:cs="仿宋"/>
          <w:sz w:val="32"/>
          <w:szCs w:val="32"/>
        </w:rPr>
        <w:t>履职</w:t>
      </w:r>
      <w:r>
        <w:rPr>
          <w:rFonts w:hint="eastAsia" w:ascii="仿宋" w:hAnsi="仿宋" w:eastAsia="仿宋" w:cs="仿宋"/>
          <w:sz w:val="32"/>
          <w:szCs w:val="32"/>
          <w:lang w:eastAsia="zh-CN"/>
        </w:rPr>
        <w:t>非常</w:t>
      </w:r>
      <w:r>
        <w:rPr>
          <w:rFonts w:hint="eastAsia" w:ascii="仿宋" w:hAnsi="仿宋" w:eastAsia="仿宋" w:cs="仿宋"/>
          <w:sz w:val="32"/>
          <w:szCs w:val="32"/>
        </w:rPr>
        <w:t>满意。</w:t>
      </w:r>
    </w:p>
    <w:p w14:paraId="142FB622">
      <w:pPr>
        <w:pStyle w:val="19"/>
        <w:numPr>
          <w:ilvl w:val="0"/>
          <w:numId w:val="0"/>
        </w:numPr>
        <w:ind w:left="709" w:leftChars="0"/>
        <w:rPr>
          <w:rFonts w:ascii="黑体" w:hAnsi="黑体" w:eastAsia="黑体" w:cs="仿宋"/>
          <w:sz w:val="32"/>
          <w:szCs w:val="32"/>
        </w:rPr>
      </w:pPr>
      <w:r>
        <w:rPr>
          <w:rFonts w:hint="eastAsia" w:ascii="黑体" w:hAnsi="黑体" w:eastAsia="黑体" w:cs="仿宋"/>
          <w:sz w:val="32"/>
          <w:szCs w:val="32"/>
          <w:lang w:eastAsia="zh-CN"/>
        </w:rPr>
        <w:t>三、</w:t>
      </w:r>
      <w:r>
        <w:rPr>
          <w:rFonts w:hint="eastAsia" w:ascii="黑体" w:hAnsi="黑体" w:eastAsia="黑体" w:cs="仿宋"/>
          <w:sz w:val="32"/>
          <w:szCs w:val="32"/>
        </w:rPr>
        <w:t>绩效评价的组织实施情况</w:t>
      </w:r>
    </w:p>
    <w:p w14:paraId="7217CBB8">
      <w:pPr>
        <w:adjustRightInd w:val="0"/>
        <w:spacing w:line="600" w:lineRule="exact"/>
        <w:ind w:firstLine="640"/>
        <w:rPr>
          <w:rFonts w:ascii="仿宋_GB2312" w:hAnsi="仿宋_GB2312" w:eastAsia="仿宋_GB2312" w:cs="仿宋_GB2312"/>
          <w:sz w:val="32"/>
          <w:szCs w:val="32"/>
        </w:rPr>
      </w:pPr>
      <w:r>
        <w:rPr>
          <w:rFonts w:hint="eastAsia" w:ascii="仿宋" w:hAnsi="仿宋" w:eastAsia="仿宋" w:cs="仿宋"/>
          <w:sz w:val="32"/>
          <w:szCs w:val="32"/>
        </w:rPr>
        <w:t>（一）评价对象绩效目标。</w:t>
      </w:r>
      <w:r>
        <w:rPr>
          <w:rFonts w:hint="eastAsia" w:ascii="仿宋_GB2312" w:hAnsi="仿宋_GB2312" w:eastAsia="仿宋_GB2312" w:cs="仿宋_GB2312"/>
          <w:sz w:val="32"/>
          <w:szCs w:val="32"/>
          <w:lang w:eastAsia="zh-CN"/>
        </w:rPr>
        <w:t>由县委办承办的</w:t>
      </w:r>
      <w:r>
        <w:rPr>
          <w:rFonts w:hint="eastAsia" w:ascii="仿宋_GB2312" w:hAnsi="仿宋_GB2312" w:eastAsia="仿宋_GB2312" w:cs="仿宋_GB2312"/>
          <w:sz w:val="32"/>
          <w:szCs w:val="32"/>
        </w:rPr>
        <w:t>会议及大型会议如期成功举行；县</w:t>
      </w:r>
      <w:r>
        <w:rPr>
          <w:rFonts w:hint="eastAsia" w:ascii="仿宋_GB2312" w:hAnsi="仿宋_GB2312" w:eastAsia="仿宋_GB2312" w:cs="仿宋_GB2312"/>
          <w:sz w:val="32"/>
          <w:szCs w:val="32"/>
          <w:lang w:eastAsia="zh-CN"/>
        </w:rPr>
        <w:t>委办承担的</w:t>
      </w:r>
      <w:r>
        <w:rPr>
          <w:rFonts w:hint="eastAsia" w:ascii="仿宋_GB2312" w:hAnsi="仿宋_GB2312" w:eastAsia="仿宋_GB2312" w:cs="仿宋_GB2312"/>
          <w:sz w:val="32"/>
          <w:szCs w:val="32"/>
        </w:rPr>
        <w:t>接待工作圆满完成；</w:t>
      </w:r>
      <w:r>
        <w:rPr>
          <w:rFonts w:hint="eastAsia" w:ascii="仿宋_GB2312" w:hAnsi="仿宋_GB2312" w:eastAsia="仿宋_GB2312" w:cs="仿宋_GB2312"/>
          <w:sz w:val="32"/>
          <w:szCs w:val="32"/>
          <w:lang w:eastAsia="zh-CN"/>
        </w:rPr>
        <w:t>县委</w:t>
      </w:r>
      <w:r>
        <w:rPr>
          <w:rFonts w:hint="eastAsia" w:ascii="仿宋_GB2312" w:hAnsi="仿宋_GB2312" w:eastAsia="仿宋_GB2312" w:cs="仿宋_GB2312"/>
          <w:sz w:val="32"/>
          <w:szCs w:val="32"/>
        </w:rPr>
        <w:t>后勤服务和机关事务管理都很好完成，</w:t>
      </w:r>
      <w:r>
        <w:rPr>
          <w:rFonts w:hint="eastAsia" w:ascii="仿宋_GB2312" w:hAnsi="仿宋_GB2312" w:eastAsia="仿宋_GB2312" w:cs="仿宋_GB2312"/>
          <w:sz w:val="32"/>
          <w:szCs w:val="32"/>
          <w:lang w:eastAsia="zh-CN"/>
        </w:rPr>
        <w:t>信息、督查、公文管理、上传下达等</w:t>
      </w:r>
      <w:r>
        <w:rPr>
          <w:rFonts w:hint="eastAsia" w:ascii="仿宋_GB2312" w:hAnsi="仿宋_GB2312" w:eastAsia="仿宋_GB2312" w:cs="仿宋_GB2312"/>
          <w:sz w:val="32"/>
          <w:szCs w:val="32"/>
        </w:rPr>
        <w:t>县</w:t>
      </w:r>
      <w:r>
        <w:rPr>
          <w:rFonts w:hint="eastAsia" w:ascii="仿宋_GB2312" w:hAnsi="仿宋_GB2312" w:eastAsia="仿宋_GB2312" w:cs="仿宋_GB2312"/>
          <w:sz w:val="32"/>
          <w:szCs w:val="32"/>
          <w:lang w:eastAsia="zh-CN"/>
        </w:rPr>
        <w:t>委</w:t>
      </w:r>
      <w:r>
        <w:rPr>
          <w:rFonts w:hint="eastAsia" w:ascii="仿宋_GB2312" w:hAnsi="仿宋_GB2312" w:eastAsia="仿宋_GB2312" w:cs="仿宋_GB2312"/>
          <w:sz w:val="32"/>
          <w:szCs w:val="32"/>
        </w:rPr>
        <w:t>日常工作运转有条不紊。</w:t>
      </w:r>
    </w:p>
    <w:p w14:paraId="09CDB0DE">
      <w:pPr>
        <w:adjustRightInd w:val="0"/>
        <w:ind w:firstLine="480" w:firstLineChars="150"/>
        <w:rPr>
          <w:rFonts w:hint="eastAsia" w:ascii="仿宋" w:hAnsi="仿宋" w:eastAsia="仿宋" w:cs="仿宋"/>
          <w:sz w:val="32"/>
          <w:szCs w:val="32"/>
          <w:lang w:eastAsia="zh-CN"/>
        </w:rPr>
      </w:pPr>
      <w:r>
        <w:rPr>
          <w:rFonts w:hint="eastAsia" w:ascii="仿宋" w:hAnsi="仿宋" w:eastAsia="仿宋" w:cs="仿宋"/>
          <w:sz w:val="32"/>
          <w:szCs w:val="32"/>
        </w:rPr>
        <w:t>（二）绩效指标。</w:t>
      </w:r>
      <w:r>
        <w:rPr>
          <w:rFonts w:hint="eastAsia" w:ascii="仿宋" w:hAnsi="仿宋" w:eastAsia="仿宋" w:cs="仿宋"/>
          <w:sz w:val="32"/>
          <w:szCs w:val="32"/>
          <w:lang w:eastAsia="zh-CN"/>
        </w:rPr>
        <w:t>质量、数量、效果、成本控制等指标均高效圆满完成</w:t>
      </w:r>
    </w:p>
    <w:p w14:paraId="5EE34595">
      <w:pPr>
        <w:adjustRightInd w:val="0"/>
        <w:ind w:firstLine="480" w:firstLineChars="150"/>
        <w:rPr>
          <w:rFonts w:ascii="仿宋_GB2312" w:hAnsi="仿宋_GB2312" w:eastAsia="仿宋_GB2312" w:cs="仿宋_GB2312"/>
          <w:sz w:val="32"/>
          <w:szCs w:val="32"/>
        </w:rPr>
      </w:pPr>
      <w:r>
        <w:rPr>
          <w:rFonts w:hint="eastAsia" w:ascii="仿宋" w:hAnsi="仿宋" w:eastAsia="仿宋" w:cs="仿宋"/>
          <w:sz w:val="32"/>
          <w:szCs w:val="32"/>
        </w:rPr>
        <w:t>（三）评价标准和评价方法。</w:t>
      </w:r>
      <w:r>
        <w:rPr>
          <w:rFonts w:hint="eastAsia" w:ascii="仿宋_GB2312" w:hAnsi="仿宋_GB2312" w:eastAsia="仿宋_GB2312" w:cs="仿宋_GB2312"/>
          <w:sz w:val="32"/>
          <w:szCs w:val="32"/>
        </w:rPr>
        <w:t>整体支出绩效评价体系：指标体系包括共性指标和个性指标两部分，主要参照财政部门制定的《部门整体支出绩效评价指标体系》的相关内容，根据单位具体情况对个性指标进行了调整细化。整体支出绩效评价方法：主要采用因素分析法、比较法等方法。</w:t>
      </w:r>
    </w:p>
    <w:p w14:paraId="26DAA6A8">
      <w:pPr>
        <w:spacing w:line="560" w:lineRule="exact"/>
        <w:ind w:firstLine="640" w:firstLineChars="200"/>
        <w:rPr>
          <w:rFonts w:hint="eastAsia" w:ascii="仿宋_GB2312" w:hAnsi="仿宋_GB2312" w:eastAsia="仿宋_GB2312" w:cs="仿宋_GB2312"/>
          <w:sz w:val="32"/>
          <w:szCs w:val="32"/>
        </w:rPr>
      </w:pPr>
      <w:r>
        <w:rPr>
          <w:rFonts w:hint="eastAsia" w:ascii="黑体" w:hAnsi="黑体" w:eastAsia="黑体" w:cs="仿宋"/>
          <w:sz w:val="32"/>
          <w:szCs w:val="32"/>
          <w:lang w:eastAsia="zh-CN"/>
        </w:rPr>
        <w:t>四、</w:t>
      </w:r>
      <w:r>
        <w:rPr>
          <w:rFonts w:hint="eastAsia" w:ascii="黑体" w:hAnsi="黑体" w:eastAsia="黑体" w:cs="仿宋"/>
          <w:sz w:val="32"/>
          <w:szCs w:val="32"/>
        </w:rPr>
        <w:t>各项绩效目标的实现程度及差异性原因分析。</w:t>
      </w:r>
      <w:r>
        <w:rPr>
          <w:rFonts w:hint="eastAsia" w:ascii="仿宋_GB2312" w:hAnsi="仿宋_GB2312" w:eastAsia="仿宋_GB2312" w:cs="仿宋_GB2312"/>
          <w:sz w:val="32"/>
          <w:szCs w:val="32"/>
        </w:rPr>
        <w:t xml:space="preserve"> </w:t>
      </w:r>
    </w:p>
    <w:p w14:paraId="41E04A24">
      <w:pPr>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我单位各个项目绩效目标均已完成</w:t>
      </w:r>
      <w:r>
        <w:rPr>
          <w:rFonts w:hint="eastAsia" w:ascii="仿宋_GB2312" w:hAnsi="仿宋_GB2312" w:eastAsia="仿宋_GB2312" w:cs="仿宋_GB2312"/>
          <w:sz w:val="32"/>
          <w:szCs w:val="32"/>
          <w:lang w:eastAsia="zh-CN"/>
        </w:rPr>
        <w:t>，但在执行过程中存在不同程度差异</w:t>
      </w:r>
    </w:p>
    <w:p w14:paraId="2935FB9F">
      <w:pPr>
        <w:numPr>
          <w:ilvl w:val="0"/>
          <w:numId w:val="0"/>
        </w:numPr>
        <w:ind w:left="709" w:leftChars="0"/>
        <w:rPr>
          <w:rFonts w:hint="eastAsia" w:ascii="黑体" w:hAnsi="黑体" w:eastAsia="黑体" w:cs="仿宋"/>
          <w:sz w:val="32"/>
          <w:szCs w:val="32"/>
          <w:lang w:eastAsia="zh-CN"/>
        </w:rPr>
      </w:pPr>
      <w:r>
        <w:rPr>
          <w:rFonts w:hint="eastAsia" w:ascii="黑体" w:hAnsi="黑体" w:eastAsia="黑体" w:cs="仿宋"/>
          <w:sz w:val="32"/>
          <w:szCs w:val="32"/>
          <w:lang w:eastAsia="zh-CN"/>
        </w:rPr>
        <w:t>五、</w:t>
      </w:r>
      <w:r>
        <w:rPr>
          <w:rFonts w:hint="eastAsia" w:ascii="黑体" w:hAnsi="黑体" w:eastAsia="黑体" w:cs="仿宋"/>
          <w:sz w:val="32"/>
          <w:szCs w:val="32"/>
        </w:rPr>
        <w:t>存在问题</w:t>
      </w:r>
      <w:r>
        <w:rPr>
          <w:rFonts w:hint="eastAsia" w:ascii="黑体" w:hAnsi="黑体" w:eastAsia="黑体" w:cs="仿宋"/>
          <w:sz w:val="32"/>
          <w:szCs w:val="32"/>
          <w:lang w:eastAsia="zh-CN"/>
        </w:rPr>
        <w:t>。</w:t>
      </w:r>
    </w:p>
    <w:p w14:paraId="0DFE7F0B">
      <w:pPr>
        <w:numPr>
          <w:ilvl w:val="0"/>
          <w:numId w:val="0"/>
        </w:numPr>
        <w:ind w:left="709" w:leftChars="0"/>
        <w:rPr>
          <w:rFonts w:ascii="仿宋_GB2312" w:hAnsi="仿宋_GB2312" w:eastAsia="仿宋_GB2312" w:cs="仿宋_GB2312"/>
          <w:sz w:val="32"/>
          <w:szCs w:val="32"/>
        </w:rPr>
      </w:pPr>
      <w:r>
        <w:rPr>
          <w:rFonts w:hint="eastAsia" w:ascii="仿宋_GB2312" w:hAnsi="仿宋_GB2312" w:eastAsia="仿宋_GB2312" w:cs="仿宋_GB2312"/>
          <w:sz w:val="32"/>
          <w:szCs w:val="32"/>
        </w:rPr>
        <w:t>（一）注重抓贯彻，忽视抓典型。对上级要求的各项工作，我们很重视，但思想停留在“完成”二字上，少有创新举措，忽视对典型的挖掘和推介。</w:t>
      </w:r>
    </w:p>
    <w:p w14:paraId="2F50B50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（二）注重按时，忽视评估效果。对于各项工作任务，我们一般提前谋划，但对完成的效果以及影响力的评估，我们少有探究，联系实际、服务群众做的不够。</w:t>
      </w:r>
    </w:p>
    <w:p w14:paraId="481C35E2">
      <w:pPr>
        <w:pStyle w:val="19"/>
        <w:numPr>
          <w:ilvl w:val="0"/>
          <w:numId w:val="0"/>
        </w:numPr>
        <w:ind w:firstLine="640" w:firstLineChars="200"/>
        <w:rPr>
          <w:rFonts w:hint="eastAsia" w:ascii="黑体" w:hAnsi="黑体" w:eastAsia="黑体" w:cs="仿宋"/>
          <w:sz w:val="32"/>
          <w:szCs w:val="32"/>
          <w:lang w:eastAsia="zh-CN"/>
        </w:rPr>
      </w:pPr>
    </w:p>
    <w:p w14:paraId="14E1B495">
      <w:pPr>
        <w:pStyle w:val="19"/>
        <w:numPr>
          <w:ilvl w:val="0"/>
          <w:numId w:val="0"/>
        </w:numPr>
        <w:ind w:firstLine="640" w:firstLineChars="200"/>
        <w:rPr>
          <w:rFonts w:hint="eastAsia" w:ascii="黑体" w:hAnsi="黑体" w:eastAsia="黑体" w:cs="仿宋"/>
          <w:sz w:val="32"/>
          <w:szCs w:val="32"/>
        </w:rPr>
      </w:pPr>
      <w:r>
        <w:rPr>
          <w:rFonts w:hint="eastAsia" w:ascii="黑体" w:hAnsi="黑体" w:eastAsia="黑体" w:cs="仿宋"/>
          <w:sz w:val="32"/>
          <w:szCs w:val="32"/>
          <w:lang w:eastAsia="zh-CN"/>
        </w:rPr>
        <w:t>六、</w:t>
      </w:r>
      <w:r>
        <w:rPr>
          <w:rFonts w:hint="eastAsia" w:ascii="黑体" w:hAnsi="黑体" w:eastAsia="黑体" w:cs="仿宋"/>
          <w:sz w:val="32"/>
          <w:szCs w:val="32"/>
        </w:rPr>
        <w:t>采取的纠偏措施及改进绩效管理建议。</w:t>
      </w:r>
    </w:p>
    <w:p w14:paraId="7E581A82">
      <w:pPr>
        <w:pStyle w:val="19"/>
        <w:numPr>
          <w:ilvl w:val="0"/>
          <w:numId w:val="0"/>
        </w:numPr>
        <w:ind w:leftChars="200"/>
        <w:rPr>
          <w:rFonts w:hint="eastAsia" w:ascii="黑体" w:hAnsi="黑体" w:eastAsia="黑体" w:cs="仿宋"/>
          <w:sz w:val="32"/>
          <w:szCs w:val="32"/>
        </w:rPr>
      </w:pPr>
      <w:r>
        <w:rPr>
          <w:rFonts w:hint="eastAsia" w:ascii="仿宋_GB2312" w:hAnsi="仿宋_GB2312" w:eastAsia="仿宋_GB2312" w:cs="仿宋_GB2312"/>
          <w:sz w:val="32"/>
          <w:szCs w:val="32"/>
        </w:rPr>
        <w:t>进一步规范财务管理，对本单位当年度的各项工作开展做到心中有数，统筹安排，合理配置。在以后工作中，坚持做到合理安排预算资金，不断完善支出结构，优化资金使用率，进一步完善预算管理体制</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方正小标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文泉驿微米黑">
    <w:panose1 w:val="020B0606030804020204"/>
    <w:charset w:val="86"/>
    <w:family w:val="auto"/>
    <w:pitch w:val="default"/>
    <w:sig w:usb0="E10002EF" w:usb1="6BDFFCFB" w:usb2="00800036" w:usb3="00000000" w:csb0="603E01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2203B1">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7</w:t>
    </w:r>
    <w:r>
      <w:rPr>
        <w:rStyle w:val="13"/>
        <w:rFonts w:ascii="宋体" w:hAnsi="宋体" w:eastAsia="宋体"/>
        <w:sz w:val="28"/>
        <w:szCs w:val="28"/>
      </w:rPr>
      <w:fldChar w:fldCharType="end"/>
    </w:r>
    <w:r>
      <w:rPr>
        <w:rStyle w:val="13"/>
        <w:rFonts w:hint="eastAsia" w:ascii="宋体" w:hAnsi="宋体" w:eastAsia="宋体"/>
        <w:sz w:val="28"/>
        <w:szCs w:val="28"/>
      </w:rPr>
      <w:t>-</w:t>
    </w:r>
  </w:p>
  <w:p w14:paraId="4D4F2782">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5A7D3">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29E51AD6">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837B9E"/>
    <w:multiLevelType w:val="singleLevel"/>
    <w:tmpl w:val="7B837B9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7A41E5B"/>
    <w:rsid w:val="0B9802F2"/>
    <w:rsid w:val="0C8F0285"/>
    <w:rsid w:val="0EEA0279"/>
    <w:rsid w:val="0F8F6BFC"/>
    <w:rsid w:val="107166F3"/>
    <w:rsid w:val="13A517BF"/>
    <w:rsid w:val="1B742E1D"/>
    <w:rsid w:val="1C841DE7"/>
    <w:rsid w:val="2BC7308D"/>
    <w:rsid w:val="34360395"/>
    <w:rsid w:val="37043C4C"/>
    <w:rsid w:val="3791647A"/>
    <w:rsid w:val="3B780AA6"/>
    <w:rsid w:val="3FEB1330"/>
    <w:rsid w:val="3FF5ABFA"/>
    <w:rsid w:val="455969D8"/>
    <w:rsid w:val="45B24413"/>
    <w:rsid w:val="483030A0"/>
    <w:rsid w:val="48725571"/>
    <w:rsid w:val="4B3F31DE"/>
    <w:rsid w:val="4BDB04ED"/>
    <w:rsid w:val="4D8B58D8"/>
    <w:rsid w:val="526A3656"/>
    <w:rsid w:val="53CD5365"/>
    <w:rsid w:val="5D643D56"/>
    <w:rsid w:val="64283056"/>
    <w:rsid w:val="69BD0A47"/>
    <w:rsid w:val="71A911C9"/>
    <w:rsid w:val="777F9BEF"/>
    <w:rsid w:val="7793669D"/>
    <w:rsid w:val="79332B58"/>
    <w:rsid w:val="7CCC213E"/>
    <w:rsid w:val="7DA82702"/>
    <w:rsid w:val="DFE3FCBD"/>
    <w:rsid w:val="FCEC832C"/>
    <w:rsid w:val="FDDAB3E2"/>
    <w:rsid w:val="FFEF668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unhideWhenUsed/>
    <w:qFormat/>
    <w:uiPriority w:val="99"/>
    <w:pPr>
      <w:spacing w:after="120"/>
      <w:ind w:left="420" w:leftChars="200"/>
    </w:p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qFormat/>
    <w:uiPriority w:val="0"/>
    <w:rPr>
      <w:rFonts w:ascii="宋体" w:hAnsi="Courier New" w:eastAsia="宋体" w:cs="Courier New"/>
      <w:szCs w:val="21"/>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 w:type="paragraph" w:styleId="19">
    <w:name w:val="List Paragraph"/>
    <w:basedOn w:val="1"/>
    <w:unhideWhenUsed/>
    <w:qFormat/>
    <w:uiPriority w:val="99"/>
    <w:pPr>
      <w:ind w:firstLine="420" w:firstLineChars="200"/>
    </w:pPr>
  </w:style>
  <w:style w:type="paragraph" w:customStyle="1" w:styleId="20">
    <w:name w:val="正文1"/>
    <w:basedOn w:val="21"/>
    <w:qFormat/>
    <w:uiPriority w:val="7"/>
    <w:pPr>
      <w:jc w:val="both"/>
    </w:pPr>
    <w:rPr>
      <w:rFonts w:ascii="Times New Roman" w:hAnsi="Times New Roman" w:eastAsia="Times New Roman"/>
      <w:sz w:val="21"/>
    </w:rPr>
  </w:style>
  <w:style w:type="paragraph" w:customStyle="1" w:styleId="21">
    <w:name w:val="[Normal]"/>
    <w:qFormat/>
    <w:uiPriority w:val="6"/>
    <w:rPr>
      <w:rFonts w:ascii="宋体" w:hAnsi="宋体" w:eastAsia="宋体" w:cs="Times New Roman"/>
      <w:sz w:val="24"/>
      <w:szCs w:val="22"/>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Pages>
  <Words>857</Words>
  <Characters>4889</Characters>
  <Lines>40</Lines>
  <Paragraphs>11</Paragraphs>
  <TotalTime>27</TotalTime>
  <ScaleCrop>false</ScaleCrop>
  <LinksUpToDate>false</LinksUpToDate>
  <CharactersWithSpaces>5735</CharactersWithSpaces>
  <Application>WPS Office_12.1.0.17900_F1E327BC-269C-435d-A152-05C5408002CA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2016-02-23T15:07:00Z</dcterms:created>
  <dc:creator>Administrator</dc:creator>
  <cp:lastModifiedBy>work</cp:lastModifiedBy>
  <cp:lastPrinted>2022-04-13T05:35:00Z</cp:lastPrinted>
  <dcterms:modified xsi:type="dcterms:W3CDTF">2025-05-28T16:43:05Z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2052-12.1.0.17900</vt:lpwstr>
  </property>
  <property fmtid="{D5CDD505-2E9C-101B-9397-08002B2CF9AE}" pid="3" name="ICV">
    <vt:lpwstr>84D2B6FBBDB16D1499CC366823DCA7B4_43</vt:lpwstr>
  </property>
</Properties>
</file>