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DB8339">
      <w:pPr>
        <w:widowControl/>
        <w:spacing w:line="400" w:lineRule="exact"/>
        <w:jc w:val="left"/>
        <w:rPr>
          <w:rFonts w:ascii="仿宋" w:hAnsi="仿宋" w:eastAsia="仿宋" w:cs="仿宋"/>
          <w:kern w:val="0"/>
          <w:sz w:val="32"/>
          <w:szCs w:val="32"/>
          <w:shd w:val="clear" w:color="auto" w:fill="FFFFFF"/>
          <w:lang w:bidi="ar"/>
        </w:rPr>
      </w:pPr>
      <w:bookmarkStart w:id="0" w:name="_GoBack"/>
      <w:bookmarkEnd w:id="0"/>
    </w:p>
    <w:p w14:paraId="3883F623">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14:paraId="05EA15F8">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04A48D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F5286EF">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EE97328">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4F228DAE">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6462C238">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164903DA">
            <w:pPr>
              <w:widowControl/>
              <w:spacing w:line="240" w:lineRule="exact"/>
              <w:jc w:val="left"/>
              <w:rPr>
                <w:b/>
              </w:rPr>
            </w:pPr>
            <w:r>
              <w:rPr>
                <w:rFonts w:ascii="仿宋_GB2312" w:hAnsi="新宋体" w:eastAsia="仿宋_GB2312" w:cs="仿宋_GB2312"/>
                <w:b/>
                <w:kern w:val="0"/>
                <w:sz w:val="24"/>
                <w:szCs w:val="24"/>
                <w:lang w:bidi="ar"/>
              </w:rPr>
              <w:t>得分</w:t>
            </w:r>
          </w:p>
        </w:tc>
      </w:tr>
      <w:tr w14:paraId="0265C9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D705792">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28D3B1C">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AB4306F">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142E0076">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7ED73514">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1747765B">
            <w:pPr>
              <w:rPr>
                <w:rFonts w:ascii="宋体"/>
                <w:szCs w:val="21"/>
              </w:rPr>
            </w:pPr>
          </w:p>
        </w:tc>
      </w:tr>
      <w:tr w14:paraId="722F6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16356F2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49CFA4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14:paraId="3F6B09AA">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4E32B71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5FBE412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58F2DEA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14:paraId="0F3BBA0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12F8C4C9">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144C66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CCF26B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4DB082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01FA521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5EEBAC5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14:paraId="6E65AA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3539723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14:paraId="1D69E14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7E14308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1E9497F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56E14D14">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592ED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30E7ED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75EC636">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518A7C7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2A9ED71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14:paraId="765724B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6B7C47F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14:paraId="05580C8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0391F36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05BD04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1B9FDB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1C0EF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8993597">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7B0FF77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14:paraId="7D20582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14:paraId="259D3FB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14:paraId="391D583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14:paraId="703D7DB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14:paraId="49AFF3C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319497E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14:paraId="7AEFF72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14:paraId="47F941A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14:paraId="18D2AC5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928B139">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295F35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2DE83D35">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7F05D9AC">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173D6522">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变动率（2分）</w:t>
            </w:r>
          </w:p>
        </w:tc>
        <w:tc>
          <w:tcPr>
            <w:tcW w:w="3436" w:type="dxa"/>
            <w:tcBorders>
              <w:top w:val="single" w:color="auto" w:sz="4" w:space="0"/>
              <w:left w:val="single" w:color="auto" w:sz="4" w:space="0"/>
              <w:right w:val="single" w:color="auto" w:sz="4" w:space="0"/>
            </w:tcBorders>
            <w:vAlign w:val="center"/>
          </w:tcPr>
          <w:p w14:paraId="1F323E99">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预算数与上年度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5CA8DA7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小于或等于-5%的，得满分；</w:t>
            </w:r>
          </w:p>
          <w:p w14:paraId="2CC9D16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大于或等于10%的，得0分；</w:t>
            </w:r>
          </w:p>
          <w:p w14:paraId="1E23434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14:paraId="0839F9D7">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3A0C9D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78893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6597F9F3">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1E125204">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5B211FE0">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16205C4A">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07FA87F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14:paraId="007C980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14:paraId="0355444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14:paraId="751E5430">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54AC02E">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634EB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62295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F8C7E1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3593176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7FA80F3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14:paraId="450908F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3734B9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14:paraId="78EADFB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14:paraId="729F39E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14:paraId="5CEAA95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002C3BC">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20BA4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2D771DE">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6F323D3">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2BBBE0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1E5B31D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14:paraId="618EC7C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2406EC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14:paraId="4F03C1F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14:paraId="290C83D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14:paraId="7D114F9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CD5335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46F0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33D3A63">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549119F">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FB113B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5A6ECBF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14:paraId="34B3245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7526369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14:paraId="6390372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13990B6B">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06905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27FFCCC">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CE3F91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59C44F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7C209D2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14:paraId="3DB303D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0C15EE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14:paraId="521F4EA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14:paraId="3CF0447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14:paraId="285D37F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785C9B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EC282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E02FCB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7A8A77C">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D979F3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9CD3EB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14:paraId="5A64EAF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2B8FBE2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14:paraId="5C7880F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14:paraId="6C0AB62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14:paraId="5BDCFC4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ECFA9C2">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9268C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FB7F7AD">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F7E5773">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47EA3E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3271D96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14:paraId="01D6589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14:paraId="26FD69E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7309B31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14:paraId="7915C7F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14:paraId="781A5B8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14:paraId="7C8DE79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2F4BB89">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AE0E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A5985E0">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5AC8C9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14:paraId="1A181B8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418C296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7F0B660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14:paraId="59D154B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042344F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14:paraId="76013C5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14:paraId="6587859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14:paraId="3E2A05E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14:paraId="7E0E80A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14:paraId="15808BD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14:paraId="19F1830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14:paraId="5398B09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5551BAC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14:paraId="182A7C8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14:paraId="1B6D8E4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14:paraId="5BA470B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14:paraId="07B8768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2D14FD8">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566772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BC5FBDD">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3CE9DAE">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92394D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44A6F4C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14:paraId="4E19197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14:paraId="705150F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ED39DF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14:paraId="03A601C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14:paraId="1546871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26386ED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14:paraId="2EB4E4D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35B1DF8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1AC2C17E">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79E9C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D9015A1">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91FEBE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2DDEF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18DD939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14:paraId="2634AE7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3F56634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14:paraId="653DC9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14:paraId="748BBC3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14:paraId="007797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71708F7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14:paraId="0F4EF97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14:paraId="7CFAD7A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14:paraId="569779D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588040F2">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46AC4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4AB177C">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EF1F7B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1AD3434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56F0C37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14:paraId="2BAF724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1FDAAD2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14:paraId="6274ABB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w:t>
            </w:r>
            <w:r>
              <w:rPr>
                <w:rFonts w:hint="eastAsia" w:ascii="仿宋_GB2312" w:hAnsi="仿宋_GB2312" w:eastAsia="仿宋_GB2312" w:cs="仿宋_GB2312"/>
                <w:kern w:val="0"/>
                <w:szCs w:val="21"/>
                <w:lang w:eastAsia="zh-CN" w:bidi="ar"/>
              </w:rPr>
              <w:t>账实相符</w:t>
            </w:r>
            <w:r>
              <w:rPr>
                <w:rFonts w:hint="eastAsia" w:ascii="仿宋_GB2312" w:hAnsi="仿宋_GB2312" w:eastAsia="仿宋_GB2312" w:cs="仿宋_GB2312"/>
                <w:kern w:val="0"/>
                <w:szCs w:val="21"/>
                <w:lang w:bidi="ar"/>
              </w:rPr>
              <w:t>；</w:t>
            </w:r>
          </w:p>
          <w:p w14:paraId="006CECB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49D7E0A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14:paraId="65E06D8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39E8872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14:paraId="552819A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7E59D40E">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86946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E80DEEF">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C7B8515">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4A8E7A1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1CDD67C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14:paraId="72D1114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2F46A76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14:paraId="05C9FDE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14:paraId="2AC124C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14:paraId="6075FBB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75F9707">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A4DC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CC2B18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4865D4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2546FA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26A2A99D">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2309CD7F">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42DA9111">
            <w:pPr>
              <w:widowControl/>
              <w:spacing w:line="240" w:lineRule="exact"/>
              <w:jc w:val="left"/>
              <w:rPr>
                <w:rFonts w:hint="default" w:eastAsiaTheme="minorEastAsia"/>
                <w:szCs w:val="21"/>
                <w:lang w:val="en-US" w:eastAsia="zh-CN"/>
              </w:rPr>
            </w:pPr>
            <w:r>
              <w:rPr>
                <w:rFonts w:hint="eastAsia"/>
                <w:szCs w:val="21"/>
                <w:lang w:val="en-US" w:eastAsia="zh-CN"/>
              </w:rPr>
              <w:t>9</w:t>
            </w:r>
          </w:p>
        </w:tc>
      </w:tr>
      <w:tr w14:paraId="19AD6D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C8E4A42">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DFA7ED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6F7351F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14:paraId="3AD4E06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14:paraId="5453718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14:paraId="29961C2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676E17F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14:paraId="45A22D7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14:paraId="2045597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14:paraId="675629D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48224340">
            <w:pPr>
              <w:widowControl/>
              <w:spacing w:line="240" w:lineRule="exact"/>
              <w:jc w:val="left"/>
              <w:rPr>
                <w:rFonts w:hint="default" w:eastAsiaTheme="minorEastAsia"/>
                <w:szCs w:val="21"/>
                <w:lang w:val="en-US" w:eastAsia="zh-CN"/>
              </w:rPr>
            </w:pPr>
            <w:r>
              <w:rPr>
                <w:rFonts w:hint="eastAsia"/>
                <w:szCs w:val="21"/>
                <w:lang w:val="en-US" w:eastAsia="zh-CN"/>
              </w:rPr>
              <w:t>13</w:t>
            </w:r>
          </w:p>
        </w:tc>
      </w:tr>
      <w:tr w14:paraId="128F8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ABF353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14:paraId="5B7D3B1F">
            <w:pPr>
              <w:widowControl/>
              <w:spacing w:line="240" w:lineRule="exact"/>
              <w:jc w:val="left"/>
              <w:rPr>
                <w:rFonts w:hint="eastAsia" w:ascii="仿宋_GB2312" w:hAnsi="仿宋_GB2312" w:eastAsia="仿宋_GB2312" w:cs="仿宋_GB2312"/>
                <w:kern w:val="0"/>
                <w:szCs w:val="21"/>
                <w:lang w:bidi="ar"/>
              </w:rPr>
            </w:pPr>
          </w:p>
          <w:p w14:paraId="04248DEE">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14:paraId="3583418B">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70D5E44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60BF87DC">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14:paraId="1B8EF311">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10BC4CC7">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DB6752A">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34BEF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578B2962">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15DC2F1C">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422FD09">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ED5E896">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14:paraId="7CA2CFBD">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739DB816">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E3D42E5">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3701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0A330CD3">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7A1A1DF6">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EA913D5">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007EA9B8">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14:paraId="30111D1F">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35E8D09F">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4EA122F7">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A58CE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2EC6299">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4E9DDCAB">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8DD203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409F608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0C3E3973">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27A03B92">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75AFCA55">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2FF6143F">
      <w:pPr>
        <w:spacing w:line="240" w:lineRule="exact"/>
        <w:rPr>
          <w:rFonts w:ascii="仿宋" w:hAnsi="仿宋" w:eastAsia="仿宋" w:cs="仿宋"/>
          <w:sz w:val="32"/>
          <w:szCs w:val="32"/>
        </w:rPr>
      </w:pPr>
    </w:p>
    <w:p w14:paraId="1E27C15A">
      <w:pPr>
        <w:pStyle w:val="2"/>
        <w:keepNext w:val="0"/>
        <w:keepLines w:val="0"/>
        <w:pageBreakBefore w:val="0"/>
        <w:widowControl w:val="0"/>
        <w:kinsoku/>
        <w:wordWrap/>
        <w:overflowPunct/>
        <w:topLinePunct w:val="0"/>
        <w:autoSpaceDE/>
        <w:autoSpaceDN/>
        <w:bidi w:val="0"/>
        <w:adjustRightInd/>
        <w:snapToGrid/>
        <w:ind w:left="0" w:leftChars="0" w:firstLine="600" w:firstLineChars="200"/>
      </w:pPr>
      <w:r>
        <w:rPr>
          <w:rFonts w:hint="eastAsia" w:ascii="仿宋" w:hAnsi="仿宋" w:eastAsia="仿宋"/>
          <w:color w:val="000000"/>
          <w:sz w:val="30"/>
          <w:szCs w:val="24"/>
        </w:rPr>
        <w:t>本次绩效评价，我们根据实际情况，暂定项目绩效总分100分，确定了评分扣减项目，</w:t>
      </w:r>
      <w:r>
        <w:rPr>
          <w:rFonts w:hint="eastAsia" w:ascii="仿宋" w:hAnsi="仿宋" w:eastAsia="仿宋"/>
          <w:color w:val="000000"/>
          <w:sz w:val="30"/>
          <w:szCs w:val="24"/>
          <w:lang w:eastAsia="zh-CN"/>
        </w:rPr>
        <w:t>部门预算项</w:t>
      </w:r>
      <w:r>
        <w:rPr>
          <w:rFonts w:hint="eastAsia" w:ascii="仿宋" w:hAnsi="仿宋" w:eastAsia="仿宋"/>
          <w:color w:val="auto"/>
          <w:sz w:val="30"/>
          <w:szCs w:val="24"/>
          <w:lang w:eastAsia="zh-CN"/>
        </w:rPr>
        <w:t>目</w:t>
      </w:r>
      <w:r>
        <w:rPr>
          <w:rFonts w:hint="eastAsia" w:ascii="仿宋" w:hAnsi="仿宋" w:eastAsia="仿宋"/>
          <w:bCs/>
          <w:color w:val="auto"/>
          <w:sz w:val="30"/>
          <w:szCs w:val="24"/>
        </w:rPr>
        <w:t>综合得分</w:t>
      </w:r>
      <w:r>
        <w:rPr>
          <w:rFonts w:hint="eastAsia" w:ascii="仿宋" w:hAnsi="仿宋" w:eastAsia="仿宋"/>
          <w:bCs/>
          <w:color w:val="auto"/>
          <w:sz w:val="30"/>
          <w:szCs w:val="24"/>
          <w:lang w:val="en-US" w:eastAsia="zh-CN"/>
        </w:rPr>
        <w:t>95</w:t>
      </w:r>
      <w:r>
        <w:rPr>
          <w:rFonts w:hint="eastAsia" w:ascii="仿宋" w:hAnsi="仿宋" w:eastAsia="仿宋"/>
          <w:bCs/>
          <w:color w:val="auto"/>
          <w:sz w:val="30"/>
          <w:szCs w:val="24"/>
        </w:rPr>
        <w:t>分，评价结论为</w:t>
      </w:r>
      <w:r>
        <w:rPr>
          <w:rFonts w:hint="eastAsia" w:ascii="仿宋" w:hAnsi="仿宋" w:eastAsia="仿宋"/>
          <w:bCs/>
          <w:color w:val="auto"/>
          <w:sz w:val="30"/>
          <w:szCs w:val="24"/>
          <w:lang w:eastAsia="zh-CN"/>
        </w:rPr>
        <w:t>合格</w:t>
      </w:r>
      <w:r>
        <w:rPr>
          <w:rFonts w:hint="eastAsia" w:ascii="仿宋" w:hAnsi="仿宋" w:eastAsia="仿宋"/>
          <w:bCs/>
          <w:color w:val="auto"/>
          <w:sz w:val="30"/>
          <w:szCs w:val="24"/>
        </w:rPr>
        <w:t>。</w:t>
      </w:r>
    </w:p>
    <w:p w14:paraId="3B889E5B">
      <w:pPr>
        <w:pStyle w:val="2"/>
        <w:keepNext w:val="0"/>
        <w:keepLines w:val="0"/>
        <w:pageBreakBefore w:val="0"/>
        <w:widowControl w:val="0"/>
        <w:kinsoku/>
        <w:wordWrap/>
        <w:overflowPunct/>
        <w:topLinePunct w:val="0"/>
        <w:autoSpaceDE/>
        <w:autoSpaceDN/>
        <w:bidi w:val="0"/>
        <w:adjustRightInd/>
        <w:snapToGrid/>
        <w:ind w:firstLine="720" w:firstLineChars="200"/>
        <w:jc w:val="center"/>
        <w:rPr>
          <w:rFonts w:hint="eastAsia" w:ascii="黑体" w:hAnsi="黑体" w:eastAsia="黑体" w:cs="黑体"/>
          <w:color w:val="auto"/>
          <w:sz w:val="36"/>
          <w:szCs w:val="36"/>
          <w:highlight w:val="none"/>
          <w:lang w:val="en-US" w:eastAsia="zh-CN"/>
        </w:rPr>
      </w:pPr>
      <w:r>
        <w:rPr>
          <w:rFonts w:hint="eastAsia" w:ascii="黑体" w:hAnsi="黑体" w:eastAsia="黑体" w:cs="黑体"/>
          <w:color w:val="auto"/>
          <w:sz w:val="36"/>
          <w:szCs w:val="36"/>
          <w:highlight w:val="none"/>
          <w:lang w:val="en-US" w:eastAsia="zh-CN"/>
        </w:rPr>
        <w:t>2019年牛家桥乡人民政府整体支出绩效自评报告</w:t>
      </w:r>
    </w:p>
    <w:p w14:paraId="09507D9B">
      <w:pPr>
        <w:pStyle w:val="2"/>
        <w:keepNext w:val="0"/>
        <w:keepLines w:val="0"/>
        <w:pageBreakBefore w:val="0"/>
        <w:widowControl w:val="0"/>
        <w:numPr>
          <w:ilvl w:val="0"/>
          <w:numId w:val="1"/>
        </w:numPr>
        <w:kinsoku/>
        <w:wordWrap/>
        <w:overflowPunct/>
        <w:topLinePunct w:val="0"/>
        <w:autoSpaceDE/>
        <w:autoSpaceDN/>
        <w:bidi w:val="0"/>
        <w:adjustRightInd/>
        <w:snapToGrid/>
        <w:ind w:firstLine="643" w:firstLineChars="200"/>
        <w:rPr>
          <w:rFonts w:hint="eastAsia" w:ascii="仿宋" w:hAnsi="仿宋" w:eastAsia="仿宋" w:cs="仿宋"/>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绩效自评得分情况及绩效等级</w:t>
      </w:r>
    </w:p>
    <w:p w14:paraId="5D345089">
      <w:pPr>
        <w:pStyle w:val="2"/>
        <w:keepNext w:val="0"/>
        <w:keepLines w:val="0"/>
        <w:pageBreakBefore w:val="0"/>
        <w:widowControl w:val="0"/>
        <w:numPr>
          <w:ilvl w:val="0"/>
          <w:numId w:val="0"/>
        </w:numPr>
        <w:kinsoku/>
        <w:wordWrap/>
        <w:overflowPunct/>
        <w:topLinePunct w:val="0"/>
        <w:autoSpaceDE/>
        <w:autoSpaceDN/>
        <w:bidi w:val="0"/>
        <w:adjustRightInd/>
        <w:snapToGrid/>
        <w:ind w:firstLine="640" w:firstLineChars="200"/>
        <w:rPr>
          <w:rFonts w:hint="eastAsia" w:ascii="仿宋" w:hAnsi="仿宋" w:eastAsia="仿宋" w:cs="仿宋"/>
          <w:b w:val="0"/>
          <w:bCs w:val="0"/>
          <w:color w:val="auto"/>
          <w:sz w:val="32"/>
          <w:szCs w:val="32"/>
          <w:highlight w:val="none"/>
          <w:lang w:val="en-US" w:eastAsia="zh-CN"/>
        </w:rPr>
      </w:pPr>
      <w:r>
        <w:rPr>
          <w:rFonts w:hint="eastAsia" w:ascii="仿宋" w:hAnsi="仿宋" w:eastAsia="仿宋" w:cs="仿宋"/>
          <w:b w:val="0"/>
          <w:bCs w:val="0"/>
          <w:color w:val="auto"/>
          <w:sz w:val="32"/>
          <w:szCs w:val="32"/>
          <w:highlight w:val="none"/>
          <w:lang w:val="en-US" w:eastAsia="zh-CN"/>
        </w:rPr>
        <w:t>综合自评分95分，绩效等级为合格。</w:t>
      </w:r>
    </w:p>
    <w:p w14:paraId="2A304DCF">
      <w:pPr>
        <w:pStyle w:val="2"/>
        <w:keepNext w:val="0"/>
        <w:keepLines w:val="0"/>
        <w:pageBreakBefore w:val="0"/>
        <w:widowControl w:val="0"/>
        <w:numPr>
          <w:ilvl w:val="0"/>
          <w:numId w:val="0"/>
        </w:numPr>
        <w:kinsoku/>
        <w:wordWrap/>
        <w:overflowPunct/>
        <w:topLinePunct w:val="0"/>
        <w:autoSpaceDE/>
        <w:autoSpaceDN/>
        <w:bidi w:val="0"/>
        <w:adjustRightInd/>
        <w:snapToGrid/>
        <w:ind w:firstLine="643" w:firstLineChars="200"/>
        <w:rPr>
          <w:rFonts w:hint="default" w:ascii="仿宋" w:hAnsi="仿宋" w:eastAsia="仿宋" w:cs="仿宋"/>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二、部门基本情况</w:t>
      </w:r>
    </w:p>
    <w:p w14:paraId="73AD6758">
      <w:pPr>
        <w:pStyle w:val="2"/>
        <w:keepNext w:val="0"/>
        <w:keepLines w:val="0"/>
        <w:pageBreakBefore w:val="0"/>
        <w:widowControl w:val="0"/>
        <w:kinsoku/>
        <w:wordWrap/>
        <w:overflowPunct/>
        <w:topLinePunct w:val="0"/>
        <w:autoSpaceDE/>
        <w:autoSpaceDN/>
        <w:bidi w:val="0"/>
        <w:adjustRightInd/>
        <w:snapToGrid/>
        <w:ind w:firstLine="643" w:firstLineChars="200"/>
        <w:rPr>
          <w:rFonts w:hint="eastAsia" w:ascii="仿宋" w:hAnsi="仿宋" w:eastAsia="仿宋" w:cs="仿宋"/>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(一）部门概况</w:t>
      </w:r>
    </w:p>
    <w:p w14:paraId="12330AF1">
      <w:pPr>
        <w:pStyle w:val="2"/>
        <w:keepNext w:val="0"/>
        <w:keepLines w:val="0"/>
        <w:pageBreakBefore w:val="0"/>
        <w:widowControl w:val="0"/>
        <w:kinsoku/>
        <w:wordWrap/>
        <w:overflowPunct/>
        <w:topLinePunct w:val="0"/>
        <w:autoSpaceDE/>
        <w:autoSpaceDN/>
        <w:bidi w:val="0"/>
        <w:adjustRightInd/>
        <w:snapToGrid/>
        <w:ind w:firstLine="640" w:firstLineChars="200"/>
        <w:rPr>
          <w:rFonts w:hint="default" w:ascii="仿宋" w:hAnsi="仿宋" w:eastAsia="仿宋"/>
          <w:color w:val="000000"/>
          <w:sz w:val="32"/>
          <w:szCs w:val="32"/>
          <w:lang w:val="en-US" w:eastAsia="zh-CN"/>
        </w:rPr>
      </w:pPr>
      <w:r>
        <w:rPr>
          <w:rFonts w:hint="eastAsia" w:ascii="仿宋" w:hAnsi="仿宋" w:eastAsia="仿宋"/>
          <w:color w:val="000000"/>
          <w:sz w:val="32"/>
          <w:szCs w:val="32"/>
        </w:rPr>
        <w:t>隆尧县</w:t>
      </w:r>
      <w:r>
        <w:rPr>
          <w:rFonts w:hint="eastAsia" w:ascii="仿宋" w:hAnsi="仿宋" w:eastAsia="仿宋"/>
          <w:color w:val="000000"/>
          <w:sz w:val="32"/>
          <w:szCs w:val="32"/>
          <w:lang w:eastAsia="zh-CN"/>
        </w:rPr>
        <w:t>牛家桥乡人民政府</w:t>
      </w:r>
      <w:r>
        <w:rPr>
          <w:rFonts w:hint="eastAsia" w:ascii="仿宋" w:hAnsi="仿宋" w:eastAsia="仿宋"/>
          <w:color w:val="000000"/>
          <w:sz w:val="32"/>
          <w:szCs w:val="32"/>
        </w:rPr>
        <w:t>为</w:t>
      </w:r>
      <w:r>
        <w:rPr>
          <w:rFonts w:hint="eastAsia" w:ascii="仿宋" w:hAnsi="仿宋" w:eastAsia="仿宋"/>
          <w:color w:val="000000"/>
          <w:sz w:val="32"/>
          <w:szCs w:val="32"/>
          <w:lang w:eastAsia="zh-CN"/>
        </w:rPr>
        <w:t>乡</w:t>
      </w:r>
      <w:r>
        <w:rPr>
          <w:rFonts w:hint="eastAsia" w:ascii="仿宋" w:hAnsi="仿宋" w:eastAsia="仿宋"/>
          <w:color w:val="000000"/>
          <w:sz w:val="32"/>
          <w:szCs w:val="32"/>
        </w:rPr>
        <w:t>政府工作部门，机构规格正科级，</w:t>
      </w:r>
      <w:r>
        <w:rPr>
          <w:rFonts w:hint="eastAsia" w:ascii="仿宋" w:hAnsi="仿宋" w:eastAsia="仿宋"/>
          <w:color w:val="000000"/>
          <w:sz w:val="32"/>
          <w:szCs w:val="32"/>
          <w:lang w:eastAsia="zh-CN"/>
        </w:rPr>
        <w:t>一级预算单位，无下属单位，部门决算中包括乡政府和乡卫计办决算。行政编制</w:t>
      </w:r>
      <w:r>
        <w:rPr>
          <w:rFonts w:hint="eastAsia" w:ascii="仿宋" w:hAnsi="仿宋" w:eastAsia="仿宋"/>
          <w:color w:val="000000"/>
          <w:sz w:val="32"/>
          <w:szCs w:val="32"/>
          <w:lang w:val="en-US" w:eastAsia="zh-CN"/>
        </w:rPr>
        <w:t>24名，事业编制15人，经费开支形式为财政性资金基本保证经费。</w:t>
      </w:r>
    </w:p>
    <w:p w14:paraId="52C2DB9D">
      <w:pPr>
        <w:pStyle w:val="2"/>
        <w:keepNext w:val="0"/>
        <w:keepLines w:val="0"/>
        <w:pageBreakBefore w:val="0"/>
        <w:widowControl w:val="0"/>
        <w:kinsoku/>
        <w:wordWrap/>
        <w:overflowPunct/>
        <w:topLinePunct w:val="0"/>
        <w:autoSpaceDE/>
        <w:autoSpaceDN/>
        <w:bidi w:val="0"/>
        <w:adjustRightInd/>
        <w:snapToGrid/>
        <w:ind w:firstLine="602" w:firstLineChars="200"/>
        <w:rPr>
          <w:rFonts w:hint="eastAsia" w:ascii="仿宋" w:hAnsi="仿宋" w:eastAsia="仿宋" w:cs="仿宋"/>
          <w:b/>
          <w:bCs w:val="0"/>
          <w:color w:val="auto"/>
          <w:kern w:val="2"/>
          <w:sz w:val="30"/>
          <w:szCs w:val="30"/>
          <w:highlight w:val="none"/>
          <w:lang w:val="en-US" w:eastAsia="zh-CN" w:bidi="ar-SA"/>
        </w:rPr>
      </w:pPr>
      <w:r>
        <w:rPr>
          <w:rFonts w:hint="eastAsia" w:ascii="仿宋" w:hAnsi="仿宋" w:eastAsia="仿宋" w:cs="仿宋"/>
          <w:b/>
          <w:bCs w:val="0"/>
          <w:color w:val="auto"/>
          <w:kern w:val="2"/>
          <w:sz w:val="30"/>
          <w:szCs w:val="30"/>
          <w:highlight w:val="none"/>
          <w:lang w:val="en-US" w:eastAsia="zh-CN" w:bidi="ar-SA"/>
        </w:rPr>
        <w:t>（二）、乡政府主要职能</w:t>
      </w:r>
    </w:p>
    <w:p w14:paraId="2762E9BB">
      <w:pPr>
        <w:pStyle w:val="2"/>
        <w:keepNext w:val="0"/>
        <w:keepLines w:val="0"/>
        <w:pageBreakBefore w:val="0"/>
        <w:widowControl w:val="0"/>
        <w:kinsoku/>
        <w:wordWrap/>
        <w:overflowPunct/>
        <w:topLinePunct w:val="0"/>
        <w:autoSpaceDE/>
        <w:autoSpaceDN/>
        <w:bidi w:val="0"/>
        <w:adjustRightInd/>
        <w:snapToGrid/>
        <w:ind w:firstLine="640" w:firstLineChars="200"/>
        <w:rPr>
          <w:rFonts w:hint="eastAsia" w:ascii="仿宋" w:hAnsi="仿宋" w:eastAsia="仿宋" w:cs="仿宋"/>
          <w:color w:val="auto"/>
          <w:sz w:val="32"/>
          <w:szCs w:val="32"/>
          <w:highlight w:val="none"/>
          <w:lang w:eastAsia="zh-CN"/>
        </w:rPr>
      </w:pPr>
      <w:r>
        <w:rPr>
          <w:rFonts w:hint="eastAsia" w:ascii="仿宋" w:hAnsi="仿宋" w:eastAsia="仿宋" w:cs="仿宋"/>
          <w:b w:val="0"/>
          <w:bCs/>
          <w:color w:val="auto"/>
          <w:kern w:val="2"/>
          <w:sz w:val="32"/>
          <w:szCs w:val="32"/>
          <w:highlight w:val="none"/>
          <w:lang w:val="en-US" w:eastAsia="zh-CN" w:bidi="ar-SA"/>
        </w:rPr>
        <w:t>（</w:t>
      </w:r>
      <w:r>
        <w:rPr>
          <w:rFonts w:hint="eastAsia" w:ascii="仿宋" w:hAnsi="仿宋" w:eastAsia="仿宋" w:cs="仿宋"/>
          <w:color w:val="auto"/>
          <w:sz w:val="32"/>
          <w:szCs w:val="32"/>
          <w:highlight w:val="none"/>
          <w:lang w:eastAsia="zh-CN"/>
        </w:rPr>
        <w:t>1).贯彻执行国家的财政税收方针、政策，严格遵守财政法规和财经制度。（2).编制乡乡年度财政预算草案，督促乡乡严格执行预算，编制财政决算。（3).负责乡乡财政支出管理，贯彻“厉行节约，量入为出”的原则，进一步优化支出结构，集中财力，保证乡乡工资、正常运转和社会公共支出需要，确保乡乡财政收支平衡。（4).负责涉农资金的发放管理。（5).负责乡乡政府预算单位会计核算及村级账务代理工作，切实履行财政监督检查职能。（6).负责乡乡国有资产的购置、登记和处置管理，确保乡乡国有资产安全和保值、增值。（7).负责乡村债务管理，防范财政风险，切实采取措施化解乡村债务和防止发生新的不良债务。（8)．承办乡乡党委、政府和县财政局交办的其他事项。</w:t>
      </w:r>
    </w:p>
    <w:p w14:paraId="27BE5548">
      <w:pPr>
        <w:pStyle w:val="2"/>
        <w:keepNext w:val="0"/>
        <w:keepLines w:val="0"/>
        <w:pageBreakBefore w:val="0"/>
        <w:widowControl w:val="0"/>
        <w:kinsoku/>
        <w:wordWrap/>
        <w:overflowPunct/>
        <w:topLinePunct w:val="0"/>
        <w:autoSpaceDE/>
        <w:autoSpaceDN/>
        <w:bidi w:val="0"/>
        <w:adjustRightInd/>
        <w:snapToGrid/>
        <w:ind w:firstLine="602" w:firstLineChars="200"/>
        <w:rPr>
          <w:rFonts w:hint="eastAsia" w:ascii="仿宋" w:hAnsi="仿宋" w:eastAsia="仿宋" w:cs="仿宋"/>
          <w:b/>
          <w:bCs/>
          <w:color w:val="auto"/>
          <w:sz w:val="30"/>
          <w:szCs w:val="30"/>
          <w:highlight w:val="none"/>
          <w:lang w:val="en-US" w:eastAsia="zh-CN"/>
        </w:rPr>
      </w:pPr>
      <w:r>
        <w:rPr>
          <w:rFonts w:hint="eastAsia" w:ascii="仿宋" w:hAnsi="仿宋" w:eastAsia="仿宋" w:cs="仿宋"/>
          <w:b/>
          <w:bCs/>
          <w:color w:val="auto"/>
          <w:sz w:val="30"/>
          <w:szCs w:val="30"/>
          <w:highlight w:val="none"/>
          <w:lang w:eastAsia="zh-CN"/>
        </w:rPr>
        <w:t>（三）、部门绩效目标情况</w:t>
      </w:r>
    </w:p>
    <w:p w14:paraId="0CBEE955">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（1）预算绩效管理开展及整体绩效实现情况。</w:t>
      </w:r>
      <w:r>
        <w:rPr>
          <w:rFonts w:hint="eastAsia" w:ascii="仿宋" w:hAnsi="仿宋" w:eastAsia="仿宋"/>
          <w:color w:val="000000"/>
          <w:sz w:val="32"/>
          <w:szCs w:val="32"/>
          <w:lang w:eastAsia="zh-CN"/>
        </w:rPr>
        <w:t>牛家桥乡共有</w:t>
      </w:r>
      <w:r>
        <w:rPr>
          <w:rFonts w:hint="eastAsia" w:ascii="仿宋" w:hAnsi="仿宋" w:eastAsia="仿宋"/>
          <w:color w:val="000000"/>
          <w:sz w:val="32"/>
          <w:szCs w:val="32"/>
          <w:lang w:val="en-US" w:eastAsia="zh-CN"/>
        </w:rPr>
        <w:t>15个行政村</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2019年我乡总体</w:t>
      </w:r>
      <w:r>
        <w:rPr>
          <w:rFonts w:hint="eastAsia" w:ascii="仿宋" w:hAnsi="仿宋" w:eastAsia="仿宋" w:cs="仿宋"/>
          <w:sz w:val="32"/>
          <w:szCs w:val="32"/>
        </w:rPr>
        <w:t>预期目标是：全</w:t>
      </w:r>
      <w:r>
        <w:rPr>
          <w:rFonts w:hint="eastAsia" w:ascii="仿宋" w:hAnsi="仿宋" w:eastAsia="仿宋" w:cs="仿宋"/>
          <w:sz w:val="32"/>
          <w:szCs w:val="32"/>
          <w:lang w:eastAsia="zh-CN"/>
        </w:rPr>
        <w:t>乡</w:t>
      </w:r>
      <w:r>
        <w:rPr>
          <w:rFonts w:hint="eastAsia" w:ascii="仿宋" w:hAnsi="仿宋" w:eastAsia="仿宋" w:cs="仿宋"/>
          <w:sz w:val="32"/>
          <w:szCs w:val="32"/>
        </w:rPr>
        <w:t>生产总值年均递增8%以上，财政总收入年均递增9%以上，全</w:t>
      </w:r>
      <w:r>
        <w:rPr>
          <w:rFonts w:hint="eastAsia" w:ascii="仿宋" w:hAnsi="仿宋" w:eastAsia="仿宋" w:cs="仿宋"/>
          <w:sz w:val="32"/>
          <w:szCs w:val="32"/>
          <w:lang w:eastAsia="zh-CN"/>
        </w:rPr>
        <w:t>乡</w:t>
      </w:r>
      <w:r>
        <w:rPr>
          <w:rFonts w:hint="eastAsia" w:ascii="仿宋" w:hAnsi="仿宋" w:eastAsia="仿宋" w:cs="仿宋"/>
          <w:sz w:val="32"/>
          <w:szCs w:val="32"/>
        </w:rPr>
        <w:t>固定资产投资年均递增10%以上。全</w:t>
      </w:r>
      <w:r>
        <w:rPr>
          <w:rFonts w:hint="eastAsia" w:ascii="仿宋" w:hAnsi="仿宋" w:eastAsia="仿宋" w:cs="仿宋"/>
          <w:sz w:val="32"/>
          <w:szCs w:val="32"/>
          <w:lang w:eastAsia="zh-CN"/>
        </w:rPr>
        <w:t>乡</w:t>
      </w:r>
      <w:r>
        <w:rPr>
          <w:rFonts w:hint="eastAsia" w:ascii="仿宋" w:hAnsi="仿宋" w:eastAsia="仿宋" w:cs="仿宋"/>
          <w:sz w:val="32"/>
          <w:szCs w:val="32"/>
        </w:rPr>
        <w:t>综合经济实力进一步增强，社会事业全面进步，人民生活水平明显提高，环境质量进一步优化。</w:t>
      </w:r>
      <w:r>
        <w:rPr>
          <w:rFonts w:hint="eastAsia" w:ascii="仿宋" w:hAnsi="仿宋" w:eastAsia="仿宋" w:cs="仿宋"/>
          <w:sz w:val="32"/>
          <w:szCs w:val="32"/>
          <w:lang w:eastAsia="zh-CN"/>
        </w:rPr>
        <w:t>对</w:t>
      </w:r>
      <w:r>
        <w:rPr>
          <w:rFonts w:hint="eastAsia" w:ascii="仿宋" w:hAnsi="仿宋" w:eastAsia="仿宋" w:cs="仿宋"/>
          <w:sz w:val="32"/>
          <w:szCs w:val="32"/>
          <w:lang w:val="en-US" w:eastAsia="zh-CN"/>
        </w:rPr>
        <w:t>2019年牛家桥乡预算项目的经济性、效率性和效益性进行客观、公正的评价，提高财政资金使用效益，增强预算绩效管理观念。</w:t>
      </w:r>
    </w:p>
    <w:p w14:paraId="728E881D">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eastAsia" w:ascii="仿宋" w:hAnsi="仿宋" w:eastAsia="仿宋"/>
          <w:color w:val="000000"/>
          <w:sz w:val="32"/>
          <w:szCs w:val="32"/>
        </w:rPr>
      </w:pPr>
      <w:r>
        <w:rPr>
          <w:rFonts w:hint="eastAsia" w:ascii="仿宋" w:hAnsi="仿宋" w:eastAsia="仿宋" w:cs="仿宋"/>
          <w:sz w:val="32"/>
          <w:szCs w:val="32"/>
          <w:lang w:val="en-US" w:eastAsia="zh-CN"/>
        </w:rPr>
        <w:t>（2）绩效评价的组织实施情况。</w:t>
      </w:r>
      <w:r>
        <w:rPr>
          <w:rFonts w:hint="eastAsia" w:ascii="仿宋" w:hAnsi="仿宋" w:eastAsia="仿宋"/>
          <w:color w:val="000000"/>
          <w:sz w:val="32"/>
          <w:szCs w:val="32"/>
        </w:rPr>
        <w:t>隆尧县牛家桥乡人民政府根据项目情况设置项目设定2个产出指标：违法占地清理工作中产生的工作开支比率(%)（评价标准：100%以上为“优”、90%-99%以上为“良”、80%-89%以上为“中”、80%以下为“差”）和违法占地清理工作的覆盖率(%)（评价标准：9：100%以上为“优”、90%-99%以上为“良”、80%-89%以上为“中”、80%以下为“差”）；设定1个效果指标：土地是否得到保障(%)（评价标准：9：100%以上为“优”、90%-99%以上为“良”、80%-89%以上为“中”、80%以下为“差”）绩效目标指向不明确、细化不充分，项目执行过程有效约束不够，绩效指标体系设计有待完善。</w:t>
      </w:r>
    </w:p>
    <w:p w14:paraId="3B04A1F7">
      <w:pPr>
        <w:pStyle w:val="2"/>
        <w:keepNext w:val="0"/>
        <w:keepLines w:val="0"/>
        <w:pageBreakBefore w:val="0"/>
        <w:widowControl w:val="0"/>
        <w:kinsoku/>
        <w:wordWrap/>
        <w:overflowPunct/>
        <w:topLinePunct w:val="0"/>
        <w:autoSpaceDE/>
        <w:autoSpaceDN/>
        <w:bidi w:val="0"/>
        <w:adjustRightInd/>
        <w:snapToGrid/>
        <w:ind w:firstLine="562" w:firstLineChars="200"/>
        <w:rPr>
          <w:rFonts w:hint="eastAsia"/>
          <w:b/>
          <w:bCs/>
          <w:color w:val="auto"/>
          <w:lang w:eastAsia="zh-CN"/>
        </w:rPr>
      </w:pPr>
      <w:r>
        <w:rPr>
          <w:rFonts w:hint="eastAsia"/>
          <w:b/>
          <w:bCs/>
          <w:color w:val="auto"/>
          <w:lang w:eastAsia="zh-CN"/>
        </w:rPr>
        <w:t>（四）、支出情况</w:t>
      </w:r>
    </w:p>
    <w:p w14:paraId="155E656A">
      <w:pPr>
        <w:keepNext w:val="0"/>
        <w:keepLines w:val="0"/>
        <w:pageBreakBefore w:val="0"/>
        <w:widowControl w:val="0"/>
        <w:kinsoku/>
        <w:wordWrap/>
        <w:overflowPunct/>
        <w:topLinePunct w:val="0"/>
        <w:autoSpaceDE/>
        <w:autoSpaceDN/>
        <w:bidi w:val="0"/>
        <w:adjustRightInd/>
        <w:snapToGrid/>
        <w:spacing w:line="620" w:lineRule="exact"/>
        <w:ind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本年收入总计</w:t>
      </w:r>
      <w:r>
        <w:rPr>
          <w:rFonts w:hint="eastAsia" w:ascii="仿宋" w:hAnsi="仿宋" w:eastAsia="仿宋" w:cs="仿宋"/>
          <w:color w:val="auto"/>
          <w:sz w:val="32"/>
          <w:szCs w:val="32"/>
          <w:lang w:val="en-US" w:eastAsia="zh-CN"/>
        </w:rPr>
        <w:t>909.64</w:t>
      </w:r>
      <w:r>
        <w:rPr>
          <w:rFonts w:hint="eastAsia" w:ascii="仿宋" w:hAnsi="仿宋" w:eastAsia="仿宋" w:cs="仿宋"/>
          <w:color w:val="auto"/>
          <w:sz w:val="32"/>
          <w:szCs w:val="32"/>
        </w:rPr>
        <w:t>万元，其中项目收入</w:t>
      </w:r>
      <w:r>
        <w:rPr>
          <w:rFonts w:hint="eastAsia" w:ascii="仿宋" w:hAnsi="仿宋" w:eastAsia="仿宋" w:cs="仿宋"/>
          <w:color w:val="auto"/>
          <w:sz w:val="32"/>
          <w:szCs w:val="32"/>
          <w:lang w:val="en-US" w:eastAsia="zh-CN"/>
        </w:rPr>
        <w:t>475.8</w:t>
      </w:r>
      <w:r>
        <w:rPr>
          <w:rFonts w:hint="eastAsia" w:ascii="仿宋" w:hAnsi="仿宋" w:eastAsia="仿宋" w:cs="仿宋"/>
          <w:color w:val="auto"/>
          <w:sz w:val="32"/>
          <w:szCs w:val="32"/>
        </w:rPr>
        <w:t>万元，占总收入的</w:t>
      </w:r>
      <w:r>
        <w:rPr>
          <w:rFonts w:hint="eastAsia" w:ascii="仿宋" w:hAnsi="仿宋" w:eastAsia="仿宋" w:cs="仿宋"/>
          <w:color w:val="auto"/>
          <w:sz w:val="32"/>
          <w:szCs w:val="32"/>
          <w:lang w:val="en-US" w:eastAsia="zh-CN"/>
        </w:rPr>
        <w:t>52.3</w:t>
      </w:r>
      <w:r>
        <w:rPr>
          <w:rFonts w:hint="eastAsia" w:ascii="仿宋" w:hAnsi="仿宋" w:eastAsia="仿宋" w:cs="仿宋"/>
          <w:color w:val="auto"/>
          <w:sz w:val="32"/>
          <w:szCs w:val="32"/>
        </w:rPr>
        <w:t>%；本年支出合计</w:t>
      </w:r>
      <w:r>
        <w:rPr>
          <w:rFonts w:hint="eastAsia" w:ascii="仿宋" w:hAnsi="仿宋" w:eastAsia="仿宋" w:cs="仿宋"/>
          <w:color w:val="auto"/>
          <w:sz w:val="32"/>
          <w:szCs w:val="32"/>
          <w:lang w:val="en-US" w:eastAsia="zh-CN"/>
        </w:rPr>
        <w:t>874.32</w:t>
      </w:r>
      <w:r>
        <w:rPr>
          <w:rFonts w:hint="eastAsia" w:ascii="仿宋" w:hAnsi="仿宋" w:eastAsia="仿宋" w:cs="仿宋"/>
          <w:color w:val="auto"/>
          <w:sz w:val="32"/>
          <w:szCs w:val="32"/>
        </w:rPr>
        <w:t>万元，其中一般公共预算拨款支出</w:t>
      </w:r>
      <w:r>
        <w:rPr>
          <w:rFonts w:hint="eastAsia" w:ascii="仿宋" w:hAnsi="仿宋" w:eastAsia="仿宋" w:cs="仿宋"/>
          <w:color w:val="auto"/>
          <w:sz w:val="32"/>
          <w:szCs w:val="32"/>
          <w:lang w:val="en-US" w:eastAsia="zh-CN"/>
        </w:rPr>
        <w:t>757.89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占</w:t>
      </w:r>
      <w:r>
        <w:rPr>
          <w:rFonts w:hint="eastAsia" w:ascii="仿宋" w:hAnsi="仿宋" w:eastAsia="仿宋" w:cs="仿宋"/>
          <w:color w:val="auto"/>
          <w:sz w:val="32"/>
          <w:szCs w:val="32"/>
        </w:rPr>
        <w:t>总支出的</w:t>
      </w:r>
      <w:r>
        <w:rPr>
          <w:rFonts w:hint="eastAsia" w:ascii="仿宋" w:hAnsi="仿宋" w:eastAsia="仿宋" w:cs="仿宋"/>
          <w:color w:val="auto"/>
          <w:sz w:val="32"/>
          <w:szCs w:val="32"/>
          <w:lang w:val="en-US" w:eastAsia="zh-CN"/>
        </w:rPr>
        <w:t>86.68</w:t>
      </w:r>
      <w:r>
        <w:rPr>
          <w:rFonts w:hint="eastAsia" w:ascii="仿宋" w:hAnsi="仿宋" w:eastAsia="仿宋" w:cs="仿宋"/>
          <w:color w:val="auto"/>
          <w:sz w:val="32"/>
          <w:szCs w:val="32"/>
        </w:rPr>
        <w:t>%，政府性基金支出</w:t>
      </w:r>
      <w:r>
        <w:rPr>
          <w:rFonts w:hint="eastAsia" w:ascii="仿宋" w:hAnsi="仿宋" w:eastAsia="仿宋" w:cs="仿宋"/>
          <w:color w:val="auto"/>
          <w:sz w:val="32"/>
          <w:szCs w:val="32"/>
          <w:lang w:val="en-US" w:eastAsia="zh-CN"/>
        </w:rPr>
        <w:t>116.43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，占</w:t>
      </w:r>
      <w:r>
        <w:rPr>
          <w:rFonts w:hint="eastAsia" w:ascii="仿宋" w:hAnsi="仿宋" w:eastAsia="仿宋" w:cs="仿宋"/>
          <w:color w:val="auto"/>
          <w:sz w:val="32"/>
          <w:szCs w:val="32"/>
        </w:rPr>
        <w:t>总支出的</w:t>
      </w:r>
      <w:r>
        <w:rPr>
          <w:rFonts w:hint="eastAsia" w:ascii="仿宋" w:hAnsi="仿宋" w:eastAsia="仿宋" w:cs="仿宋"/>
          <w:color w:val="auto"/>
          <w:sz w:val="32"/>
          <w:szCs w:val="32"/>
          <w:lang w:val="en-US" w:eastAsia="zh-CN"/>
        </w:rPr>
        <w:t>13.32</w:t>
      </w:r>
      <w:r>
        <w:rPr>
          <w:rFonts w:hint="eastAsia" w:ascii="仿宋" w:hAnsi="仿宋" w:eastAsia="仿宋" w:cs="仿宋"/>
          <w:color w:val="auto"/>
          <w:sz w:val="32"/>
          <w:szCs w:val="32"/>
        </w:rPr>
        <w:t>%。一般公共预算拨款支出中基本支出</w:t>
      </w:r>
      <w:r>
        <w:rPr>
          <w:rFonts w:hint="eastAsia" w:ascii="仿宋" w:hAnsi="仿宋" w:eastAsia="仿宋" w:cs="仿宋"/>
          <w:color w:val="auto"/>
          <w:sz w:val="32"/>
          <w:szCs w:val="32"/>
          <w:lang w:val="en-US" w:eastAsia="zh-CN"/>
        </w:rPr>
        <w:t>417.29</w:t>
      </w:r>
      <w:r>
        <w:rPr>
          <w:rFonts w:hint="eastAsia" w:ascii="仿宋" w:hAnsi="仿宋" w:eastAsia="仿宋" w:cs="仿宋"/>
          <w:color w:val="auto"/>
          <w:sz w:val="32"/>
          <w:szCs w:val="32"/>
        </w:rPr>
        <w:t>万元，占总支出的</w:t>
      </w:r>
      <w:r>
        <w:rPr>
          <w:rFonts w:hint="eastAsia" w:ascii="仿宋" w:hAnsi="仿宋" w:eastAsia="仿宋" w:cs="仿宋"/>
          <w:color w:val="auto"/>
          <w:sz w:val="32"/>
          <w:szCs w:val="32"/>
          <w:lang w:val="en-US" w:eastAsia="zh-CN"/>
        </w:rPr>
        <w:t>55.06</w:t>
      </w:r>
      <w:r>
        <w:rPr>
          <w:rFonts w:hint="eastAsia" w:ascii="仿宋" w:hAnsi="仿宋" w:eastAsia="仿宋" w:cs="仿宋"/>
          <w:color w:val="auto"/>
          <w:sz w:val="32"/>
          <w:szCs w:val="32"/>
        </w:rPr>
        <w:t>%；项目支出</w:t>
      </w:r>
      <w:r>
        <w:rPr>
          <w:rFonts w:hint="eastAsia" w:ascii="仿宋" w:hAnsi="仿宋" w:eastAsia="仿宋" w:cs="仿宋"/>
          <w:color w:val="auto"/>
          <w:sz w:val="32"/>
          <w:szCs w:val="32"/>
          <w:lang w:val="en-US" w:eastAsia="zh-CN"/>
        </w:rPr>
        <w:t>340.6</w:t>
      </w:r>
      <w:r>
        <w:rPr>
          <w:rFonts w:hint="eastAsia" w:ascii="仿宋" w:hAnsi="仿宋" w:eastAsia="仿宋" w:cs="仿宋"/>
          <w:color w:val="auto"/>
          <w:sz w:val="32"/>
          <w:szCs w:val="32"/>
        </w:rPr>
        <w:t>万元，占总支出的</w:t>
      </w:r>
      <w:r>
        <w:rPr>
          <w:rFonts w:hint="eastAsia" w:ascii="仿宋" w:hAnsi="仿宋" w:eastAsia="仿宋" w:cs="仿宋"/>
          <w:color w:val="auto"/>
          <w:sz w:val="32"/>
          <w:szCs w:val="32"/>
          <w:lang w:val="en-US" w:eastAsia="zh-CN"/>
        </w:rPr>
        <w:t>44.94</w:t>
      </w:r>
      <w:r>
        <w:rPr>
          <w:rFonts w:hint="eastAsia" w:ascii="仿宋" w:hAnsi="仿宋" w:eastAsia="仿宋" w:cs="仿宋"/>
          <w:color w:val="auto"/>
          <w:sz w:val="32"/>
          <w:szCs w:val="32"/>
        </w:rPr>
        <w:t>%。</w:t>
      </w:r>
    </w:p>
    <w:p w14:paraId="3E877F64">
      <w:pPr>
        <w:keepNext w:val="0"/>
        <w:keepLines w:val="0"/>
        <w:pageBreakBefore w:val="0"/>
        <w:widowControl w:val="0"/>
        <w:kinsoku/>
        <w:wordWrap/>
        <w:overflowPunct/>
        <w:topLinePunct w:val="0"/>
        <w:autoSpaceDE/>
        <w:autoSpaceDN/>
        <w:bidi w:val="0"/>
        <w:adjustRightInd/>
        <w:snapToGrid/>
        <w:spacing w:line="620"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三、绩效自评工作情况</w:t>
      </w:r>
    </w:p>
    <w:p w14:paraId="7109700F">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（一）绩效自评目的</w:t>
      </w:r>
    </w:p>
    <w:p w14:paraId="21F4A219">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保证政府日常开支的正常运转，以及</w:t>
      </w:r>
      <w:r>
        <w:rPr>
          <w:rFonts w:hint="eastAsia" w:ascii="仿宋" w:hAnsi="仿宋" w:eastAsia="仿宋" w:cs="仿宋"/>
          <w:sz w:val="32"/>
          <w:szCs w:val="32"/>
          <w:lang w:val="en-US" w:eastAsia="zh-CN"/>
        </w:rPr>
        <w:t>单位人员</w:t>
      </w:r>
      <w:r>
        <w:rPr>
          <w:rFonts w:hint="eastAsia" w:ascii="仿宋" w:hAnsi="仿宋" w:eastAsia="仿宋" w:cs="仿宋"/>
          <w:sz w:val="32"/>
          <w:szCs w:val="32"/>
        </w:rPr>
        <w:t>日常报销不受影响，确保政府各项工作的顺利进行；同时保证</w:t>
      </w:r>
      <w:r>
        <w:rPr>
          <w:rFonts w:hint="eastAsia" w:ascii="仿宋" w:hAnsi="仿宋" w:eastAsia="仿宋" w:cs="仿宋"/>
          <w:sz w:val="32"/>
          <w:szCs w:val="32"/>
          <w:lang w:eastAsia="zh-CN"/>
        </w:rPr>
        <w:t>东良</w:t>
      </w:r>
      <w:r>
        <w:rPr>
          <w:rFonts w:hint="eastAsia" w:ascii="仿宋" w:hAnsi="仿宋" w:eastAsia="仿宋" w:cs="仿宋"/>
          <w:sz w:val="32"/>
          <w:szCs w:val="32"/>
        </w:rPr>
        <w:t>镇各项目建设的有推进，带动全镇经济平稳较快发展的重要工作来落实，按照“统筹规划、分级负责、因地制宜、确保质量”的原则，通过项目实施加大农村建设力度，使我镇各项基础设施建设再上一个新的台阶。</w:t>
      </w:r>
    </w:p>
    <w:p w14:paraId="588FE702">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（二）评价情况分析及综合评价结论                          </w:t>
      </w:r>
    </w:p>
    <w:p w14:paraId="46C41656">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b w:val="0"/>
          <w:bCs w:val="0"/>
          <w:color w:val="auto"/>
          <w:sz w:val="32"/>
          <w:szCs w:val="32"/>
        </w:rPr>
      </w:pPr>
      <w:r>
        <w:rPr>
          <w:rFonts w:hint="eastAsia" w:ascii="仿宋" w:hAnsi="仿宋" w:eastAsia="仿宋" w:cs="仿宋"/>
          <w:sz w:val="32"/>
          <w:szCs w:val="32"/>
        </w:rPr>
        <w:t>绩效目标完成情况：</w:t>
      </w:r>
      <w:r>
        <w:rPr>
          <w:rFonts w:hint="eastAsia" w:ascii="仿宋" w:hAnsi="仿宋" w:eastAsia="仿宋" w:cs="仿宋"/>
          <w:b w:val="0"/>
          <w:bCs w:val="0"/>
          <w:color w:val="auto"/>
          <w:sz w:val="32"/>
          <w:szCs w:val="32"/>
        </w:rPr>
        <w:t>我们对</w:t>
      </w:r>
      <w:r>
        <w:rPr>
          <w:rFonts w:hint="eastAsia" w:ascii="仿宋" w:hAnsi="仿宋" w:eastAsia="仿宋" w:cs="仿宋"/>
          <w:b w:val="0"/>
          <w:bCs w:val="0"/>
          <w:color w:val="auto"/>
          <w:sz w:val="32"/>
          <w:szCs w:val="32"/>
          <w:lang w:eastAsia="zh-CN"/>
        </w:rPr>
        <w:t>2019</w:t>
      </w:r>
      <w:r>
        <w:rPr>
          <w:rFonts w:hint="eastAsia" w:ascii="仿宋" w:hAnsi="仿宋" w:eastAsia="仿宋" w:cs="仿宋"/>
          <w:b w:val="0"/>
          <w:bCs w:val="0"/>
          <w:color w:val="auto"/>
          <w:sz w:val="32"/>
          <w:szCs w:val="32"/>
        </w:rPr>
        <w:t>年项目开展了绩效评价，预算金额</w:t>
      </w:r>
      <w:r>
        <w:rPr>
          <w:rFonts w:hint="eastAsia" w:ascii="仿宋" w:hAnsi="仿宋" w:eastAsia="仿宋" w:cs="仿宋"/>
          <w:b w:val="0"/>
          <w:bCs w:val="0"/>
          <w:color w:val="auto"/>
          <w:sz w:val="32"/>
          <w:szCs w:val="32"/>
          <w:lang w:val="en-US" w:eastAsia="zh-CN"/>
        </w:rPr>
        <w:t>909.64</w:t>
      </w:r>
      <w:r>
        <w:rPr>
          <w:rFonts w:hint="eastAsia" w:ascii="仿宋" w:hAnsi="仿宋" w:eastAsia="仿宋" w:cs="仿宋"/>
          <w:b w:val="0"/>
          <w:bCs w:val="0"/>
          <w:color w:val="auto"/>
          <w:sz w:val="32"/>
          <w:szCs w:val="32"/>
        </w:rPr>
        <w:t>万元，全年实际支出金额</w:t>
      </w:r>
      <w:r>
        <w:rPr>
          <w:rFonts w:hint="eastAsia" w:ascii="仿宋" w:hAnsi="仿宋" w:eastAsia="仿宋" w:cs="仿宋"/>
          <w:b w:val="0"/>
          <w:bCs w:val="0"/>
          <w:color w:val="auto"/>
          <w:sz w:val="32"/>
          <w:szCs w:val="32"/>
          <w:lang w:val="en-US" w:eastAsia="zh-CN"/>
        </w:rPr>
        <w:t>874.32</w:t>
      </w:r>
      <w:r>
        <w:rPr>
          <w:rFonts w:hint="eastAsia" w:ascii="仿宋" w:hAnsi="仿宋" w:eastAsia="仿宋" w:cs="仿宋"/>
          <w:b w:val="0"/>
          <w:bCs w:val="0"/>
          <w:color w:val="auto"/>
          <w:sz w:val="32"/>
          <w:szCs w:val="32"/>
        </w:rPr>
        <w:t>万元，预算执行率</w:t>
      </w:r>
      <w:r>
        <w:rPr>
          <w:rFonts w:hint="eastAsia" w:ascii="仿宋" w:hAnsi="仿宋" w:eastAsia="仿宋" w:cs="仿宋"/>
          <w:b w:val="0"/>
          <w:bCs w:val="0"/>
          <w:color w:val="auto"/>
          <w:sz w:val="32"/>
          <w:szCs w:val="32"/>
          <w:lang w:val="en-US" w:eastAsia="zh-CN"/>
        </w:rPr>
        <w:t>96.12</w:t>
      </w:r>
      <w:r>
        <w:rPr>
          <w:rFonts w:hint="eastAsia" w:ascii="仿宋" w:hAnsi="仿宋" w:eastAsia="仿宋" w:cs="仿宋"/>
          <w:b w:val="0"/>
          <w:bCs w:val="0"/>
          <w:color w:val="auto"/>
          <w:sz w:val="32"/>
          <w:szCs w:val="32"/>
        </w:rPr>
        <w:t>％。</w:t>
      </w:r>
    </w:p>
    <w:p w14:paraId="2BD0F373">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从评价情况来看，我单位支出绩效水平较高，整体完成了年初设定的绩效目标，保障了本单位各部门的正常运转，促进了</w:t>
      </w:r>
      <w:r>
        <w:rPr>
          <w:rFonts w:hint="eastAsia" w:ascii="仿宋" w:hAnsi="仿宋" w:eastAsia="仿宋" w:cs="仿宋"/>
          <w:sz w:val="32"/>
          <w:szCs w:val="32"/>
          <w:lang w:eastAsia="zh-CN"/>
        </w:rPr>
        <w:t>东良</w:t>
      </w:r>
      <w:r>
        <w:rPr>
          <w:rFonts w:hint="eastAsia" w:ascii="仿宋" w:hAnsi="仿宋" w:eastAsia="仿宋" w:cs="仿宋"/>
          <w:sz w:val="32"/>
          <w:szCs w:val="32"/>
        </w:rPr>
        <w:t>镇整体经济的平稳发展，充分发挥了财政资金的经济效益和社会效益。</w:t>
      </w:r>
    </w:p>
    <w:p w14:paraId="4400F55A">
      <w:pPr>
        <w:pStyle w:val="2"/>
        <w:keepNext w:val="0"/>
        <w:keepLines w:val="0"/>
        <w:pageBreakBefore w:val="0"/>
        <w:widowControl w:val="0"/>
        <w:kinsoku/>
        <w:wordWrap/>
        <w:overflowPunct/>
        <w:topLinePunct w:val="0"/>
        <w:autoSpaceDE/>
        <w:autoSpaceDN/>
        <w:bidi w:val="0"/>
        <w:adjustRightInd/>
        <w:snapToGrid/>
        <w:ind w:firstLine="560" w:firstLineChars="200"/>
        <w:rPr>
          <w:rFonts w:hint="eastAsia"/>
        </w:rPr>
      </w:pPr>
    </w:p>
    <w:p w14:paraId="5E7DEB55">
      <w:pPr>
        <w:keepNext w:val="0"/>
        <w:keepLines w:val="0"/>
        <w:pageBreakBefore w:val="0"/>
        <w:widowControl w:val="0"/>
        <w:kinsoku/>
        <w:wordWrap/>
        <w:overflowPunct/>
        <w:topLinePunct w:val="0"/>
        <w:autoSpaceDE/>
        <w:autoSpaceDN/>
        <w:bidi w:val="0"/>
        <w:adjustRightInd/>
        <w:snapToGrid/>
        <w:spacing w:line="560" w:lineRule="exact"/>
        <w:ind w:firstLine="643" w:firstLineChars="200"/>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四、存在问题及改进方向</w:t>
      </w:r>
    </w:p>
    <w:p w14:paraId="2DE8BE4D">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eastAsia" w:ascii="仿宋" w:hAnsi="仿宋" w:eastAsia="仿宋"/>
          <w:color w:val="000000"/>
          <w:sz w:val="32"/>
          <w:szCs w:val="32"/>
        </w:rPr>
      </w:pPr>
      <w:r>
        <w:rPr>
          <w:rFonts w:hint="eastAsia" w:ascii="仿宋" w:hAnsi="仿宋" w:eastAsia="仿宋" w:cs="仿宋"/>
          <w:sz w:val="32"/>
          <w:szCs w:val="32"/>
          <w:lang w:val="en-US" w:eastAsia="zh-CN"/>
        </w:rPr>
        <w:t>存在问题、采取的纠偏措施及改进绩效管理建议。</w:t>
      </w:r>
      <w:r>
        <w:rPr>
          <w:rFonts w:hint="eastAsia" w:ascii="仿宋" w:hAnsi="仿宋" w:eastAsia="仿宋"/>
          <w:color w:val="000000"/>
          <w:sz w:val="32"/>
          <w:szCs w:val="32"/>
        </w:rPr>
        <w:t>本次绩效评价工作实施中发现，</w:t>
      </w:r>
      <w:r>
        <w:rPr>
          <w:rFonts w:hint="eastAsia" w:ascii="仿宋" w:hAnsi="仿宋" w:eastAsia="仿宋"/>
          <w:color w:val="000000"/>
          <w:sz w:val="32"/>
          <w:szCs w:val="32"/>
          <w:lang w:eastAsia="zh-CN"/>
        </w:rPr>
        <w:t>部门各类</w:t>
      </w:r>
      <w:r>
        <w:rPr>
          <w:rFonts w:hint="eastAsia" w:ascii="仿宋" w:hAnsi="仿宋" w:eastAsia="仿宋"/>
          <w:color w:val="000000"/>
          <w:sz w:val="32"/>
          <w:szCs w:val="32"/>
        </w:rPr>
        <w:t>项目基本符合规定，</w:t>
      </w:r>
      <w:r>
        <w:rPr>
          <w:rFonts w:hint="eastAsia" w:ascii="仿宋" w:hAnsi="仿宋" w:eastAsia="仿宋"/>
          <w:color w:val="000000"/>
          <w:sz w:val="32"/>
          <w:szCs w:val="32"/>
          <w:lang w:eastAsia="zh-CN"/>
        </w:rPr>
        <w:t>各类</w:t>
      </w:r>
      <w:r>
        <w:rPr>
          <w:rFonts w:hint="eastAsia" w:ascii="仿宋" w:hAnsi="仿宋" w:eastAsia="仿宋"/>
          <w:color w:val="000000"/>
          <w:sz w:val="32"/>
          <w:szCs w:val="32"/>
        </w:rPr>
        <w:t>项目资金的支付，在调查全</w:t>
      </w:r>
      <w:r>
        <w:rPr>
          <w:rFonts w:hint="eastAsia" w:ascii="仿宋" w:hAnsi="仿宋" w:eastAsia="仿宋"/>
          <w:color w:val="000000"/>
          <w:sz w:val="32"/>
          <w:szCs w:val="32"/>
          <w:lang w:eastAsia="zh-CN"/>
        </w:rPr>
        <w:t>乡</w:t>
      </w:r>
      <w:r>
        <w:rPr>
          <w:rFonts w:hint="eastAsia" w:ascii="仿宋" w:hAnsi="仿宋" w:eastAsia="仿宋"/>
          <w:color w:val="000000"/>
          <w:sz w:val="32"/>
          <w:szCs w:val="32"/>
        </w:rPr>
        <w:t>状况</w:t>
      </w:r>
      <w:r>
        <w:rPr>
          <w:rFonts w:hint="eastAsia" w:ascii="仿宋" w:hAnsi="仿宋" w:eastAsia="仿宋"/>
          <w:color w:val="000000"/>
          <w:sz w:val="32"/>
          <w:szCs w:val="32"/>
          <w:lang w:eastAsia="zh-CN"/>
        </w:rPr>
        <w:t>后</w:t>
      </w:r>
      <w:r>
        <w:rPr>
          <w:rFonts w:hint="eastAsia" w:ascii="仿宋" w:hAnsi="仿宋" w:eastAsia="仿宋"/>
          <w:color w:val="000000"/>
          <w:sz w:val="32"/>
          <w:szCs w:val="32"/>
        </w:rPr>
        <w:t>，掌握真实准确的基础数据，完善</w:t>
      </w:r>
      <w:r>
        <w:rPr>
          <w:rFonts w:hint="eastAsia" w:ascii="仿宋" w:hAnsi="仿宋" w:eastAsia="仿宋"/>
          <w:color w:val="000000"/>
          <w:sz w:val="32"/>
          <w:szCs w:val="32"/>
          <w:lang w:eastAsia="zh-CN"/>
        </w:rPr>
        <w:t>乡内</w:t>
      </w:r>
      <w:r>
        <w:rPr>
          <w:rFonts w:hint="eastAsia" w:ascii="仿宋" w:hAnsi="仿宋" w:eastAsia="仿宋"/>
          <w:color w:val="000000"/>
          <w:sz w:val="32"/>
          <w:szCs w:val="32"/>
        </w:rPr>
        <w:t>调查、监测和统计制度等方面发挥了作用，隆尧县</w:t>
      </w:r>
      <w:r>
        <w:rPr>
          <w:rFonts w:hint="eastAsia" w:ascii="仿宋" w:hAnsi="仿宋" w:eastAsia="仿宋"/>
          <w:color w:val="000000"/>
          <w:sz w:val="32"/>
          <w:szCs w:val="32"/>
          <w:lang w:eastAsia="zh-CN"/>
        </w:rPr>
        <w:t>牛家桥乡人民政府</w:t>
      </w:r>
      <w:r>
        <w:rPr>
          <w:rFonts w:hint="eastAsia" w:ascii="仿宋" w:hAnsi="仿宋" w:eastAsia="仿宋"/>
          <w:color w:val="000000"/>
          <w:sz w:val="32"/>
          <w:szCs w:val="32"/>
        </w:rPr>
        <w:t>编制了项目绩效评价报告，但存在绩效指标体系有待完善，绩效目标不明确、目标细化程度不足，项目预算执行率不高等现象。</w:t>
      </w:r>
    </w:p>
    <w:p w14:paraId="37EE894F">
      <w:pPr>
        <w:keepNext w:val="0"/>
        <w:keepLines w:val="0"/>
        <w:pageBreakBefore w:val="0"/>
        <w:widowControl w:val="0"/>
        <w:kinsoku/>
        <w:wordWrap/>
        <w:overflowPunct/>
        <w:topLinePunct w:val="0"/>
        <w:autoSpaceDE/>
        <w:autoSpaceDN/>
        <w:bidi w:val="0"/>
        <w:adjustRightInd/>
        <w:snapToGrid/>
        <w:spacing w:line="620" w:lineRule="exact"/>
        <w:ind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五、建议</w:t>
      </w:r>
    </w:p>
    <w:p w14:paraId="4E109DA3">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1、</w:t>
      </w:r>
      <w:r>
        <w:rPr>
          <w:rFonts w:hint="eastAsia" w:ascii="仿宋" w:hAnsi="仿宋" w:eastAsia="仿宋" w:cs="仿宋"/>
          <w:sz w:val="32"/>
          <w:szCs w:val="32"/>
          <w:lang w:val="en-US" w:eastAsia="zh-CN"/>
        </w:rPr>
        <w:t>认真学习预算绩效管理的政策知识，提高部门预算整体绩效管理水平，把绩效管理工作落实到每个环节、每个细节，努力提高卷硐镇部门预算的经济效益和社会效益。</w:t>
      </w:r>
    </w:p>
    <w:p w14:paraId="37C68B02">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2、加强、细化制度建设。建立更加完善、更符合工作实际的制度、机制，保障每一项工作落到岗到人。</w:t>
      </w:r>
    </w:p>
    <w:p w14:paraId="171401A0">
      <w:pPr>
        <w:keepNext w:val="0"/>
        <w:keepLines w:val="0"/>
        <w:pageBreakBefore w:val="0"/>
        <w:widowControl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分解、落实工作职责。切实加强履职履责，让职责不留空缺，使财政拨款经费合理、有效使用。</w:t>
      </w:r>
    </w:p>
    <w:p w14:paraId="34B68919">
      <w:pPr>
        <w:pStyle w:val="2"/>
        <w:keepNext w:val="0"/>
        <w:keepLines w:val="0"/>
        <w:pageBreakBefore w:val="0"/>
        <w:widowControl w:val="0"/>
        <w:kinsoku/>
        <w:wordWrap/>
        <w:overflowPunct/>
        <w:topLinePunct w:val="0"/>
        <w:autoSpaceDE/>
        <w:autoSpaceDN/>
        <w:bidi w:val="0"/>
        <w:adjustRightInd/>
        <w:snapToGrid/>
        <w:ind w:firstLine="560" w:firstLineChars="200"/>
        <w:jc w:val="right"/>
        <w:rPr>
          <w:rFonts w:hint="eastAsia" w:eastAsia="仿宋"/>
          <w:color w:val="auto"/>
          <w:lang w:val="en-US" w:eastAsia="zh-CN"/>
        </w:rPr>
      </w:pPr>
      <w:r>
        <w:rPr>
          <w:rFonts w:hint="eastAsia" w:eastAsia="仿宋"/>
          <w:color w:val="auto"/>
          <w:lang w:val="en-US" w:eastAsia="zh-CN"/>
        </w:rPr>
        <w:t>隆尧县牛家桥乡人民政府</w:t>
      </w:r>
    </w:p>
    <w:p w14:paraId="30B6B855">
      <w:pPr>
        <w:pStyle w:val="2"/>
        <w:keepNext w:val="0"/>
        <w:keepLines w:val="0"/>
        <w:pageBreakBefore w:val="0"/>
        <w:widowControl w:val="0"/>
        <w:kinsoku/>
        <w:wordWrap/>
        <w:overflowPunct/>
        <w:topLinePunct w:val="0"/>
        <w:autoSpaceDE/>
        <w:autoSpaceDN/>
        <w:bidi w:val="0"/>
        <w:adjustRightInd/>
        <w:snapToGrid/>
        <w:ind w:firstLine="560" w:firstLineChars="200"/>
        <w:jc w:val="right"/>
        <w:rPr>
          <w:rFonts w:hint="default" w:eastAsia="仿宋"/>
          <w:color w:val="auto"/>
          <w:lang w:val="en-US" w:eastAsia="zh-CN"/>
        </w:rPr>
      </w:pPr>
      <w:r>
        <w:rPr>
          <w:rFonts w:hint="eastAsia" w:eastAsia="仿宋"/>
          <w:color w:val="auto"/>
          <w:lang w:val="en-US" w:eastAsia="zh-CN"/>
        </w:rPr>
        <w:t>2020年5月26日</w:t>
      </w:r>
    </w:p>
    <w:p w14:paraId="4AC3DA0A">
      <w:pPr>
        <w:pStyle w:val="2"/>
        <w:rPr>
          <w:rFonts w:hint="eastAsia"/>
          <w:lang w:val="en-US" w:eastAsia="zh-CN"/>
        </w:rPr>
      </w:pPr>
    </w:p>
    <w:p w14:paraId="1633079D">
      <w:pPr>
        <w:numPr>
          <w:ilvl w:val="0"/>
          <w:numId w:val="0"/>
        </w:numPr>
        <w:spacing w:line="240" w:lineRule="auto"/>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8B103">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6</w:t>
    </w:r>
    <w:r>
      <w:rPr>
        <w:rStyle w:val="13"/>
        <w:rFonts w:ascii="宋体" w:hAnsi="宋体" w:eastAsia="宋体"/>
        <w:sz w:val="28"/>
        <w:szCs w:val="28"/>
      </w:rPr>
      <w:fldChar w:fldCharType="end"/>
    </w:r>
    <w:r>
      <w:rPr>
        <w:rStyle w:val="13"/>
        <w:rFonts w:hint="eastAsia" w:ascii="宋体" w:hAnsi="宋体" w:eastAsia="宋体"/>
        <w:sz w:val="28"/>
        <w:szCs w:val="28"/>
      </w:rPr>
      <w:t>-</w:t>
    </w:r>
  </w:p>
  <w:p w14:paraId="5188C5ED">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E6E0F">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3F96348C">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60B83D"/>
    <w:multiLevelType w:val="singleLevel"/>
    <w:tmpl w:val="2960B83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0MDhlN2RlOGIxNzQxYTU4YTE0NDUwODBhNjIxZDA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33117B0B"/>
    <w:rsid w:val="345732BF"/>
    <w:rsid w:val="3791647A"/>
    <w:rsid w:val="455969D8"/>
    <w:rsid w:val="4F935120"/>
    <w:rsid w:val="526A3656"/>
    <w:rsid w:val="552F71C9"/>
    <w:rsid w:val="5D643D56"/>
    <w:rsid w:val="69BD0A47"/>
    <w:rsid w:val="712D7913"/>
    <w:rsid w:val="71A911C9"/>
    <w:rsid w:val="73C73949"/>
    <w:rsid w:val="77A86A4F"/>
    <w:rsid w:val="7CCC213E"/>
    <w:rsid w:val="7F9923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6502</Words>
  <Characters>6988</Characters>
  <Lines>37</Lines>
  <Paragraphs>10</Paragraphs>
  <TotalTime>18</TotalTime>
  <ScaleCrop>false</ScaleCrop>
  <LinksUpToDate>false</LinksUpToDate>
  <CharactersWithSpaces>7048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忘忧鸭</cp:lastModifiedBy>
  <cp:lastPrinted>2018-11-29T03:23:00Z</cp:lastPrinted>
  <dcterms:modified xsi:type="dcterms:W3CDTF">2025-05-28T02:52:11Z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A42BCA78B70D483DBC0D824F41383333_13</vt:lpwstr>
  </property>
  <property fmtid="{D5CDD505-2E9C-101B-9397-08002B2CF9AE}" pid="4" name="KSOTemplateDocerSaveRecord">
    <vt:lpwstr>eyJoZGlkIjoiOGFhMmUxMGIxMzc1YTY4MDkyMzMxMjA0YTU2YTViOGEiLCJ1c2VySWQiOiI2MTE3MjA3NDYifQ==</vt:lpwstr>
  </property>
</Properties>
</file>