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line="480" w:lineRule="exact"/>
        <w:jc w:val="center"/>
        <w:rPr>
          <w:rFonts w:ascii="宋体" w:hAnsi="宋体"/>
          <w:b/>
          <w:sz w:val="44"/>
          <w:szCs w:val="44"/>
        </w:rPr>
      </w:pPr>
      <w:r>
        <w:rPr>
          <w:rFonts w:ascii="宋体" w:hAnsi="宋体" w:hint="eastAsia"/>
          <w:b/>
          <w:sz w:val="44"/>
          <w:szCs w:val="44"/>
        </w:rPr>
        <w:t>隆尧县</w:t>
      </w:r>
      <w:r>
        <w:rPr>
          <w:rFonts w:ascii="宋体" w:hAnsi="宋体"/>
          <w:b/>
          <w:sz w:val="44"/>
          <w:szCs w:val="44"/>
        </w:rPr>
        <w:t>公安局</w:t>
      </w:r>
      <w:bookmarkStart w:id="0" w:name="_GoBack"/>
      <w:bookmarkEnd w:id="0"/>
      <w:r>
        <w:rPr>
          <w:rFonts w:ascii="宋体" w:hAnsi="宋体" w:hint="eastAsia"/>
          <w:b/>
          <w:sz w:val="44"/>
          <w:szCs w:val="44"/>
        </w:rPr>
        <w:t>2021年</w:t>
      </w:r>
    </w:p>
    <w:p>
      <w:pPr>
        <w:spacing w:line="480" w:lineRule="exact"/>
        <w:jc w:val="center"/>
        <w:rPr>
          <w:rFonts w:ascii="宋体" w:eastAsia="宋体" w:cs="宋体" w:hAnsi="宋体"/>
          <w:b/>
          <w:color w:val="000000"/>
          <w:kern w:val="0"/>
          <w:sz w:val="44"/>
          <w:szCs w:val="44"/>
          <w:shd w:val="clear" w:color="auto" w:fill="FFFFFF"/>
        </w:rPr>
      </w:pPr>
      <w:r>
        <w:rPr>
          <w:rFonts w:ascii="宋体" w:hAnsi="宋体" w:hint="eastAsia"/>
          <w:b/>
          <w:sz w:val="44"/>
          <w:szCs w:val="44"/>
        </w:rPr>
        <w:t>部门整体支出绩效评价</w:t>
      </w:r>
      <w:r>
        <w:rPr>
          <w:rFonts w:ascii="宋体" w:eastAsia="宋体" w:cs="宋体" w:hAnsi="宋体" w:hint="eastAsia"/>
          <w:b/>
          <w:color w:val="000000"/>
          <w:kern w:val="0"/>
          <w:sz w:val="44"/>
          <w:szCs w:val="44"/>
          <w:shd w:val="clear" w:color="auto" w:fill="FFFFFF"/>
        </w:rPr>
        <w:t>指标体系评分表</w:t>
      </w:r>
    </w:p>
    <w:p>
      <w:pPr>
        <w:spacing w:line="480" w:lineRule="exact"/>
        <w:jc w:val="left"/>
        <w:rPr>
          <w:rFonts w:ascii="仿宋" w:eastAsia="仿宋" w:cs="仿宋" w:hAnsi="仿宋"/>
          <w:sz w:val="24"/>
          <w:szCs w:val="24"/>
        </w:rPr>
      </w:pPr>
      <w:r>
        <w:rPr>
          <w:rFonts w:ascii="仿宋" w:eastAsia="仿宋" w:cs="仿宋" w:hAnsi="仿宋" w:hint="eastAsia"/>
          <w:sz w:val="24"/>
          <w:szCs w:val="24"/>
        </w:rPr>
        <w:t xml:space="preserve">单位名称: 隆尧县公安局 (公章)         单位负责人:          </w:t>
      </w:r>
    </w:p>
    <w:tbl>
      <w:tblPr>
        <w:jc w:val="left"/>
        <w:tblInd w:w="0" w:type="dxa"/>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817"/>
        <w:gridCol w:w="851"/>
        <w:gridCol w:w="1559"/>
        <w:gridCol w:w="3260"/>
        <w:gridCol w:w="2410"/>
        <w:gridCol w:w="709"/>
      </w:tblGrid>
      <w:tr>
        <w:trPr>
          <w:trHeight w:val="339"/>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rPr>
                <w:b/>
              </w:rPr>
            </w:pPr>
            <w:r>
              <w:rPr>
                <w:rFonts w:ascii="仿宋_GB2312" w:eastAsia="仿宋_GB2312" w:cs="仿宋_GB2312" w:hAnsi="新宋体"/>
                <w:b/>
                <w:kern w:val="0"/>
                <w:sz w:val="24"/>
                <w:szCs w:val="24"/>
              </w:rPr>
              <w:t>一级指标</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rPr>
                <w:b/>
              </w:rPr>
            </w:pPr>
            <w:r>
              <w:rPr>
                <w:rFonts w:ascii="仿宋_GB2312" w:eastAsia="仿宋_GB2312" w:cs="仿宋_GB2312" w:hAnsi="新宋体"/>
                <w:b/>
                <w:kern w:val="0"/>
                <w:sz w:val="24"/>
                <w:szCs w:val="24"/>
              </w:rPr>
              <w:t>二级指标</w:t>
            </w:r>
          </w:p>
        </w:tc>
        <w:tc>
          <w:tcPr>
            <w:tcW w:w="4819" w:type="dxa"/>
            <w:gridSpan w:val="2"/>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center"/>
              <w:rPr>
                <w:b/>
              </w:rPr>
            </w:pPr>
            <w:r>
              <w:rPr>
                <w:rFonts w:ascii="仿宋_GB2312" w:eastAsia="仿宋_GB2312" w:cs="仿宋_GB2312" w:hAnsi="新宋体"/>
                <w:b/>
                <w:kern w:val="0"/>
                <w:sz w:val="24"/>
                <w:szCs w:val="24"/>
              </w:rPr>
              <w:t>三级指标</w:t>
            </w:r>
          </w:p>
        </w:tc>
        <w:tc>
          <w:tcPr>
            <w:tcW w:w="2410" w:type="dxa"/>
            <w:vMerge w:val="restart"/>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center"/>
              <w:rPr>
                <w:b/>
              </w:rPr>
            </w:pPr>
            <w:r>
              <w:rPr>
                <w:rFonts w:ascii="仿宋_GB2312" w:eastAsia="仿宋_GB2312" w:cs="仿宋_GB2312" w:hAnsi="新宋体"/>
                <w:b/>
                <w:kern w:val="0"/>
                <w:sz w:val="24"/>
                <w:szCs w:val="24"/>
              </w:rPr>
              <w:t>评分标准</w:t>
            </w:r>
          </w:p>
        </w:tc>
        <w:tc>
          <w:tcPr>
            <w:tcW w:w="709" w:type="dxa"/>
            <w:vMerge w:val="restart"/>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b/>
              </w:rPr>
            </w:pPr>
            <w:r>
              <w:rPr>
                <w:rFonts w:ascii="仿宋_GB2312" w:eastAsia="仿宋_GB2312" w:cs="仿宋_GB2312" w:hAnsi="新宋体"/>
                <w:b/>
                <w:kern w:val="0"/>
                <w:sz w:val="24"/>
                <w:szCs w:val="24"/>
              </w:rPr>
              <w:t>得分</w:t>
            </w:r>
          </w:p>
        </w:tc>
      </w:tr>
      <w:tr>
        <w:trPr>
          <w:trHeight w:val="434"/>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center"/>
              <w:rPr>
                <w:b/>
              </w:rPr>
            </w:pPr>
            <w:r>
              <w:rPr>
                <w:rFonts w:ascii="仿宋_GB2312" w:eastAsia="仿宋_GB2312" w:cs="仿宋_GB2312" w:hAnsi="新宋体"/>
                <w:b/>
                <w:kern w:val="0"/>
                <w:sz w:val="24"/>
                <w:szCs w:val="24"/>
              </w:rPr>
              <w:t>指标名称</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center"/>
              <w:rPr>
                <w:b/>
              </w:rPr>
            </w:pPr>
            <w:r>
              <w:rPr>
                <w:rFonts w:ascii="仿宋_GB2312" w:eastAsia="仿宋_GB2312" w:cs="仿宋_GB2312" w:hAnsi="新宋体"/>
                <w:b/>
                <w:kern w:val="0"/>
                <w:sz w:val="24"/>
                <w:szCs w:val="24"/>
              </w:rPr>
              <w:t>指标解释说明</w:t>
            </w:r>
          </w:p>
        </w:tc>
        <w:tc>
          <w:tcPr>
            <w:tcW w:w="2410" w:type="dxa"/>
            <w:vMerge/>
            <w:tcBorders>
              <w:top w:val="single" w:sz="4" w:space="0" w:color="000000"/>
              <w:left w:val="single" w:sz="4" w:space="0" w:color="auto"/>
              <w:bottom w:val="single" w:sz="4" w:space="0" w:color="000000"/>
              <w:right w:val="single" w:sz="4" w:space="0" w:color="auto"/>
            </w:tcBorders>
            <w:vAlign w:val="center"/>
          </w:tcPr>
          <w:p/>
        </w:tc>
        <w:tc>
          <w:tcPr>
            <w:tcW w:w="709" w:type="dxa"/>
            <w:vMerge/>
            <w:tcBorders>
              <w:top w:val="single" w:sz="4" w:space="0" w:color="000000"/>
              <w:left w:val="single" w:sz="4" w:space="0" w:color="auto"/>
              <w:bottom w:val="single" w:sz="4" w:space="0" w:color="000000"/>
              <w:right w:val="single" w:sz="4" w:space="0" w:color="auto"/>
            </w:tcBorders>
            <w:vAlign w:val="center"/>
          </w:tcPr>
          <w:p/>
        </w:tc>
      </w:tr>
      <w:tr>
        <w:trPr>
          <w:trHeight w:val="467"/>
        </w:trPr>
        <w:tc>
          <w:tcPr>
            <w:tcW w:w="8897" w:type="dxa"/>
            <w:gridSpan w:val="5"/>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center"/>
              <w:rPr>
                <w:rFonts w:ascii="仿宋_GB2312" w:eastAsia="仿宋_GB2312" w:cs="仿宋_GB2312" w:hAnsi="新宋体"/>
                <w:b/>
                <w:kern w:val="0"/>
                <w:sz w:val="24"/>
                <w:szCs w:val="24"/>
              </w:rPr>
            </w:pPr>
            <w:r>
              <w:rPr>
                <w:rFonts w:ascii="仿宋_GB2312" w:eastAsia="仿宋_GB2312" w:cs="仿宋_GB2312" w:hAnsi="新宋体" w:hint="eastAsia"/>
                <w:b/>
                <w:kern w:val="0"/>
                <w:sz w:val="24"/>
                <w:szCs w:val="24"/>
              </w:rPr>
              <w:t>自评总分</w:t>
            </w:r>
          </w:p>
        </w:tc>
        <w:tc>
          <w:tcPr>
            <w:tcW w:w="709"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szCs w:val="21"/>
              </w:rPr>
            </w:pPr>
            <w:r>
              <w:rPr>
                <w:rFonts w:hint="eastAsia"/>
                <w:szCs w:val="21"/>
              </w:rPr>
              <w:t>86.1</w:t>
            </w:r>
          </w:p>
        </w:tc>
      </w:tr>
      <w:tr>
        <w:trPr>
          <w:trHeight w:val="1129"/>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投入（1</w:t>
            </w:r>
            <w:r>
              <w:rPr>
                <w:rFonts w:ascii="仿宋_GB2312" w:eastAsia="仿宋_GB2312" w:cs="仿宋_GB2312" w:hAnsi="新宋体" w:hint="eastAsia"/>
                <w:kern w:val="0"/>
                <w:szCs w:val="21"/>
              </w:rPr>
              <w:t>0分</w:t>
            </w:r>
            <w:r>
              <w:rPr>
                <w:rFonts w:ascii="仿宋_GB2312" w:eastAsia="仿宋_GB2312" w:cs="仿宋_GB2312" w:hAnsi="新宋体"/>
                <w:kern w:val="0"/>
                <w:szCs w:val="21"/>
              </w:rPr>
              <w:t>）</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hint="eastAsia"/>
                <w:kern w:val="0"/>
                <w:szCs w:val="21"/>
              </w:rPr>
              <w:t>绩效</w:t>
            </w:r>
            <w:r>
              <w:rPr>
                <w:rFonts w:ascii="仿宋_GB2312" w:eastAsia="仿宋_GB2312" w:cs="仿宋_GB2312" w:hAnsi="新宋体"/>
                <w:kern w:val="0"/>
                <w:szCs w:val="21"/>
              </w:rPr>
              <w:t>目标设定</w:t>
            </w:r>
            <w:r>
              <w:rPr>
                <w:rFonts w:ascii="仿宋_GB2312" w:eastAsia="仿宋_GB2312" w:cs="仿宋_GB2312" w:hAnsi="新宋体" w:hint="eastAsia"/>
                <w:kern w:val="0"/>
                <w:szCs w:val="21"/>
              </w:rPr>
              <w:t>情</w:t>
            </w:r>
          </w:p>
          <w:p>
            <w:pPr>
              <w:widowControl/>
              <w:spacing w:line="240" w:lineRule="exact"/>
              <w:jc w:val="left"/>
              <w:rPr>
                <w:sz w:val="18"/>
                <w:szCs w:val="18"/>
              </w:rPr>
            </w:pPr>
            <w:r>
              <w:rPr>
                <w:rFonts w:ascii="仿宋_GB2312" w:eastAsia="仿宋_GB2312" w:cs="仿宋_GB2312" w:hAnsi="新宋体"/>
                <w:kern w:val="0"/>
                <w:sz w:val="18"/>
                <w:szCs w:val="18"/>
              </w:rPr>
              <w:t>（</w:t>
            </w:r>
            <w:r>
              <w:rPr>
                <w:rFonts w:ascii="仿宋_GB2312" w:eastAsia="仿宋_GB2312" w:cs="仿宋_GB2312" w:hAnsi="新宋体" w:hint="eastAsia"/>
                <w:kern w:val="0"/>
                <w:sz w:val="18"/>
                <w:szCs w:val="18"/>
              </w:rPr>
              <w:t>5分</w:t>
            </w:r>
            <w:r>
              <w:rPr>
                <w:rFonts w:ascii="仿宋_GB2312" w:eastAsia="仿宋_GB2312" w:cs="仿宋_GB2312" w:hAnsi="新宋体"/>
                <w:kern w:val="0"/>
                <w:sz w:val="18"/>
                <w:szCs w:val="18"/>
              </w:rPr>
              <w:t>）</w:t>
            </w:r>
          </w:p>
        </w:tc>
        <w:tc>
          <w:tcPr>
            <w:tcW w:w="1559" w:type="dxa"/>
            <w:tcBorders>
              <w:top w:val="single" w:sz="4" w:space="0" w:color="000000"/>
              <w:left w:val="single" w:sz="4" w:space="0" w:color="000000"/>
              <w:bottom w:val="single" w:sz="4" w:space="0" w:color="auto"/>
              <w:right w:val="single" w:sz="4" w:space="0" w:color="auto"/>
            </w:tcBorders>
            <w:vAlign w:val="center"/>
          </w:tcPr>
          <w:p>
            <w:pPr>
              <w:widowControl/>
              <w:spacing w:line="240" w:lineRule="exact"/>
              <w:jc w:val="left"/>
              <w:rPr>
                <w:rFonts w:ascii="仿宋_GB2312" w:eastAsia="仿宋_GB2312" w:cs="仿宋_GB2312" w:hAnsi="新宋体"/>
                <w:kern w:val="0"/>
                <w:szCs w:val="21"/>
              </w:rPr>
            </w:pP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职责明确</w:t>
            </w:r>
          </w:p>
          <w:p>
            <w:pPr>
              <w:widowControl/>
              <w:spacing w:line="240" w:lineRule="exact"/>
              <w:jc w:val="left"/>
              <w:rPr>
                <w:szCs w:val="21"/>
              </w:rPr>
            </w:pPr>
            <w:r>
              <w:rPr>
                <w:rFonts w:ascii="仿宋_GB2312" w:eastAsia="仿宋_GB2312" w:cs="仿宋_GB2312" w:hAnsi="新宋体"/>
                <w:kern w:val="0"/>
                <w:szCs w:val="21"/>
              </w:rPr>
              <w:t>（1</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部门的职责设定是否符合“三定”方案中所赋予的职责，用以反映和评价部门工作的目的性与计划性。</w:t>
            </w:r>
          </w:p>
        </w:tc>
        <w:tc>
          <w:tcPr>
            <w:tcW w:w="2410"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符合（1）；</w:t>
            </w:r>
          </w:p>
          <w:p>
            <w:pPr>
              <w:widowControl/>
              <w:spacing w:line="240" w:lineRule="exact"/>
              <w:jc w:val="left"/>
              <w:rPr>
                <w:szCs w:val="21"/>
              </w:rPr>
            </w:pPr>
            <w:r>
              <w:rPr>
                <w:rFonts w:ascii="仿宋_GB2312" w:eastAsia="仿宋_GB2312" w:cs="仿宋_GB2312" w:hAnsi="新宋体"/>
                <w:kern w:val="0"/>
                <w:szCs w:val="21"/>
              </w:rPr>
              <w:t>不符合（0）。</w:t>
            </w:r>
          </w:p>
        </w:tc>
        <w:tc>
          <w:tcPr>
            <w:tcW w:w="709"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szCs w:val="21"/>
              </w:rPr>
            </w:pPr>
            <w:r>
              <w:rPr>
                <w:rFonts w:hint="eastAsia"/>
                <w:szCs w:val="21"/>
              </w:rPr>
              <w:t>1</w:t>
            </w:r>
          </w:p>
        </w:tc>
      </w:tr>
      <w:tr>
        <w:trPr>
          <w:trHeight w:val="2535"/>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auto"/>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活动合规性</w:t>
            </w:r>
          </w:p>
          <w:p>
            <w:pPr>
              <w:widowControl/>
              <w:spacing w:line="240" w:lineRule="exact"/>
              <w:jc w:val="left"/>
              <w:rPr>
                <w:szCs w:val="21"/>
              </w:rPr>
            </w:pPr>
            <w:r>
              <w:rPr>
                <w:rFonts w:ascii="仿宋_GB2312" w:eastAsia="仿宋_GB2312" w:cs="仿宋_GB2312" w:hAnsi="新宋体"/>
                <w:kern w:val="0"/>
                <w:szCs w:val="21"/>
              </w:rPr>
              <w:t>（2</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部门的活动是否在职责范围之内并符合部门中长期规划，用以反映和评价部门活动目标与部门履职、年度工作任务的相符性情况。</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1.部门活动的设定在部门所确定的职责范围之内；</w:t>
            </w:r>
          </w:p>
          <w:p>
            <w:pPr>
              <w:widowControl/>
              <w:spacing w:line="240" w:lineRule="exact"/>
              <w:jc w:val="left"/>
              <w:rPr>
                <w:szCs w:val="21"/>
              </w:rPr>
            </w:pPr>
            <w:r>
              <w:rPr>
                <w:rFonts w:ascii="仿宋_GB2312" w:eastAsia="仿宋_GB2312" w:cs="仿宋_GB2312" w:hAnsi="新宋体"/>
                <w:kern w:val="0"/>
                <w:szCs w:val="21"/>
              </w:rPr>
              <w:t>2.部门活动符合</w:t>
            </w:r>
            <w:r>
              <w:rPr>
                <w:rFonts w:ascii="仿宋_GB2312" w:eastAsia="仿宋_GB2312" w:cs="仿宋_GB2312" w:hAnsi="新宋体" w:hint="eastAsia"/>
                <w:kern w:val="0"/>
                <w:szCs w:val="21"/>
              </w:rPr>
              <w:t>市</w:t>
            </w:r>
            <w:r>
              <w:rPr>
                <w:rFonts w:ascii="仿宋_GB2312" w:eastAsia="仿宋_GB2312" w:cs="仿宋_GB2312" w:hAnsi="新宋体"/>
                <w:kern w:val="0"/>
                <w:szCs w:val="21"/>
              </w:rPr>
              <w:t>委、</w:t>
            </w:r>
            <w:r>
              <w:rPr>
                <w:rFonts w:ascii="仿宋_GB2312" w:eastAsia="仿宋_GB2312" w:cs="仿宋_GB2312" w:hAnsi="新宋体" w:hint="eastAsia"/>
                <w:kern w:val="0"/>
                <w:szCs w:val="21"/>
              </w:rPr>
              <w:t>市</w:t>
            </w:r>
            <w:r>
              <w:rPr>
                <w:rFonts w:ascii="仿宋_GB2312" w:eastAsia="仿宋_GB2312" w:cs="仿宋_GB2312" w:hAnsi="新宋体"/>
                <w:kern w:val="0"/>
                <w:szCs w:val="21"/>
              </w:rPr>
              <w:t>政府的发展规划及本部门的年度工作安排与发展规划。</w:t>
            </w:r>
          </w:p>
        </w:tc>
        <w:tc>
          <w:tcPr>
            <w:tcW w:w="2410"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全部符合（2）；</w:t>
            </w:r>
          </w:p>
          <w:p>
            <w:pPr>
              <w:widowControl/>
              <w:spacing w:line="240" w:lineRule="exact"/>
              <w:jc w:val="left"/>
              <w:rPr>
                <w:szCs w:val="21"/>
              </w:rPr>
            </w:pPr>
            <w:r>
              <w:rPr>
                <w:rFonts w:ascii="仿宋_GB2312" w:eastAsia="仿宋_GB2312" w:cs="仿宋_GB2312" w:hAnsi="新宋体"/>
                <w:kern w:val="0"/>
                <w:szCs w:val="21"/>
              </w:rPr>
              <w:t>其中一项不符合（0）。</w:t>
            </w:r>
          </w:p>
        </w:tc>
        <w:tc>
          <w:tcPr>
            <w:tcW w:w="709"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szCs w:val="21"/>
              </w:rPr>
            </w:pPr>
            <w:r>
              <w:rPr>
                <w:rFonts w:hint="eastAsia"/>
                <w:szCs w:val="21"/>
              </w:rPr>
              <w:t>2</w:t>
            </w:r>
          </w:p>
        </w:tc>
      </w:tr>
      <w:tr>
        <w:trPr>
          <w:trHeight w:val="2704"/>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auto"/>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活动合理性</w:t>
            </w:r>
          </w:p>
          <w:p>
            <w:pPr>
              <w:widowControl/>
              <w:spacing w:line="240" w:lineRule="exact"/>
              <w:jc w:val="left"/>
              <w:rPr>
                <w:szCs w:val="21"/>
              </w:rPr>
            </w:pPr>
            <w:r>
              <w:rPr>
                <w:rFonts w:ascii="仿宋_GB2312" w:eastAsia="仿宋_GB2312" w:cs="仿宋_GB2312" w:hAnsi="新宋体"/>
                <w:kern w:val="0"/>
                <w:szCs w:val="21"/>
              </w:rPr>
              <w:t>（2</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部门所设立的活动是否明确合理、活动的关键性指标设置是否可衡量，用以反映和评价部门活动目标设定的合理性。</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1.活动目标的设定是可量化的，可通过清晰、可衡量的关键指标值予以体现；</w:t>
            </w:r>
          </w:p>
          <w:p>
            <w:pPr>
              <w:widowControl/>
              <w:spacing w:line="240" w:lineRule="exact"/>
              <w:jc w:val="left"/>
              <w:rPr>
                <w:szCs w:val="21"/>
              </w:rPr>
            </w:pPr>
            <w:r>
              <w:rPr>
                <w:rFonts w:ascii="仿宋_GB2312" w:eastAsia="仿宋_GB2312" w:cs="仿宋_GB2312" w:hAnsi="新宋体"/>
                <w:kern w:val="0"/>
                <w:szCs w:val="21"/>
              </w:rPr>
              <w:t>2.在活动目标设定时，将关键指标明细分解为具体的达成目标与工作任务。</w:t>
            </w:r>
          </w:p>
        </w:tc>
        <w:tc>
          <w:tcPr>
            <w:tcW w:w="2410"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全部符合（2）；</w:t>
            </w:r>
          </w:p>
          <w:p>
            <w:pPr>
              <w:widowControl/>
              <w:spacing w:line="240" w:lineRule="exact"/>
              <w:jc w:val="left"/>
              <w:rPr>
                <w:szCs w:val="21"/>
              </w:rPr>
            </w:pPr>
            <w:r>
              <w:rPr>
                <w:rFonts w:ascii="仿宋_GB2312" w:eastAsia="仿宋_GB2312" w:cs="仿宋_GB2312" w:hAnsi="新宋体"/>
                <w:kern w:val="0"/>
                <w:szCs w:val="21"/>
              </w:rPr>
              <w:t>其中一项不符合（0）。</w:t>
            </w:r>
          </w:p>
        </w:tc>
        <w:tc>
          <w:tcPr>
            <w:tcW w:w="709"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szCs w:val="21"/>
              </w:rPr>
            </w:pPr>
            <w:r>
              <w:rPr>
                <w:rFonts w:hint="eastAsia"/>
                <w:szCs w:val="21"/>
              </w:rPr>
              <w:t>2</w:t>
            </w:r>
          </w:p>
        </w:tc>
      </w:tr>
      <w:tr>
        <w:trPr>
          <w:trHeight w:val="3251"/>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val="restart"/>
            <w:tcBorders>
              <w:top w:val="single" w:sz="4" w:space="0" w:color="000000"/>
              <w:left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预算配置</w:t>
            </w:r>
            <w:r>
              <w:rPr>
                <w:rFonts w:ascii="仿宋_GB2312" w:eastAsia="仿宋_GB2312" w:cs="仿宋_GB2312" w:hAnsi="新宋体" w:hint="eastAsia"/>
                <w:kern w:val="0"/>
                <w:szCs w:val="21"/>
              </w:rPr>
              <w:t>情况</w:t>
            </w:r>
            <w:r>
              <w:rPr>
                <w:rFonts w:ascii="仿宋_GB2312" w:eastAsia="仿宋_GB2312" w:cs="仿宋_GB2312" w:hAnsi="新宋体"/>
                <w:kern w:val="0"/>
                <w:szCs w:val="21"/>
              </w:rPr>
              <w:t>(</w:t>
            </w:r>
            <w:r>
              <w:rPr>
                <w:rFonts w:ascii="仿宋_GB2312" w:eastAsia="仿宋_GB2312" w:cs="仿宋_GB2312" w:hAnsi="新宋体" w:hint="eastAsia"/>
                <w:kern w:val="0"/>
                <w:szCs w:val="21"/>
              </w:rPr>
              <w:t>5分</w:t>
            </w:r>
            <w:r>
              <w:rPr>
                <w:rFonts w:ascii="仿宋_GB2312" w:eastAsia="仿宋_GB2312" w:cs="仿宋_GB2312" w:hAnsi="新宋体"/>
                <w:kern w:val="0"/>
                <w:szCs w:val="21"/>
              </w:rPr>
              <w:t>)</w:t>
            </w:r>
          </w:p>
        </w:tc>
        <w:tc>
          <w:tcPr>
            <w:tcW w:w="1559" w:type="dxa"/>
            <w:tcBorders>
              <w:top w:val="single" w:sz="4" w:space="0" w:color="auto"/>
              <w:left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在职人员控制率（</w:t>
            </w:r>
            <w:r>
              <w:rPr>
                <w:rFonts w:ascii="仿宋_GB2312" w:eastAsia="仿宋_GB2312" w:cs="仿宋_GB2312" w:hAnsi="新宋体" w:hint="eastAsia"/>
                <w:kern w:val="0"/>
                <w:szCs w:val="21"/>
              </w:rPr>
              <w:t>1分</w:t>
            </w:r>
            <w:r>
              <w:rPr>
                <w:rFonts w:ascii="仿宋_GB2312" w:eastAsia="仿宋_GB2312" w:cs="仿宋_GB2312" w:hAnsi="新宋体"/>
                <w:kern w:val="0"/>
                <w:szCs w:val="21"/>
              </w:rPr>
              <w:t>）</w:t>
            </w:r>
          </w:p>
        </w:tc>
        <w:tc>
          <w:tcPr>
            <w:tcW w:w="3260" w:type="dxa"/>
            <w:tcBorders>
              <w:top w:val="single" w:sz="4" w:space="0" w:color="auto"/>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部门本年度实际在职人员数与编制数的比率，用以反映和评价部门对人员成本的控制程度。</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在职人员控制率=（在职人员数/编制数）×100%。</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在职人员数：部门实际在职人数，以财政部确定的部门决算编制口径为准，由编制部门和人劳部门批复同意的临聘人员除外。</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编制数：机构编制部门核定批复的部门人员编制数。</w:t>
            </w:r>
          </w:p>
        </w:tc>
        <w:tc>
          <w:tcPr>
            <w:tcW w:w="2410" w:type="dxa"/>
            <w:tcBorders>
              <w:top w:val="single" w:sz="4" w:space="0" w:color="auto"/>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1.在职人员控制率小于或等于100%的，得满分；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2.在职人员控制率大于或等于115%的，得0分；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3.在职人员控制率在100%-115%之间的，在0分和满分之间计算确定：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得分=[max（在职人员控制率）－某部门在职人员控制率]/[max（在职人员控制率）－min（在职人员控制率）]×该指标分值。</w:t>
            </w:r>
          </w:p>
        </w:tc>
        <w:tc>
          <w:tcPr>
            <w:tcW w:w="709" w:type="dxa"/>
            <w:tcBorders>
              <w:top w:val="single" w:sz="4" w:space="0" w:color="auto"/>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0.98</w:t>
            </w:r>
          </w:p>
        </w:tc>
      </w:tr>
      <w:tr>
        <w:trPr>
          <w:trHeight w:val="454"/>
        </w:trPr>
        <w:tc>
          <w:tcPr>
            <w:tcW w:w="817" w:type="dxa"/>
            <w:vMerge w:val="restart"/>
            <w:tcBorders>
              <w:top w:val="single" w:sz="4" w:space="0" w:color="000000"/>
              <w:left w:val="single" w:sz="4" w:space="0" w:color="000000"/>
              <w:right w:val="single" w:sz="4" w:space="0" w:color="000000"/>
            </w:tcBorders>
            <w:vAlign w:val="center"/>
          </w:tcPr>
          <w:p>
            <w:pPr>
              <w:spacing w:line="240" w:lineRule="exact"/>
              <w:rPr>
                <w:rFonts w:ascii="宋体"/>
                <w:szCs w:val="21"/>
              </w:rPr>
            </w:pPr>
          </w:p>
        </w:tc>
        <w:tc>
          <w:tcPr>
            <w:tcW w:w="851" w:type="dxa"/>
            <w:vMerge/>
            <w:tcBorders>
              <w:left w:val="single" w:sz="4" w:space="0" w:color="000000"/>
              <w:right w:val="single" w:sz="4" w:space="0" w:color="000000"/>
            </w:tcBorders>
            <w:vAlign w:val="center"/>
          </w:tcPr>
          <w:p/>
        </w:tc>
        <w:tc>
          <w:tcPr>
            <w:tcW w:w="1559" w:type="dxa"/>
            <w:tcBorders>
              <w:top w:val="single" w:sz="4" w:space="0" w:color="auto"/>
              <w:left w:val="single" w:sz="4" w:space="0" w:color="000000"/>
              <w:right w:val="single" w:sz="4" w:space="0" w:color="auto"/>
            </w:tcBorders>
            <w:vAlign w:val="center"/>
          </w:tcPr>
          <w:p>
            <w:pPr>
              <w:widowControl/>
              <w:spacing w:line="240" w:lineRule="exact"/>
              <w:jc w:val="left"/>
              <w:textAlignment w:val="center"/>
              <w:rPr>
                <w:rFonts w:ascii="仿宋" w:eastAsia="仿宋" w:cs="仿宋" w:hAnsi="仿宋"/>
                <w:kern w:val="0"/>
                <w:szCs w:val="21"/>
              </w:rPr>
            </w:pPr>
            <w:r>
              <w:rPr>
                <w:rFonts w:ascii="仿宋" w:eastAsia="仿宋" w:cs="仿宋" w:hAnsi="仿宋" w:hint="eastAsia"/>
                <w:color w:val="000000"/>
                <w:kern w:val="0"/>
                <w:szCs w:val="21"/>
              </w:rPr>
              <w:t>“三公”经费变动率（2分）</w:t>
            </w:r>
          </w:p>
        </w:tc>
        <w:tc>
          <w:tcPr>
            <w:tcW w:w="3260" w:type="dxa"/>
            <w:tcBorders>
              <w:top w:val="single" w:sz="4" w:space="0" w:color="auto"/>
              <w:left w:val="single" w:sz="4" w:space="0" w:color="auto"/>
              <w:right w:val="single" w:sz="4" w:space="0" w:color="auto"/>
            </w:tcBorders>
            <w:vAlign w:val="center"/>
          </w:tcPr>
          <w:p>
            <w:pPr>
              <w:widowControl/>
              <w:spacing w:line="240" w:lineRule="exact"/>
              <w:jc w:val="left"/>
              <w:textAlignment w:val="center"/>
              <w:rPr>
                <w:rFonts w:ascii="仿宋" w:eastAsia="仿宋" w:cs="仿宋" w:hAnsi="仿宋"/>
                <w:kern w:val="0"/>
                <w:szCs w:val="21"/>
              </w:rPr>
            </w:pPr>
            <w:r>
              <w:rPr>
                <w:rFonts w:ascii="仿宋" w:eastAsia="仿宋" w:cs="仿宋" w:hAnsi="仿宋" w:hint="eastAsia"/>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br/>
              <w:t>“三公”经费：年度预算安排的因公出国（境）费、公务车辆购置及运行费和公务招待费。</w:t>
            </w:r>
          </w:p>
        </w:tc>
        <w:tc>
          <w:tcPr>
            <w:tcW w:w="2410" w:type="dxa"/>
            <w:tcBorders>
              <w:top w:val="single" w:sz="4" w:space="0" w:color="auto"/>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w:t>
            </w:r>
            <w:r>
              <w:rPr>
                <w:rFonts w:ascii="仿宋" w:eastAsia="仿宋" w:cs="仿宋" w:hAnsi="仿宋" w:hint="eastAsia"/>
                <w:color w:val="000000"/>
                <w:kern w:val="0"/>
                <w:szCs w:val="21"/>
              </w:rPr>
              <w:t>“三公”经费变动率</w:t>
            </w:r>
            <w:r>
              <w:rPr>
                <w:rFonts w:ascii="仿宋_GB2312" w:eastAsia="仿宋_GB2312" w:cs="仿宋_GB2312" w:hAnsi="新宋体"/>
                <w:kern w:val="0"/>
                <w:szCs w:val="21"/>
              </w:rPr>
              <w:t>小于或等于</w:t>
            </w:r>
            <w:r>
              <w:rPr>
                <w:rFonts w:ascii="仿宋_GB2312" w:eastAsia="仿宋_GB2312" w:cs="仿宋_GB2312" w:hAnsi="新宋体" w:hint="eastAsia"/>
                <w:kern w:val="0"/>
                <w:szCs w:val="21"/>
              </w:rPr>
              <w:t>-5</w:t>
            </w:r>
            <w:r>
              <w:rPr>
                <w:rFonts w:ascii="仿宋_GB2312" w:eastAsia="仿宋_GB2312" w:cs="仿宋_GB2312" w:hAnsi="新宋体"/>
                <w:kern w:val="0"/>
                <w:szCs w:val="21"/>
              </w:rPr>
              <w:t>%的，得满分；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w:t>
            </w:r>
            <w:r>
              <w:rPr>
                <w:rFonts w:ascii="仿宋" w:eastAsia="仿宋" w:cs="仿宋" w:hAnsi="仿宋" w:hint="eastAsia"/>
                <w:color w:val="000000"/>
                <w:kern w:val="0"/>
                <w:szCs w:val="21"/>
              </w:rPr>
              <w:t>“三公”经费变动率</w:t>
            </w:r>
            <w:r>
              <w:rPr>
                <w:rFonts w:ascii="仿宋_GB2312" w:eastAsia="仿宋_GB2312" w:cs="仿宋_GB2312" w:hAnsi="新宋体"/>
                <w:kern w:val="0"/>
                <w:szCs w:val="21"/>
              </w:rPr>
              <w:t>大于或等于1</w:t>
            </w:r>
            <w:r>
              <w:rPr>
                <w:rFonts w:ascii="仿宋_GB2312" w:eastAsia="仿宋_GB2312" w:cs="仿宋_GB2312" w:hAnsi="新宋体" w:hint="eastAsia"/>
                <w:kern w:val="0"/>
                <w:szCs w:val="21"/>
              </w:rPr>
              <w:t>0</w:t>
            </w:r>
            <w:r>
              <w:rPr>
                <w:rFonts w:ascii="仿宋_GB2312" w:eastAsia="仿宋_GB2312" w:cs="仿宋_GB2312" w:hAnsi="新宋体"/>
                <w:kern w:val="0"/>
                <w:szCs w:val="21"/>
              </w:rPr>
              <w:t>%的，得0分；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3.在职人员控制率在</w:t>
            </w:r>
            <w:r>
              <w:rPr>
                <w:rFonts w:ascii="仿宋_GB2312" w:eastAsia="仿宋_GB2312" w:cs="仿宋_GB2312" w:hAnsi="新宋体" w:hint="eastAsia"/>
                <w:kern w:val="0"/>
                <w:szCs w:val="21"/>
              </w:rPr>
              <w:t>-5</w:t>
            </w:r>
            <w:r>
              <w:rPr>
                <w:rFonts w:ascii="仿宋_GB2312" w:eastAsia="仿宋_GB2312" w:cs="仿宋_GB2312" w:hAnsi="新宋体"/>
                <w:kern w:val="0"/>
                <w:szCs w:val="21"/>
              </w:rPr>
              <w:t>%-</w:t>
            </w:r>
            <w:r>
              <w:rPr>
                <w:rFonts w:ascii="仿宋_GB2312" w:eastAsia="仿宋_GB2312" w:cs="仿宋_GB2312" w:hAnsi="新宋体" w:hint="eastAsia"/>
                <w:kern w:val="0"/>
                <w:szCs w:val="21"/>
              </w:rPr>
              <w:t>10</w:t>
            </w:r>
            <w:r>
              <w:rPr>
                <w:rFonts w:ascii="仿宋_GB2312" w:eastAsia="仿宋_GB2312" w:cs="仿宋_GB2312" w:hAnsi="新宋体"/>
                <w:kern w:val="0"/>
                <w:szCs w:val="21"/>
              </w:rPr>
              <w:t>%之间的，在0分和满分之间计算确定：</w:t>
            </w:r>
          </w:p>
          <w:p>
            <w:pPr>
              <w:widowControl/>
              <w:spacing w:line="240" w:lineRule="exact"/>
              <w:jc w:val="left"/>
              <w:textAlignment w:val="center"/>
              <w:rPr>
                <w:rFonts w:ascii="仿宋" w:eastAsia="仿宋" w:cs="仿宋" w:hAnsi="仿宋"/>
                <w:kern w:val="0"/>
                <w:szCs w:val="21"/>
              </w:rPr>
            </w:pPr>
            <w:r>
              <w:rPr>
                <w:rFonts w:ascii="仿宋_GB2312" w:eastAsia="仿宋_GB2312" w:cs="仿宋_GB2312" w:hAnsi="新宋体"/>
                <w:kern w:val="0"/>
                <w:szCs w:val="21"/>
              </w:rPr>
              <w:t>得分=[max（</w:t>
            </w:r>
            <w:r>
              <w:rPr>
                <w:rFonts w:ascii="仿宋" w:eastAsia="仿宋" w:cs="仿宋" w:hAnsi="仿宋" w:hint="eastAsia"/>
                <w:color w:val="000000"/>
                <w:kern w:val="0"/>
                <w:szCs w:val="21"/>
              </w:rPr>
              <w:t>“三公”经费变动率</w:t>
            </w:r>
            <w:r>
              <w:rPr>
                <w:rFonts w:ascii="仿宋_GB2312" w:eastAsia="仿宋_GB2312" w:cs="仿宋_GB2312" w:hAnsi="新宋体"/>
                <w:kern w:val="0"/>
                <w:szCs w:val="21"/>
              </w:rPr>
              <w:t>）－</w:t>
            </w:r>
            <w:r>
              <w:rPr>
                <w:rFonts w:ascii="仿宋" w:eastAsia="仿宋" w:cs="仿宋" w:hAnsi="仿宋" w:hint="eastAsia"/>
                <w:color w:val="000000"/>
                <w:kern w:val="0"/>
                <w:szCs w:val="21"/>
              </w:rPr>
              <w:t>“三公”经费变动率</w:t>
            </w:r>
            <w:r>
              <w:rPr>
                <w:rFonts w:ascii="仿宋_GB2312" w:eastAsia="仿宋_GB2312" w:cs="仿宋_GB2312" w:hAnsi="新宋体"/>
                <w:kern w:val="0"/>
                <w:szCs w:val="21"/>
              </w:rPr>
              <w:t>]/[max（</w:t>
            </w:r>
            <w:r>
              <w:rPr>
                <w:rFonts w:ascii="仿宋" w:eastAsia="仿宋" w:cs="仿宋" w:hAnsi="仿宋" w:hint="eastAsia"/>
                <w:color w:val="000000"/>
                <w:kern w:val="0"/>
                <w:szCs w:val="21"/>
              </w:rPr>
              <w:t>“三公”经费变动率</w:t>
            </w:r>
            <w:r>
              <w:rPr>
                <w:rFonts w:ascii="仿宋_GB2312" w:eastAsia="仿宋_GB2312" w:cs="仿宋_GB2312" w:hAnsi="新宋体"/>
                <w:kern w:val="0"/>
                <w:szCs w:val="21"/>
              </w:rPr>
              <w:t>）－min（</w:t>
            </w:r>
            <w:r>
              <w:rPr>
                <w:rFonts w:ascii="仿宋" w:eastAsia="仿宋" w:cs="仿宋" w:hAnsi="仿宋" w:hint="eastAsia"/>
                <w:color w:val="000000"/>
                <w:kern w:val="0"/>
                <w:szCs w:val="21"/>
              </w:rPr>
              <w:t>“三公”经费变动率</w:t>
            </w:r>
            <w:r>
              <w:rPr>
                <w:rFonts w:ascii="仿宋_GB2312" w:eastAsia="仿宋_GB2312" w:cs="仿宋_GB2312" w:hAnsi="新宋体"/>
                <w:kern w:val="0"/>
                <w:szCs w:val="21"/>
              </w:rPr>
              <w:t>）]×该指标分值。</w:t>
            </w:r>
          </w:p>
        </w:tc>
        <w:tc>
          <w:tcPr>
            <w:tcW w:w="709" w:type="dxa"/>
            <w:tcBorders>
              <w:top w:val="single" w:sz="4" w:space="0" w:color="auto"/>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0</w:t>
            </w:r>
          </w:p>
        </w:tc>
      </w:tr>
      <w:tr>
        <w:trPr>
          <w:trHeight w:val="454"/>
        </w:trPr>
        <w:tc>
          <w:tcPr>
            <w:tcW w:w="817" w:type="dxa"/>
            <w:vMerge/>
            <w:tcBorders>
              <w:left w:val="single" w:sz="4" w:space="0" w:color="000000"/>
              <w:bottom w:val="single" w:sz="4" w:space="0" w:color="000000"/>
              <w:right w:val="single" w:sz="4" w:space="0" w:color="000000"/>
            </w:tcBorders>
            <w:vAlign w:val="center"/>
          </w:tcPr>
          <w:p/>
        </w:tc>
        <w:tc>
          <w:tcPr>
            <w:tcW w:w="851" w:type="dxa"/>
            <w:vMerge/>
            <w:tcBorders>
              <w:left w:val="single" w:sz="4" w:space="0" w:color="000000"/>
              <w:bottom w:val="single" w:sz="4" w:space="0" w:color="000000"/>
              <w:right w:val="single" w:sz="4" w:space="0" w:color="000000"/>
            </w:tcBorders>
            <w:vAlign w:val="center"/>
          </w:tcPr>
          <w:p/>
        </w:tc>
        <w:tc>
          <w:tcPr>
            <w:tcW w:w="1559" w:type="dxa"/>
            <w:tcBorders>
              <w:top w:val="single" w:sz="4" w:space="0" w:color="auto"/>
              <w:left w:val="single" w:sz="4" w:space="0" w:color="000000"/>
              <w:right w:val="single" w:sz="4" w:space="0" w:color="auto"/>
            </w:tcBorders>
            <w:vAlign w:val="center"/>
          </w:tcPr>
          <w:p>
            <w:pPr>
              <w:widowControl/>
              <w:spacing w:line="240" w:lineRule="exact"/>
              <w:jc w:val="left"/>
              <w:textAlignment w:val="center"/>
              <w:rPr>
                <w:rFonts w:ascii="仿宋" w:eastAsia="仿宋" w:cs="仿宋" w:hAnsi="仿宋"/>
                <w:kern w:val="0"/>
                <w:szCs w:val="21"/>
              </w:rPr>
            </w:pPr>
            <w:r>
              <w:rPr>
                <w:rFonts w:ascii="仿宋" w:eastAsia="仿宋" w:cs="仿宋" w:hAnsi="仿宋" w:hint="eastAsia"/>
                <w:color w:val="000000"/>
                <w:kern w:val="0"/>
                <w:szCs w:val="21"/>
              </w:rPr>
              <w:t>重点支出安排率（2分）</w:t>
            </w:r>
          </w:p>
        </w:tc>
        <w:tc>
          <w:tcPr>
            <w:tcW w:w="3260" w:type="dxa"/>
            <w:tcBorders>
              <w:top w:val="single" w:sz="4" w:space="0" w:color="auto"/>
              <w:left w:val="single" w:sz="4" w:space="0" w:color="auto"/>
              <w:right w:val="single" w:sz="4" w:space="0" w:color="auto"/>
            </w:tcBorders>
            <w:vAlign w:val="center"/>
          </w:tcPr>
          <w:p>
            <w:pPr>
              <w:widowControl/>
              <w:spacing w:line="240" w:lineRule="exact"/>
              <w:jc w:val="left"/>
              <w:textAlignment w:val="center"/>
              <w:rPr>
                <w:rFonts w:ascii="仿宋" w:eastAsia="仿宋" w:cs="仿宋" w:hAnsi="仿宋"/>
                <w:kern w:val="0"/>
                <w:szCs w:val="21"/>
              </w:rPr>
            </w:pPr>
            <w:r>
              <w:rPr>
                <w:rFonts w:ascii="仿宋" w:eastAsia="仿宋" w:cs="仿宋" w:hAnsi="仿宋" w:hint="eastAsia"/>
                <w:color w:val="000000"/>
                <w:kern w:val="0"/>
                <w:szCs w:val="21"/>
              </w:rPr>
              <w:t>部门本年度预算安排的重点项目支出与部门项目总支出的比率，用以反映和考核部门对履行主要职责或完成重点任务的保障程度。重点支出安排率=（重点项目支出/项目总支出）×100%。</w:t>
              <w:br/>
              <w:t>重点项目支出：部门（单位）年度预算安排的，与本部门履职和发展密切相关、具有明显社会和经济影响、党委政府关心或社会比较关注的项目支出总额。</w:t>
              <w:br/>
              <w:t>项目总支出：部门（单位）年度预算安排的项目支出总额。</w:t>
            </w:r>
          </w:p>
        </w:tc>
        <w:tc>
          <w:tcPr>
            <w:tcW w:w="2410" w:type="dxa"/>
            <w:tcBorders>
              <w:top w:val="single" w:sz="4" w:space="0" w:color="auto"/>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大于或等于95%的，得满分；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小于或等于85%的，得0分；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在85%-95%之间的，在0分和满分之间计算确定：</w:t>
            </w:r>
          </w:p>
          <w:p>
            <w:pPr>
              <w:widowControl/>
              <w:spacing w:line="240" w:lineRule="exact"/>
              <w:jc w:val="left"/>
              <w:textAlignment w:val="center"/>
              <w:rPr>
                <w:rFonts w:ascii="仿宋" w:eastAsia="仿宋" w:cs="仿宋" w:hAnsi="仿宋"/>
                <w:kern w:val="0"/>
                <w:szCs w:val="21"/>
              </w:rPr>
            </w:pPr>
            <w:r>
              <w:rPr>
                <w:rFonts w:ascii="仿宋_GB2312" w:eastAsia="仿宋_GB2312" w:cs="仿宋_GB2312" w:hAnsi="新宋体"/>
                <w:kern w:val="0"/>
                <w:szCs w:val="21"/>
              </w:rPr>
              <w:t>得分=[某部门</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-min（</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）]/[max（</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）－min（</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）]×该指标分值。</w:t>
            </w:r>
          </w:p>
        </w:tc>
        <w:tc>
          <w:tcPr>
            <w:tcW w:w="709" w:type="dxa"/>
            <w:tcBorders>
              <w:top w:val="single" w:sz="4" w:space="0" w:color="auto"/>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2</w:t>
            </w:r>
          </w:p>
        </w:tc>
      </w:tr>
      <w:tr>
        <w:trPr>
          <w:trHeight w:val="68"/>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过程(</w:t>
            </w:r>
            <w:r>
              <w:rPr>
                <w:rFonts w:ascii="仿宋_GB2312" w:eastAsia="仿宋_GB2312" w:cs="仿宋_GB2312" w:hAnsi="新宋体" w:hint="eastAsia"/>
                <w:kern w:val="0"/>
                <w:szCs w:val="21"/>
              </w:rPr>
              <w:t>45分</w:t>
            </w:r>
            <w:r>
              <w:rPr>
                <w:rFonts w:ascii="仿宋_GB2312" w:eastAsia="仿宋_GB2312" w:cs="仿宋_GB2312" w:hAnsi="新宋体"/>
                <w:kern w:val="0"/>
                <w:szCs w:val="21"/>
              </w:rPr>
              <w:t>)</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预算执行</w:t>
            </w:r>
            <w:r>
              <w:rPr>
                <w:rFonts w:ascii="仿宋_GB2312" w:eastAsia="仿宋_GB2312" w:cs="仿宋_GB2312" w:hAnsi="新宋体" w:hint="eastAsia"/>
                <w:kern w:val="0"/>
                <w:szCs w:val="21"/>
              </w:rPr>
              <w:t>情况</w:t>
            </w:r>
            <w:r>
              <w:rPr>
                <w:rFonts w:ascii="仿宋_GB2312" w:eastAsia="仿宋_GB2312" w:cs="仿宋_GB2312" w:hAnsi="新宋体"/>
                <w:kern w:val="0"/>
                <w:szCs w:val="21"/>
              </w:rPr>
              <w:t>(</w:t>
            </w:r>
            <w:r>
              <w:rPr>
                <w:rFonts w:ascii="仿宋_GB2312" w:eastAsia="仿宋_GB2312" w:cs="仿宋_GB2312" w:hAnsi="新宋体" w:hint="eastAsia"/>
                <w:kern w:val="0"/>
                <w:szCs w:val="21"/>
              </w:rPr>
              <w:t>25分</w:t>
            </w:r>
            <w:r>
              <w:rPr>
                <w:rFonts w:ascii="仿宋_GB2312" w:eastAsia="仿宋_GB2312" w:cs="仿宋_GB2312" w:hAnsi="新宋体"/>
                <w:kern w:val="0"/>
                <w:szCs w:val="21"/>
              </w:rPr>
              <w:t>)</w:t>
            </w: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预算完成率</w:t>
            </w:r>
          </w:p>
          <w:p>
            <w:pPr>
              <w:widowControl/>
              <w:spacing w:line="240" w:lineRule="exact"/>
              <w:jc w:val="left"/>
              <w:rPr>
                <w:szCs w:val="21"/>
              </w:rPr>
            </w:pPr>
            <w:r>
              <w:rPr>
                <w:rFonts w:ascii="仿宋_GB2312" w:eastAsia="仿宋_GB2312" w:cs="仿宋_GB2312" w:hAnsi="新宋体"/>
                <w:kern w:val="0"/>
                <w:szCs w:val="21"/>
              </w:rPr>
              <w:t>（5</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通过对部门本年度预算完成数与预算数的比较，反映和评价部门预算的完成程度。</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预算完成率=（预算完成数/预算数）×100%。</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1.预算完成率大于或等于95%的，得满分；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2.预算完成率小于或等于85%的，得0分；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3.预算完成率在85%-95%之间的，在0分和满分之间计算确定：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得分=[某部门预算完成率-min（预算完成率）]/[max（预算完成率）－min（预算完成率）]×该指标分值。</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5</w:t>
            </w:r>
          </w:p>
        </w:tc>
      </w:tr>
      <w:tr>
        <w:trPr>
          <w:trHeight w:val="423"/>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预算调整率</w:t>
            </w:r>
          </w:p>
          <w:p>
            <w:pPr>
              <w:widowControl/>
              <w:spacing w:line="240" w:lineRule="exact"/>
              <w:jc w:val="left"/>
              <w:rPr>
                <w:szCs w:val="21"/>
              </w:rPr>
            </w:pPr>
            <w:r>
              <w:rPr>
                <w:rFonts w:ascii="仿宋_GB2312" w:eastAsia="仿宋_GB2312" w:cs="仿宋_GB2312" w:hAnsi="新宋体"/>
                <w:kern w:val="0"/>
                <w:szCs w:val="21"/>
              </w:rPr>
              <w:t>（</w:t>
            </w:r>
            <w:r>
              <w:rPr>
                <w:rFonts w:ascii="仿宋_GB2312" w:eastAsia="仿宋_GB2312" w:cs="仿宋_GB2312" w:hAnsi="新宋体" w:hint="eastAsia"/>
                <w:kern w:val="0"/>
                <w:szCs w:val="21"/>
              </w:rPr>
              <w:t>3分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部门本年度预算调整数与预算数的比率，用以反映和评价部门预算的调整程度。</w:t>
            </w:r>
          </w:p>
          <w:p>
            <w:pPr>
              <w:widowControl/>
              <w:spacing w:line="240" w:lineRule="exact"/>
              <w:jc w:val="left"/>
              <w:rPr>
                <w:szCs w:val="21"/>
              </w:rPr>
            </w:pPr>
            <w:r>
              <w:rPr>
                <w:rFonts w:ascii="仿宋_GB2312" w:eastAsia="仿宋_GB2312" w:cs="仿宋_GB2312" w:hAnsi="新宋体"/>
                <w:kern w:val="0"/>
                <w:szCs w:val="21"/>
              </w:rPr>
              <w:t>预算调整率=（预算调整数/预算数）×100%。</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 xml:space="preserve">1.预算调整率等于0的，得满分； </w:t>
            </w:r>
          </w:p>
          <w:p>
            <w:pPr>
              <w:widowControl/>
              <w:spacing w:line="240" w:lineRule="exact"/>
              <w:jc w:val="left"/>
              <w:rPr>
                <w:szCs w:val="21"/>
              </w:rPr>
            </w:pPr>
            <w:r>
              <w:rPr>
                <w:rFonts w:ascii="仿宋_GB2312" w:eastAsia="仿宋_GB2312" w:cs="仿宋_GB2312" w:hAnsi="新宋体"/>
                <w:kern w:val="0"/>
                <w:szCs w:val="21"/>
              </w:rPr>
              <w:t>2.预算调整率大于或等于10%的，得0分；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3.预算调整率在0-10%之间的，在0分和满分之间确定：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得分=［max（预算调整率）-某部门预算调整率］/［max（预算调整率）-min（预算调整率）］×该指标分值。</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1.55</w:t>
            </w:r>
          </w:p>
          <w:p>
            <w:pPr>
              <w:widowControl/>
              <w:spacing w:line="240" w:lineRule="exact"/>
              <w:jc w:val="left"/>
              <w:rPr>
                <w:szCs w:val="21"/>
              </w:rPr>
            </w:pPr>
          </w:p>
        </w:tc>
      </w:tr>
      <w:tr>
        <w:trPr>
          <w:trHeight w:val="1692"/>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color w:val="000000"/>
                <w:kern w:val="0"/>
                <w:szCs w:val="21"/>
              </w:rPr>
            </w:pPr>
            <w:r>
              <w:rPr>
                <w:rFonts w:ascii="仿宋_GB2312" w:eastAsia="仿宋_GB2312" w:cs="仿宋_GB2312" w:hAnsi="新宋体"/>
                <w:color w:val="000000"/>
                <w:kern w:val="0"/>
                <w:szCs w:val="21"/>
              </w:rPr>
              <w:t>支付进度率</w:t>
            </w:r>
          </w:p>
          <w:p>
            <w:pPr>
              <w:widowControl/>
              <w:spacing w:line="240" w:lineRule="exact"/>
              <w:jc w:val="left"/>
              <w:rPr>
                <w:szCs w:val="21"/>
              </w:rPr>
            </w:pPr>
            <w:r>
              <w:rPr>
                <w:rFonts w:ascii="仿宋_GB2312" w:eastAsia="仿宋_GB2312" w:cs="仿宋_GB2312" w:hAnsi="新宋体"/>
                <w:kern w:val="0"/>
                <w:szCs w:val="21"/>
              </w:rPr>
              <w:t>（</w:t>
            </w:r>
            <w:r>
              <w:rPr>
                <w:rFonts w:ascii="仿宋_GB2312" w:eastAsia="仿宋_GB2312" w:cs="仿宋_GB2312" w:hAnsi="新宋体" w:hint="eastAsia"/>
                <w:kern w:val="0"/>
                <w:szCs w:val="21"/>
              </w:rPr>
              <w:t>5分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度支付数与</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度任务数的比率，用以反映和评价部门预算执行的及时和均衡程度。</w:t>
            </w:r>
          </w:p>
          <w:p>
            <w:pPr>
              <w:widowControl/>
              <w:spacing w:line="240" w:lineRule="exact"/>
              <w:jc w:val="left"/>
              <w:rPr>
                <w:szCs w:val="21"/>
              </w:rPr>
            </w:pPr>
            <w:r>
              <w:rPr>
                <w:rFonts w:ascii="仿宋_GB2312" w:eastAsia="仿宋_GB2312" w:cs="仿宋_GB2312" w:hAnsi="新宋体"/>
                <w:kern w:val="0"/>
                <w:szCs w:val="21"/>
              </w:rPr>
              <w:t>支付进度率=（</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度支付数/</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度任务数）×100%。</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按</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度的执行情况进行打分</w:t>
            </w:r>
            <w:r>
              <w:rPr>
                <w:rFonts w:ascii="仿宋_GB2312" w:eastAsia="仿宋_GB2312" w:cs="仿宋_GB2312" w:hAnsi="新宋体" w:hint="eastAsia"/>
                <w:kern w:val="0"/>
                <w:szCs w:val="21"/>
              </w:rPr>
              <w:t>。</w:t>
            </w:r>
            <w:r>
              <w:rPr>
                <w:rFonts w:ascii="仿宋_GB2312" w:eastAsia="仿宋_GB2312" w:cs="仿宋_GB2312" w:hAnsi="新宋体"/>
                <w:kern w:val="0"/>
                <w:szCs w:val="21"/>
              </w:rPr>
              <w:t>得分=</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度支付数/</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度任务数×该指标分值。</w:t>
            </w:r>
          </w:p>
          <w:p>
            <w:pPr>
              <w:widowControl/>
              <w:pBdr>
                <w:top w:val="none" w:sz="0" w:space="0" w:color="auto"/>
                <w:left w:val="none" w:sz="0" w:space="0" w:color="auto"/>
                <w:bottom w:val="none" w:sz="0" w:space="0" w:color="auto"/>
                <w:right w:val="none" w:sz="0" w:space="0" w:color="auto"/>
              </w:pBdr>
              <w:spacing w:line="240" w:lineRule="exact"/>
              <w:jc w:val="left"/>
              <w:rPr>
                <w:szCs w:val="21"/>
              </w:rPr>
            </w:pP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4.48</w:t>
            </w:r>
          </w:p>
        </w:tc>
      </w:tr>
      <w:tr>
        <w:trPr>
          <w:trHeight w:val="1274"/>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结转</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结余率</w:t>
            </w:r>
          </w:p>
          <w:p>
            <w:pPr>
              <w:widowControl/>
              <w:spacing w:line="240" w:lineRule="exact"/>
              <w:jc w:val="left"/>
              <w:rPr>
                <w:szCs w:val="21"/>
              </w:rPr>
            </w:pPr>
            <w:r>
              <w:rPr>
                <w:rFonts w:ascii="仿宋_GB2312" w:eastAsia="仿宋_GB2312" w:cs="仿宋_GB2312" w:hAnsi="新宋体"/>
                <w:kern w:val="0"/>
                <w:szCs w:val="21"/>
              </w:rPr>
              <w:t>（4</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通过对部门本年度结转结余总额与支出预算数的比较，反映和评价部门对本年度结转结余资金的实际控制程度。</w:t>
            </w:r>
          </w:p>
          <w:p>
            <w:pPr>
              <w:widowControl/>
              <w:spacing w:line="240" w:lineRule="exact"/>
              <w:jc w:val="left"/>
              <w:rPr>
                <w:szCs w:val="21"/>
              </w:rPr>
            </w:pPr>
            <w:r>
              <w:rPr>
                <w:rFonts w:ascii="仿宋_GB2312" w:eastAsia="仿宋_GB2312" w:cs="仿宋_GB2312" w:hAnsi="新宋体"/>
                <w:kern w:val="0"/>
                <w:szCs w:val="21"/>
              </w:rPr>
              <w:t>结转结余率=（结转结余总额/支出预算数）×100%。</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1.结转结余率等于0的，得满分；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2.结转结余率大于或等于50%的，得0分；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3.结转结余率在0-50%之间的，在0和满分之间计算确定：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得分=[max（结转结余率）－某部门结转结余率]/[max（结转结余率）－min（结转结余率）]×该指标分值。</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4</w:t>
            </w:r>
          </w:p>
        </w:tc>
      </w:tr>
      <w:tr>
        <w:trPr>
          <w:trHeight w:val="1610"/>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公用经费</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控制率</w:t>
            </w:r>
          </w:p>
          <w:p>
            <w:pPr>
              <w:widowControl/>
              <w:spacing w:line="240" w:lineRule="exact"/>
              <w:jc w:val="left"/>
              <w:rPr>
                <w:szCs w:val="21"/>
              </w:rPr>
            </w:pPr>
            <w:r>
              <w:rPr>
                <w:rFonts w:ascii="仿宋_GB2312" w:eastAsia="仿宋_GB2312" w:cs="仿宋_GB2312" w:hAnsi="新宋体"/>
                <w:kern w:val="0"/>
                <w:szCs w:val="21"/>
              </w:rPr>
              <w:t>（</w:t>
            </w:r>
            <w:r>
              <w:rPr>
                <w:rFonts w:ascii="仿宋_GB2312" w:eastAsia="仿宋_GB2312" w:cs="仿宋_GB2312" w:hAnsi="新宋体" w:hint="eastAsia"/>
                <w:kern w:val="0"/>
                <w:szCs w:val="21"/>
              </w:rPr>
              <w:t>4分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通过对部门本年度实际支出的公用经费总额与预算安排的公用经费总额的比率，反映和评价部门对机构运转成本的实际控制程度。</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公用经费控制率=（实际支出公用经费总额/预算安排公用经费总额）×100%。</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1.公用经费控制率小于或等于100%的，得满分；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2.公用经费控制率大于或等于105%的，得0分；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3.公用经费控制率在100%-105%之间的，在0和满分之间计算确定：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得分=［max（公用经费控制率）-某部门公用经费控制率］/［max（公用经费控制率）-min（公用经费控制率）］×该指标分值。</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4</w:t>
            </w:r>
          </w:p>
        </w:tc>
      </w:tr>
      <w:tr>
        <w:trPr>
          <w:trHeight w:val="699"/>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政府采购</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执行率</w:t>
            </w:r>
          </w:p>
          <w:p>
            <w:pPr>
              <w:widowControl/>
              <w:spacing w:line="240" w:lineRule="exact"/>
              <w:jc w:val="left"/>
              <w:rPr>
                <w:szCs w:val="21"/>
              </w:rPr>
            </w:pPr>
            <w:r>
              <w:rPr>
                <w:rFonts w:ascii="仿宋_GB2312" w:eastAsia="仿宋_GB2312" w:cs="仿宋_GB2312" w:hAnsi="新宋体"/>
                <w:kern w:val="0"/>
                <w:szCs w:val="21"/>
              </w:rPr>
              <w:t>（</w:t>
            </w:r>
            <w:r>
              <w:rPr>
                <w:rFonts w:ascii="仿宋_GB2312" w:eastAsia="仿宋_GB2312" w:cs="仿宋_GB2312" w:hAnsi="新宋体" w:hint="eastAsia"/>
                <w:kern w:val="0"/>
                <w:szCs w:val="21"/>
              </w:rPr>
              <w:t>4分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通过对部门本年度实际政府采购预算项目个数与政府采购预算项目个数的比较，反映和评价部门政府采购预算执行情况。</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政府采购执行率=（实际政府采购预算项目个数/政府采购预算项目个数）×100%。</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政府采购项目中非预算内安排的项目除外。</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1.政府采购执行率等于100%的，得满分；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2.政府采购执行率小于或等于90%的，0分；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3.政府采购执行率在90%-100%之间的，在0和满分之间计算确定：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得分=［某部门政府采购执行率-min（政府采购执行率）］/［max（政府采购执行率）-min（政府采购执行率）］×该指标分值。</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4</w:t>
            </w:r>
          </w:p>
        </w:tc>
      </w:tr>
      <w:tr>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预算管理</w:t>
            </w:r>
            <w:r>
              <w:rPr>
                <w:rFonts w:ascii="仿宋_GB2312" w:eastAsia="仿宋_GB2312" w:cs="仿宋_GB2312" w:hAnsi="新宋体" w:hint="eastAsia"/>
                <w:kern w:val="0"/>
                <w:szCs w:val="21"/>
              </w:rPr>
              <w:t>情况</w:t>
            </w:r>
          </w:p>
          <w:p>
            <w:pPr>
              <w:widowControl/>
              <w:spacing w:line="240" w:lineRule="exact"/>
              <w:jc w:val="left"/>
              <w:rPr>
                <w:szCs w:val="21"/>
              </w:rPr>
            </w:pPr>
            <w:r>
              <w:rPr>
                <w:rFonts w:ascii="仿宋_GB2312" w:eastAsia="仿宋_GB2312" w:cs="仿宋_GB2312" w:hAnsi="新宋体"/>
                <w:kern w:val="0"/>
                <w:szCs w:val="21"/>
              </w:rPr>
              <w:t>（15）</w:t>
            </w: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资金使用</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合规性</w:t>
            </w:r>
          </w:p>
          <w:p>
            <w:pPr>
              <w:widowControl/>
              <w:spacing w:line="240" w:lineRule="exact"/>
              <w:jc w:val="left"/>
              <w:rPr>
                <w:szCs w:val="21"/>
              </w:rPr>
            </w:pPr>
            <w:r>
              <w:rPr>
                <w:rFonts w:ascii="仿宋_GB2312" w:eastAsia="仿宋_GB2312" w:cs="仿宋_GB2312" w:hAnsi="新宋体"/>
                <w:kern w:val="0"/>
                <w:szCs w:val="21"/>
              </w:rPr>
              <w:t>（8</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部门使用预算资金是否符合相关的预算财务管理制度的规定，反映和评价部门预算资金的规范运行情况。</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1.符合国家财经法规和财务管理制度规定以及有关部门资金管理办法的规定；</w:t>
            </w:r>
          </w:p>
          <w:p>
            <w:pPr>
              <w:widowControl/>
              <w:spacing w:line="240" w:lineRule="exact"/>
              <w:jc w:val="left"/>
              <w:rPr>
                <w:szCs w:val="21"/>
              </w:rPr>
            </w:pPr>
            <w:r>
              <w:rPr>
                <w:rFonts w:ascii="仿宋_GB2312" w:eastAsia="仿宋_GB2312" w:cs="仿宋_GB2312" w:hAnsi="新宋体"/>
                <w:kern w:val="0"/>
                <w:szCs w:val="21"/>
              </w:rPr>
              <w:t>2.资金的拨付有完整的审批过程和手续；</w:t>
            </w:r>
          </w:p>
          <w:p>
            <w:pPr>
              <w:widowControl/>
              <w:spacing w:line="240" w:lineRule="exact"/>
              <w:jc w:val="left"/>
              <w:rPr>
                <w:szCs w:val="21"/>
              </w:rPr>
            </w:pPr>
            <w:r>
              <w:rPr>
                <w:rFonts w:ascii="仿宋_GB2312" w:eastAsia="仿宋_GB2312" w:cs="仿宋_GB2312" w:hAnsi="新宋体"/>
                <w:kern w:val="0"/>
                <w:szCs w:val="21"/>
              </w:rPr>
              <w:t>3.项目的重大开支经过评估论证；</w:t>
            </w:r>
          </w:p>
          <w:p>
            <w:pPr>
              <w:widowControl/>
              <w:spacing w:line="240" w:lineRule="exact"/>
              <w:jc w:val="left"/>
              <w:rPr>
                <w:szCs w:val="21"/>
              </w:rPr>
            </w:pPr>
            <w:r>
              <w:rPr>
                <w:rFonts w:ascii="仿宋_GB2312" w:eastAsia="仿宋_GB2312" w:cs="仿宋_GB2312" w:hAnsi="新宋体"/>
                <w:kern w:val="0"/>
                <w:szCs w:val="21"/>
              </w:rPr>
              <w:t>4.符合部门预算批复的用途；</w:t>
            </w:r>
          </w:p>
          <w:p>
            <w:pPr>
              <w:widowControl/>
              <w:spacing w:line="240" w:lineRule="exact"/>
              <w:jc w:val="left"/>
              <w:rPr>
                <w:szCs w:val="21"/>
              </w:rPr>
            </w:pPr>
            <w:r>
              <w:rPr>
                <w:rFonts w:ascii="仿宋_GB2312" w:eastAsia="仿宋_GB2312" w:cs="仿宋_GB2312" w:hAnsi="新宋体"/>
                <w:kern w:val="0"/>
                <w:szCs w:val="21"/>
              </w:rPr>
              <w:t>5.不存在截留情况；</w:t>
            </w:r>
          </w:p>
          <w:p>
            <w:pPr>
              <w:widowControl/>
              <w:spacing w:line="240" w:lineRule="exact"/>
              <w:jc w:val="left"/>
              <w:rPr>
                <w:szCs w:val="21"/>
              </w:rPr>
            </w:pPr>
            <w:r>
              <w:rPr>
                <w:rFonts w:ascii="仿宋_GB2312" w:eastAsia="仿宋_GB2312" w:cs="仿宋_GB2312" w:hAnsi="新宋体"/>
                <w:kern w:val="0"/>
                <w:szCs w:val="21"/>
              </w:rPr>
              <w:t>6.不存在挤占情况；</w:t>
            </w:r>
          </w:p>
          <w:p>
            <w:pPr>
              <w:widowControl/>
              <w:spacing w:line="240" w:lineRule="exact"/>
              <w:jc w:val="left"/>
              <w:rPr>
                <w:szCs w:val="21"/>
              </w:rPr>
            </w:pPr>
            <w:r>
              <w:rPr>
                <w:rFonts w:ascii="仿宋_GB2312" w:eastAsia="仿宋_GB2312" w:cs="仿宋_GB2312" w:hAnsi="新宋体"/>
                <w:kern w:val="0"/>
                <w:szCs w:val="21"/>
              </w:rPr>
              <w:t>7.不存在挪用情况；</w:t>
            </w:r>
          </w:p>
          <w:p>
            <w:pPr>
              <w:widowControl/>
              <w:spacing w:line="240" w:lineRule="exact"/>
              <w:jc w:val="left"/>
              <w:rPr>
                <w:szCs w:val="21"/>
              </w:rPr>
            </w:pPr>
            <w:r>
              <w:rPr>
                <w:rFonts w:ascii="仿宋_GB2312" w:eastAsia="仿宋_GB2312" w:cs="仿宋_GB2312" w:hAnsi="新宋体"/>
                <w:kern w:val="0"/>
                <w:szCs w:val="21"/>
              </w:rPr>
              <w:t>8.不存在虚列支出情况。</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全部符合（8）；</w:t>
            </w:r>
          </w:p>
          <w:p>
            <w:pPr>
              <w:widowControl/>
              <w:spacing w:line="240" w:lineRule="exact"/>
              <w:jc w:val="left"/>
              <w:rPr>
                <w:szCs w:val="21"/>
              </w:rPr>
            </w:pPr>
            <w:r>
              <w:rPr>
                <w:rFonts w:ascii="仿宋_GB2312" w:eastAsia="仿宋_GB2312" w:cs="仿宋_GB2312" w:hAnsi="新宋体"/>
                <w:kern w:val="0"/>
                <w:szCs w:val="21"/>
              </w:rPr>
              <w:t>符合其中七项（6）；</w:t>
            </w:r>
          </w:p>
          <w:p>
            <w:pPr>
              <w:widowControl/>
              <w:spacing w:line="240" w:lineRule="exact"/>
              <w:jc w:val="left"/>
              <w:rPr>
                <w:szCs w:val="21"/>
              </w:rPr>
            </w:pPr>
            <w:r>
              <w:rPr>
                <w:rFonts w:ascii="仿宋_GB2312" w:eastAsia="仿宋_GB2312" w:cs="仿宋_GB2312" w:hAnsi="新宋体"/>
                <w:kern w:val="0"/>
                <w:szCs w:val="21"/>
              </w:rPr>
              <w:t>符合其中六项（4）；</w:t>
            </w:r>
          </w:p>
          <w:p>
            <w:pPr>
              <w:widowControl/>
              <w:spacing w:line="240" w:lineRule="exact"/>
              <w:jc w:val="left"/>
              <w:rPr>
                <w:szCs w:val="21"/>
              </w:rPr>
            </w:pPr>
            <w:r>
              <w:rPr>
                <w:rFonts w:ascii="仿宋_GB2312" w:eastAsia="仿宋_GB2312" w:cs="仿宋_GB2312" w:hAnsi="新宋体"/>
                <w:kern w:val="0"/>
                <w:szCs w:val="21"/>
              </w:rPr>
              <w:t>符合其中五项（2）；</w:t>
            </w:r>
          </w:p>
          <w:p>
            <w:pPr>
              <w:widowControl/>
              <w:spacing w:line="240" w:lineRule="exact"/>
              <w:jc w:val="left"/>
              <w:rPr>
                <w:szCs w:val="21"/>
              </w:rPr>
            </w:pPr>
            <w:r>
              <w:rPr>
                <w:rFonts w:ascii="仿宋_GB2312" w:eastAsia="仿宋_GB2312" w:cs="仿宋_GB2312" w:hAnsi="新宋体"/>
                <w:kern w:val="0"/>
                <w:szCs w:val="21"/>
              </w:rPr>
              <w:t>符合其中四项及以下（0）。</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8</w:t>
            </w:r>
          </w:p>
        </w:tc>
      </w:tr>
      <w:tr>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预决算信息</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公开性</w:t>
            </w:r>
          </w:p>
          <w:p>
            <w:pPr>
              <w:widowControl/>
              <w:spacing w:line="240" w:lineRule="exact"/>
              <w:jc w:val="left"/>
              <w:rPr>
                <w:szCs w:val="21"/>
              </w:rPr>
            </w:pPr>
            <w:r>
              <w:rPr>
                <w:rFonts w:ascii="仿宋_GB2312" w:eastAsia="仿宋_GB2312" w:cs="仿宋_GB2312" w:hAnsi="新宋体"/>
                <w:kern w:val="0"/>
                <w:szCs w:val="21"/>
              </w:rPr>
              <w:t>（3</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部门是否按照政府信息公开有关规定公开相关预决算信息，用以反映和评价部门预决算管理的公开透明情况。</w:t>
            </w:r>
          </w:p>
          <w:p>
            <w:pPr>
              <w:widowControl/>
              <w:spacing w:line="240" w:lineRule="exact"/>
              <w:jc w:val="left"/>
              <w:rPr>
                <w:szCs w:val="21"/>
              </w:rPr>
            </w:pPr>
            <w:r>
              <w:rPr>
                <w:rFonts w:ascii="仿宋_GB2312" w:eastAsia="仿宋_GB2312" w:cs="仿宋_GB2312" w:hAnsi="新宋体"/>
                <w:kern w:val="0"/>
                <w:szCs w:val="21"/>
              </w:rPr>
              <w:t>预决算信息是指与部门预算、执行、决算、监督、绩效等管理相关的信息。</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1.公开预决算信息；</w:t>
            </w:r>
          </w:p>
          <w:p>
            <w:pPr>
              <w:widowControl/>
              <w:spacing w:line="240" w:lineRule="exact"/>
              <w:jc w:val="left"/>
              <w:rPr>
                <w:szCs w:val="21"/>
              </w:rPr>
            </w:pPr>
            <w:r>
              <w:rPr>
                <w:rFonts w:ascii="仿宋_GB2312" w:eastAsia="仿宋_GB2312" w:cs="仿宋_GB2312" w:hAnsi="新宋体"/>
                <w:kern w:val="0"/>
                <w:szCs w:val="21"/>
              </w:rPr>
              <w:t>2.按规定内容公开预决算信息；</w:t>
            </w:r>
          </w:p>
          <w:p>
            <w:pPr>
              <w:widowControl/>
              <w:spacing w:line="240" w:lineRule="exact"/>
              <w:jc w:val="left"/>
              <w:rPr>
                <w:szCs w:val="21"/>
              </w:rPr>
            </w:pPr>
            <w:r>
              <w:rPr>
                <w:rFonts w:ascii="仿宋_GB2312" w:eastAsia="仿宋_GB2312" w:cs="仿宋_GB2312" w:hAnsi="新宋体"/>
                <w:kern w:val="0"/>
                <w:szCs w:val="21"/>
              </w:rPr>
              <w:t>3.按规定时限公开预决算信息。</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全部符合（3）；</w:t>
            </w:r>
          </w:p>
          <w:p>
            <w:pPr>
              <w:widowControl/>
              <w:spacing w:line="240" w:lineRule="exact"/>
              <w:jc w:val="left"/>
              <w:rPr>
                <w:szCs w:val="21"/>
              </w:rPr>
            </w:pPr>
            <w:r>
              <w:rPr>
                <w:rFonts w:ascii="仿宋_GB2312" w:eastAsia="仿宋_GB2312" w:cs="仿宋_GB2312" w:hAnsi="新宋体"/>
                <w:kern w:val="0"/>
                <w:szCs w:val="21"/>
              </w:rPr>
              <w:t>符合其中两项（2）</w:t>
            </w:r>
          </w:p>
          <w:p>
            <w:pPr>
              <w:widowControl/>
              <w:spacing w:line="240" w:lineRule="exact"/>
              <w:jc w:val="left"/>
              <w:rPr>
                <w:szCs w:val="21"/>
              </w:rPr>
            </w:pPr>
            <w:r>
              <w:rPr>
                <w:rFonts w:ascii="仿宋_GB2312" w:eastAsia="仿宋_GB2312" w:cs="仿宋_GB2312" w:hAnsi="新宋体"/>
                <w:kern w:val="0"/>
                <w:szCs w:val="21"/>
              </w:rPr>
              <w:t>符合其中一项及以下（0）。</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3</w:t>
            </w:r>
          </w:p>
        </w:tc>
      </w:tr>
      <w:tr>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color w:val="000000"/>
                <w:kern w:val="0"/>
                <w:szCs w:val="21"/>
              </w:rPr>
            </w:pPr>
            <w:r>
              <w:rPr>
                <w:rFonts w:ascii="仿宋_GB2312" w:eastAsia="仿宋_GB2312" w:cs="仿宋_GB2312" w:hAnsi="新宋体"/>
                <w:color w:val="000000"/>
                <w:kern w:val="0"/>
                <w:szCs w:val="21"/>
              </w:rPr>
              <w:t>基础信息</w:t>
            </w:r>
          </w:p>
          <w:p>
            <w:pPr>
              <w:widowControl/>
              <w:spacing w:line="240" w:lineRule="exact"/>
              <w:jc w:val="left"/>
              <w:rPr>
                <w:rFonts w:ascii="仿宋_GB2312" w:eastAsia="仿宋_GB2312" w:cs="仿宋_GB2312" w:hAnsi="新宋体"/>
                <w:color w:val="000000"/>
                <w:kern w:val="0"/>
                <w:szCs w:val="21"/>
              </w:rPr>
            </w:pPr>
            <w:r>
              <w:rPr>
                <w:rFonts w:ascii="仿宋_GB2312" w:eastAsia="仿宋_GB2312" w:cs="仿宋_GB2312" w:hAnsi="新宋体"/>
                <w:color w:val="000000"/>
                <w:kern w:val="0"/>
                <w:szCs w:val="21"/>
              </w:rPr>
              <w:t>完善性</w:t>
            </w:r>
          </w:p>
          <w:p>
            <w:pPr>
              <w:widowControl/>
              <w:spacing w:line="240" w:lineRule="exact"/>
              <w:jc w:val="left"/>
              <w:rPr>
                <w:szCs w:val="21"/>
              </w:rPr>
            </w:pPr>
            <w:r>
              <w:rPr>
                <w:rFonts w:ascii="仿宋_GB2312" w:eastAsia="仿宋_GB2312" w:cs="仿宋_GB2312" w:hAnsi="新宋体"/>
                <w:kern w:val="0"/>
                <w:szCs w:val="21"/>
              </w:rPr>
              <w:t>（4</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部门基础信息是否完善，用以反映和评价基础信息对预算管理工作的支撑情况。</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1.基本财务管理制度健全；</w:t>
            </w:r>
          </w:p>
          <w:p>
            <w:pPr>
              <w:widowControl/>
              <w:spacing w:line="240" w:lineRule="exact"/>
              <w:jc w:val="left"/>
              <w:rPr>
                <w:szCs w:val="21"/>
              </w:rPr>
            </w:pPr>
            <w:r>
              <w:rPr>
                <w:rFonts w:ascii="仿宋_GB2312" w:eastAsia="仿宋_GB2312" w:cs="仿宋_GB2312" w:hAnsi="新宋体"/>
                <w:kern w:val="0"/>
                <w:szCs w:val="21"/>
              </w:rPr>
              <w:t>2.基础数据信息和会计信息资料真实；</w:t>
            </w:r>
          </w:p>
          <w:p>
            <w:pPr>
              <w:widowControl/>
              <w:spacing w:line="240" w:lineRule="exact"/>
              <w:jc w:val="left"/>
              <w:rPr>
                <w:szCs w:val="21"/>
              </w:rPr>
            </w:pPr>
            <w:r>
              <w:rPr>
                <w:rFonts w:ascii="仿宋_GB2312" w:eastAsia="仿宋_GB2312" w:cs="仿宋_GB2312" w:hAnsi="新宋体"/>
                <w:kern w:val="0"/>
                <w:szCs w:val="21"/>
              </w:rPr>
              <w:t>3.基础数据信息和会计信息资料完整；</w:t>
            </w:r>
          </w:p>
          <w:p>
            <w:pPr>
              <w:widowControl/>
              <w:spacing w:line="240" w:lineRule="exact"/>
              <w:jc w:val="left"/>
              <w:rPr>
                <w:szCs w:val="21"/>
              </w:rPr>
            </w:pPr>
            <w:r>
              <w:rPr>
                <w:rFonts w:ascii="仿宋_GB2312" w:eastAsia="仿宋_GB2312" w:cs="仿宋_GB2312" w:hAnsi="新宋体"/>
                <w:kern w:val="0"/>
                <w:szCs w:val="21"/>
              </w:rPr>
              <w:t>4.基础数据信息和会计信息资料准确。</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符合全部四项（4）；</w:t>
            </w:r>
          </w:p>
          <w:p>
            <w:pPr>
              <w:widowControl/>
              <w:spacing w:line="240" w:lineRule="exact"/>
              <w:jc w:val="left"/>
              <w:rPr>
                <w:szCs w:val="21"/>
              </w:rPr>
            </w:pPr>
            <w:r>
              <w:rPr>
                <w:rFonts w:ascii="仿宋_GB2312" w:eastAsia="仿宋_GB2312" w:cs="仿宋_GB2312" w:hAnsi="新宋体"/>
                <w:kern w:val="0"/>
                <w:szCs w:val="21"/>
              </w:rPr>
              <w:t>符合其中三项（2）；</w:t>
            </w:r>
          </w:p>
          <w:p>
            <w:pPr>
              <w:widowControl/>
              <w:spacing w:line="240" w:lineRule="exact"/>
              <w:jc w:val="left"/>
              <w:rPr>
                <w:szCs w:val="21"/>
              </w:rPr>
            </w:pPr>
            <w:r>
              <w:rPr>
                <w:rFonts w:ascii="仿宋_GB2312" w:eastAsia="仿宋_GB2312" w:cs="仿宋_GB2312" w:hAnsi="新宋体"/>
                <w:kern w:val="0"/>
                <w:szCs w:val="21"/>
              </w:rPr>
              <w:t>符合其中两项（1）；</w:t>
            </w:r>
          </w:p>
          <w:p>
            <w:pPr>
              <w:widowControl/>
              <w:spacing w:line="240" w:lineRule="exact"/>
              <w:jc w:val="left"/>
              <w:rPr>
                <w:szCs w:val="21"/>
              </w:rPr>
            </w:pPr>
            <w:r>
              <w:rPr>
                <w:rFonts w:ascii="仿宋_GB2312" w:eastAsia="仿宋_GB2312" w:cs="仿宋_GB2312" w:hAnsi="新宋体"/>
                <w:kern w:val="0"/>
                <w:szCs w:val="21"/>
              </w:rPr>
              <w:t>符合其中一项及以下（0）。</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4</w:t>
            </w:r>
          </w:p>
        </w:tc>
      </w:tr>
      <w:tr>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资产管理</w:t>
            </w:r>
            <w:r>
              <w:rPr>
                <w:rFonts w:ascii="仿宋_GB2312" w:eastAsia="仿宋_GB2312" w:cs="仿宋_GB2312" w:hAnsi="新宋体" w:hint="eastAsia"/>
                <w:kern w:val="0"/>
                <w:szCs w:val="21"/>
              </w:rPr>
              <w:t>情况</w:t>
            </w:r>
            <w:r>
              <w:rPr>
                <w:rFonts w:ascii="仿宋_GB2312" w:eastAsia="仿宋_GB2312" w:cs="仿宋_GB2312" w:hAnsi="新宋体"/>
                <w:kern w:val="0"/>
                <w:sz w:val="18"/>
                <w:szCs w:val="18"/>
              </w:rPr>
              <w:t>（</w:t>
            </w:r>
            <w:r>
              <w:rPr>
                <w:rFonts w:ascii="仿宋_GB2312" w:eastAsia="仿宋_GB2312" w:cs="仿宋_GB2312" w:hAnsi="新宋体" w:hint="eastAsia"/>
                <w:kern w:val="0"/>
                <w:sz w:val="18"/>
                <w:szCs w:val="18"/>
              </w:rPr>
              <w:t>5分</w:t>
            </w:r>
            <w:r>
              <w:rPr>
                <w:rFonts w:ascii="仿宋_GB2312" w:eastAsia="仿宋_GB2312" w:cs="仿宋_GB2312" w:hAnsi="新宋体"/>
                <w:kern w:val="0"/>
                <w:sz w:val="18"/>
                <w:szCs w:val="18"/>
              </w:rPr>
              <w:t>）</w:t>
            </w:r>
          </w:p>
        </w:tc>
        <w:tc>
          <w:tcPr>
            <w:tcW w:w="1559" w:type="dxa"/>
            <w:tcBorders>
              <w:top w:val="single" w:sz="4" w:space="0" w:color="auto"/>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资产管理</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完整性</w:t>
            </w:r>
          </w:p>
          <w:p>
            <w:pPr>
              <w:widowControl/>
              <w:spacing w:line="240" w:lineRule="exact"/>
              <w:jc w:val="left"/>
              <w:rPr>
                <w:szCs w:val="21"/>
              </w:rPr>
            </w:pPr>
            <w:r>
              <w:rPr>
                <w:rFonts w:ascii="仿宋_GB2312" w:eastAsia="仿宋_GB2312" w:cs="仿宋_GB2312" w:hAnsi="新宋体"/>
                <w:kern w:val="0"/>
                <w:szCs w:val="21"/>
              </w:rPr>
              <w:t>（</w:t>
            </w:r>
            <w:r>
              <w:rPr>
                <w:rFonts w:ascii="仿宋_GB2312" w:eastAsia="仿宋_GB2312" w:cs="仿宋_GB2312" w:hAnsi="新宋体" w:hint="eastAsia"/>
                <w:kern w:val="0"/>
                <w:szCs w:val="21"/>
              </w:rPr>
              <w:t>2分</w:t>
            </w:r>
            <w:r>
              <w:rPr>
                <w:rFonts w:ascii="仿宋_GB2312" w:eastAsia="仿宋_GB2312" w:cs="仿宋_GB2312" w:hAnsi="新宋体"/>
                <w:kern w:val="0"/>
                <w:szCs w:val="21"/>
              </w:rPr>
              <w:t>）</w:t>
            </w:r>
          </w:p>
        </w:tc>
        <w:tc>
          <w:tcPr>
            <w:tcW w:w="3260" w:type="dxa"/>
            <w:tcBorders>
              <w:top w:val="single" w:sz="4" w:space="0" w:color="auto"/>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部门的资产是否保存完整、使用合规、收入及时足额上缴，用以反映和评价部门资产运行情况。</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1.资产保存完整；</w:t>
            </w:r>
          </w:p>
          <w:p>
            <w:pPr>
              <w:widowControl/>
              <w:spacing w:line="240" w:lineRule="exact"/>
              <w:jc w:val="left"/>
              <w:rPr>
                <w:szCs w:val="21"/>
              </w:rPr>
            </w:pPr>
            <w:r>
              <w:rPr>
                <w:rFonts w:ascii="仿宋_GB2312" w:eastAsia="仿宋_GB2312" w:cs="仿宋_GB2312" w:hAnsi="新宋体"/>
                <w:kern w:val="0"/>
                <w:szCs w:val="21"/>
              </w:rPr>
              <w:t>2.资产账务管理是否合规，帐实相符；</w:t>
            </w:r>
          </w:p>
          <w:p>
            <w:pPr>
              <w:widowControl/>
              <w:spacing w:line="240" w:lineRule="exact"/>
              <w:jc w:val="left"/>
              <w:rPr>
                <w:szCs w:val="21"/>
              </w:rPr>
            </w:pPr>
            <w:r>
              <w:rPr>
                <w:rFonts w:ascii="仿宋_GB2312" w:eastAsia="仿宋_GB2312" w:cs="仿宋_GB2312" w:hAnsi="新宋体"/>
                <w:kern w:val="0"/>
                <w:szCs w:val="21"/>
              </w:rPr>
              <w:t>3.资产有偿使用及处置收入及时足额上缴。</w:t>
            </w:r>
          </w:p>
        </w:tc>
        <w:tc>
          <w:tcPr>
            <w:tcW w:w="2410" w:type="dxa"/>
            <w:tcBorders>
              <w:top w:val="single" w:sz="4" w:space="0" w:color="auto"/>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符合全部三项（3）；</w:t>
            </w:r>
          </w:p>
          <w:p>
            <w:pPr>
              <w:widowControl/>
              <w:spacing w:line="240" w:lineRule="exact"/>
              <w:jc w:val="left"/>
              <w:rPr>
                <w:szCs w:val="21"/>
              </w:rPr>
            </w:pPr>
            <w:r>
              <w:rPr>
                <w:rFonts w:ascii="仿宋_GB2312" w:eastAsia="仿宋_GB2312" w:cs="仿宋_GB2312" w:hAnsi="新宋体"/>
                <w:kern w:val="0"/>
                <w:szCs w:val="21"/>
              </w:rPr>
              <w:t>符合其中两项（2）；</w:t>
            </w:r>
          </w:p>
          <w:p>
            <w:pPr>
              <w:widowControl/>
              <w:spacing w:line="240" w:lineRule="exact"/>
              <w:jc w:val="left"/>
              <w:rPr>
                <w:szCs w:val="21"/>
              </w:rPr>
            </w:pPr>
            <w:r>
              <w:rPr>
                <w:rFonts w:ascii="仿宋_GB2312" w:eastAsia="仿宋_GB2312" w:cs="仿宋_GB2312" w:hAnsi="新宋体"/>
                <w:kern w:val="0"/>
                <w:szCs w:val="21"/>
              </w:rPr>
              <w:t>符合其中一项（1）；</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符合零项（0）。</w:t>
            </w:r>
          </w:p>
        </w:tc>
        <w:tc>
          <w:tcPr>
            <w:tcW w:w="709" w:type="dxa"/>
            <w:tcBorders>
              <w:top w:val="single" w:sz="4" w:space="0" w:color="auto"/>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2</w:t>
            </w:r>
          </w:p>
        </w:tc>
      </w:tr>
      <w:tr>
        <w:trPr>
          <w:trHeight w:val="3689"/>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auto"/>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固定资产</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利用率</w:t>
            </w:r>
          </w:p>
          <w:p>
            <w:pPr>
              <w:widowControl/>
              <w:spacing w:line="240" w:lineRule="exact"/>
              <w:jc w:val="left"/>
              <w:rPr>
                <w:szCs w:val="21"/>
              </w:rPr>
            </w:pPr>
            <w:r>
              <w:rPr>
                <w:rFonts w:ascii="仿宋_GB2312" w:eastAsia="仿宋_GB2312" w:cs="仿宋_GB2312" w:hAnsi="新宋体"/>
                <w:kern w:val="0"/>
                <w:szCs w:val="21"/>
              </w:rPr>
              <w:t>（</w:t>
            </w:r>
            <w:r>
              <w:rPr>
                <w:rFonts w:ascii="仿宋_GB2312" w:eastAsia="仿宋_GB2312" w:cs="仿宋_GB2312" w:hAnsi="新宋体" w:hint="eastAsia"/>
                <w:kern w:val="0"/>
                <w:szCs w:val="21"/>
              </w:rPr>
              <w:t>3分</w:t>
            </w:r>
            <w:r>
              <w:rPr>
                <w:rFonts w:ascii="仿宋_GB2312" w:eastAsia="仿宋_GB2312" w:cs="仿宋_GB2312" w:hAnsi="新宋体"/>
                <w:kern w:val="0"/>
                <w:szCs w:val="21"/>
              </w:rPr>
              <w:t>）</w:t>
            </w:r>
          </w:p>
        </w:tc>
        <w:tc>
          <w:tcPr>
            <w:tcW w:w="3260" w:type="dxa"/>
            <w:tcBorders>
              <w:top w:val="single" w:sz="4" w:space="0" w:color="auto"/>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部门实际在用固定资产总额与所有固定资产总额的比率，用以反映和评价部门固定资产使用效率。</w:t>
            </w:r>
          </w:p>
          <w:p>
            <w:pPr>
              <w:widowControl/>
              <w:spacing w:line="240" w:lineRule="exact"/>
              <w:jc w:val="left"/>
              <w:rPr>
                <w:szCs w:val="21"/>
              </w:rPr>
            </w:pPr>
            <w:r>
              <w:rPr>
                <w:rFonts w:ascii="仿宋_GB2312" w:eastAsia="仿宋_GB2312" w:cs="仿宋_GB2312" w:hAnsi="新宋体"/>
                <w:kern w:val="0"/>
                <w:szCs w:val="21"/>
              </w:rPr>
              <w:t>固定资产利用率=（实际在用固定资产总额/所有固定资产总额）×100%。</w:t>
            </w:r>
          </w:p>
        </w:tc>
        <w:tc>
          <w:tcPr>
            <w:tcW w:w="2410" w:type="dxa"/>
            <w:tcBorders>
              <w:top w:val="single" w:sz="4" w:space="0" w:color="auto"/>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1.固定资产利用率大于或等于95%的，得满分；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2.固定资产利用率小于或等于85%的，得0分；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3.固定资产利用率在85%-95%之间的，在0和满分之间计算确定：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得分=［某部门固定资产利用率-min（固定资产利用率）］/［max（固定资产利用率）-min（固定资产利用率）］×该指标分值。</w:t>
            </w:r>
          </w:p>
          <w:p>
            <w:pPr>
              <w:widowControl/>
              <w:pBdr>
                <w:top w:val="none" w:sz="0" w:space="0" w:color="auto"/>
                <w:left w:val="none" w:sz="0" w:space="0" w:color="auto"/>
                <w:bottom w:val="none" w:sz="0" w:space="0" w:color="auto"/>
                <w:right w:val="none" w:sz="0" w:space="0" w:color="auto"/>
              </w:pBdr>
              <w:spacing w:line="240" w:lineRule="exact"/>
              <w:jc w:val="left"/>
              <w:rPr>
                <w:szCs w:val="21"/>
              </w:rPr>
            </w:pPr>
          </w:p>
        </w:tc>
        <w:tc>
          <w:tcPr>
            <w:tcW w:w="709" w:type="dxa"/>
            <w:tcBorders>
              <w:top w:val="single" w:sz="4" w:space="0" w:color="auto"/>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2</w:t>
            </w:r>
          </w:p>
        </w:tc>
      </w:tr>
      <w:tr>
        <w:trPr>
          <w:trHeight w:val="68"/>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产出(2</w:t>
            </w:r>
            <w:r>
              <w:rPr>
                <w:rFonts w:ascii="仿宋_GB2312" w:eastAsia="仿宋_GB2312" w:cs="仿宋_GB2312" w:hAnsi="新宋体" w:hint="eastAsia"/>
                <w:kern w:val="0"/>
                <w:szCs w:val="21"/>
              </w:rPr>
              <w:t>5分</w:t>
            </w:r>
            <w:r>
              <w:rPr>
                <w:rFonts w:ascii="仿宋_GB2312" w:eastAsia="仿宋_GB2312" w:cs="仿宋_GB2312" w:hAnsi="新宋体"/>
                <w:kern w:val="0"/>
                <w:szCs w:val="21"/>
              </w:rPr>
              <w:t>)</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职责履行</w:t>
            </w:r>
            <w:r>
              <w:rPr>
                <w:rFonts w:ascii="仿宋_GB2312" w:eastAsia="仿宋_GB2312" w:cs="仿宋_GB2312" w:hAnsi="新宋体" w:hint="eastAsia"/>
                <w:kern w:val="0"/>
                <w:szCs w:val="21"/>
              </w:rPr>
              <w:t>情况</w:t>
            </w:r>
            <w:r>
              <w:rPr>
                <w:rFonts w:ascii="仿宋_GB2312" w:eastAsia="仿宋_GB2312" w:cs="仿宋_GB2312" w:hAnsi="新宋体"/>
                <w:kern w:val="0"/>
                <w:sz w:val="18"/>
                <w:szCs w:val="18"/>
              </w:rPr>
              <w:t>（2</w:t>
            </w:r>
            <w:r>
              <w:rPr>
                <w:rFonts w:ascii="仿宋_GB2312" w:eastAsia="仿宋_GB2312" w:cs="仿宋_GB2312" w:hAnsi="新宋体" w:hint="eastAsia"/>
                <w:kern w:val="0"/>
                <w:sz w:val="18"/>
                <w:szCs w:val="18"/>
              </w:rPr>
              <w:t>5分</w:t>
            </w:r>
            <w:r>
              <w:rPr>
                <w:rFonts w:ascii="仿宋_GB2312" w:eastAsia="仿宋_GB2312" w:cs="仿宋_GB2312" w:hAnsi="新宋体"/>
                <w:kern w:val="0"/>
                <w:sz w:val="18"/>
                <w:szCs w:val="18"/>
              </w:rPr>
              <w:t>）</w:t>
            </w:r>
          </w:p>
        </w:tc>
        <w:tc>
          <w:tcPr>
            <w:tcW w:w="1559" w:type="dxa"/>
            <w:tcBorders>
              <w:top w:val="single" w:sz="4" w:space="0" w:color="000000"/>
              <w:left w:val="single" w:sz="4" w:space="0" w:color="000000"/>
              <w:bottom w:val="single" w:sz="4" w:space="0" w:color="auto"/>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hint="eastAsia"/>
                <w:kern w:val="0"/>
                <w:szCs w:val="21"/>
              </w:rPr>
              <w:t>履职</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hint="eastAsia"/>
                <w:kern w:val="0"/>
                <w:szCs w:val="21"/>
              </w:rPr>
              <w:t>完成</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hint="eastAsia"/>
                <w:kern w:val="0"/>
                <w:szCs w:val="21"/>
              </w:rPr>
              <w:t>情况</w:t>
            </w:r>
          </w:p>
          <w:p>
            <w:pPr>
              <w:widowControl/>
              <w:spacing w:line="240" w:lineRule="exact"/>
              <w:jc w:val="left"/>
              <w:rPr>
                <w:szCs w:val="21"/>
              </w:rPr>
            </w:pPr>
            <w:r>
              <w:rPr>
                <w:rFonts w:ascii="仿宋_GB2312" w:eastAsia="仿宋_GB2312" w:cs="仿宋_GB2312" w:hAnsi="新宋体"/>
                <w:kern w:val="0"/>
                <w:szCs w:val="21"/>
              </w:rPr>
              <w:t>（</w:t>
            </w:r>
            <w:r>
              <w:rPr>
                <w:rFonts w:ascii="仿宋_GB2312" w:eastAsia="仿宋_GB2312" w:cs="仿宋_GB2312" w:hAnsi="新宋体" w:hint="eastAsia"/>
                <w:kern w:val="0"/>
                <w:szCs w:val="21"/>
              </w:rPr>
              <w:t>10分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textAlignment w:val="center"/>
              <w:rPr>
                <w:szCs w:val="21"/>
              </w:rPr>
            </w:pPr>
            <w:r>
              <w:rPr>
                <w:rFonts w:ascii="仿宋" w:eastAsia="仿宋" w:cs="仿宋" w:hAnsi="仿宋" w:hint="eastAsia"/>
                <w:color w:val="000000"/>
                <w:kern w:val="0"/>
                <w:szCs w:val="21"/>
              </w:rPr>
              <w:t>根据年度主要任务分解表的具体任务，逐项评价任务量化指标完成情况、实施效果和责任制建立情况。用以反映和考核部门（单位）履职工作任务目标的完成情况。评价要点：</w:t>
              <w:br/>
              <w:t xml:space="preserve">1.每项任务是否已制定了明确、具体、可量化、可衡量的绩效指标；           </w:t>
              <w:br/>
              <w:t>2.每项任务绩效指标的完成情况，是全部完成、基本完成、未完成，还是未实施；</w:t>
              <w:br/>
              <w:t>3.每项任务实施效果情况，是优秀、良好、一般，还是无效果；</w:t>
              <w:br/>
              <w:t>4.每项任务是否建立了目标责任制，是否落实到具体部门和人员负责。</w:t>
            </w:r>
          </w:p>
        </w:tc>
        <w:tc>
          <w:tcPr>
            <w:tcW w:w="2410"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textAlignment w:val="center"/>
              <w:rPr>
                <w:szCs w:val="21"/>
              </w:rPr>
            </w:pPr>
            <w:r>
              <w:rPr>
                <w:rFonts w:ascii="仿宋" w:eastAsia="仿宋" w:cs="仿宋" w:hAnsi="仿宋" w:hint="eastAsia"/>
                <w:color w:val="000000"/>
                <w:kern w:val="0"/>
                <w:szCs w:val="21"/>
              </w:rPr>
              <w:t>根据不同部门履职的内容和特点，具体测算部门履职工作任务目标的完成情况。</w:t>
            </w:r>
          </w:p>
        </w:tc>
        <w:tc>
          <w:tcPr>
            <w:tcW w:w="709"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szCs w:val="21"/>
              </w:rPr>
            </w:pPr>
            <w:r>
              <w:rPr>
                <w:rFonts w:hint="eastAsia"/>
                <w:szCs w:val="21"/>
              </w:rPr>
              <w:t>10</w:t>
            </w:r>
          </w:p>
        </w:tc>
      </w:tr>
      <w:tr>
        <w:trPr>
          <w:trHeight w:val="3090"/>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项目</w:t>
            </w:r>
            <w:r>
              <w:rPr>
                <w:rFonts w:ascii="仿宋_GB2312" w:eastAsia="仿宋_GB2312" w:cs="仿宋_GB2312" w:hAnsi="新宋体" w:hint="eastAsia"/>
                <w:kern w:val="0"/>
                <w:szCs w:val="21"/>
              </w:rPr>
              <w:t>完成</w:t>
            </w:r>
          </w:p>
          <w:p>
            <w:pPr>
              <w:widowControl/>
              <w:spacing w:line="240" w:lineRule="exact"/>
              <w:jc w:val="left"/>
              <w:rPr>
                <w:szCs w:val="21"/>
              </w:rPr>
            </w:pPr>
            <w:r>
              <w:rPr>
                <w:rFonts w:ascii="仿宋_GB2312" w:eastAsia="仿宋_GB2312" w:cs="仿宋_GB2312" w:hAnsi="新宋体"/>
                <w:kern w:val="0"/>
                <w:szCs w:val="21"/>
              </w:rPr>
              <w:t>质量达标率（</w:t>
            </w:r>
            <w:r>
              <w:rPr>
                <w:rFonts w:ascii="仿宋_GB2312" w:eastAsia="仿宋_GB2312" w:cs="仿宋_GB2312" w:hAnsi="新宋体" w:hint="eastAsia"/>
                <w:kern w:val="0"/>
                <w:szCs w:val="21"/>
              </w:rPr>
              <w:t>15</w:t>
            </w:r>
            <w:r>
              <w:rPr>
                <w:rFonts w:ascii="仿宋_GB2312" w:eastAsia="仿宋_GB2312" w:cs="仿宋_GB2312" w:hAnsi="新宋体"/>
                <w:kern w:val="0"/>
                <w:szCs w:val="21"/>
              </w:rPr>
              <w:t>）</w:t>
            </w:r>
          </w:p>
        </w:tc>
        <w:tc>
          <w:tcPr>
            <w:tcW w:w="3260" w:type="dxa"/>
            <w:tcBorders>
              <w:top w:val="single" w:sz="4" w:space="0" w:color="000000"/>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部门已完成项目中质量达标项目个数占已完成项目个数的比率,用以反映和评价部门履职质量目标的实现程度。</w:t>
            </w:r>
          </w:p>
          <w:p>
            <w:pPr>
              <w:widowControl/>
              <w:spacing w:line="240" w:lineRule="exact"/>
              <w:jc w:val="left"/>
              <w:rPr>
                <w:szCs w:val="21"/>
              </w:rPr>
            </w:pPr>
            <w:r>
              <w:rPr>
                <w:rFonts w:ascii="仿宋_GB2312" w:eastAsia="仿宋_GB2312" w:cs="仿宋_GB2312" w:hAnsi="新宋体"/>
                <w:kern w:val="0"/>
                <w:szCs w:val="21"/>
              </w:rPr>
              <w:t>项目质量达标率=（已完成项目中质量达标项目个数/已完成项目个数）×100%。</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项目质量达标是指项目决算验收合格。</w:t>
            </w:r>
          </w:p>
        </w:tc>
        <w:tc>
          <w:tcPr>
            <w:tcW w:w="2410" w:type="dxa"/>
            <w:tcBorders>
              <w:top w:val="single" w:sz="4" w:space="0" w:color="000000"/>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1.项目质量达标率等于100%的，得满分；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2.项目质量达标率小于或等于99%的，得0分；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 xml:space="preserve">3.项目质量达标率在99%-100%之间的，在0和满分之间计算确定： </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得分=［某部门项目质量达标率-min（项目质量达标率）］/［max（项目质量达标率）-min（项目质量达标率）］×该指标分值。</w:t>
            </w:r>
          </w:p>
        </w:tc>
        <w:tc>
          <w:tcPr>
            <w:tcW w:w="709"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szCs w:val="21"/>
              </w:rPr>
            </w:pPr>
            <w:r>
              <w:rPr>
                <w:rFonts w:hint="eastAsia"/>
                <w:szCs w:val="21"/>
              </w:rPr>
              <w:t>14</w:t>
            </w:r>
          </w:p>
        </w:tc>
      </w:tr>
      <w:tr>
        <w:trPr>
          <w:trHeight w:val="68"/>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效果（</w:t>
            </w:r>
            <w:r>
              <w:rPr>
                <w:rFonts w:ascii="仿宋_GB2312" w:eastAsia="仿宋_GB2312" w:cs="仿宋_GB2312" w:hAnsi="新宋体" w:hint="eastAsia"/>
                <w:kern w:val="0"/>
                <w:szCs w:val="21"/>
              </w:rPr>
              <w:t>2</w:t>
            </w:r>
            <w:r>
              <w:rPr>
                <w:rFonts w:ascii="仿宋_GB2312" w:eastAsia="仿宋_GB2312" w:cs="仿宋_GB2312" w:hAnsi="新宋体"/>
                <w:kern w:val="0"/>
                <w:szCs w:val="21"/>
              </w:rPr>
              <w:t>0</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851" w:type="dxa"/>
            <w:vMerge w:val="restart"/>
            <w:tcBorders>
              <w:top w:val="single" w:sz="4" w:space="0" w:color="auto"/>
              <w:left w:val="single" w:sz="4" w:space="0" w:color="000000"/>
              <w:right w:val="single" w:sz="4" w:space="0" w:color="000000"/>
            </w:tcBorders>
            <w:vAlign w:val="center"/>
          </w:tcPr>
          <w:p>
            <w:pPr>
              <w:widowControl/>
              <w:spacing w:line="240" w:lineRule="exact"/>
              <w:jc w:val="left"/>
              <w:rPr>
                <w:rFonts w:ascii="仿宋_GB2312" w:eastAsia="仿宋_GB2312" w:cs="仿宋_GB2312" w:hAnsi="新宋体"/>
                <w:kern w:val="0"/>
                <w:szCs w:val="21"/>
              </w:rPr>
            </w:pP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hint="eastAsia"/>
                <w:kern w:val="0"/>
                <w:szCs w:val="21"/>
              </w:rPr>
              <w:t>履职效益情况</w:t>
            </w:r>
          </w:p>
          <w:p>
            <w:pPr>
              <w:widowControl/>
              <w:spacing w:line="240" w:lineRule="exact"/>
              <w:jc w:val="left"/>
              <w:rPr>
                <w:rFonts w:ascii="仿宋_GB2312" w:eastAsia="仿宋_GB2312" w:cs="仿宋_GB2312" w:hAnsi="新宋体"/>
                <w:kern w:val="0"/>
                <w:sz w:val="18"/>
                <w:szCs w:val="18"/>
              </w:rPr>
            </w:pPr>
            <w:r>
              <w:rPr>
                <w:rFonts w:ascii="仿宋_GB2312" w:eastAsia="仿宋_GB2312" w:cs="仿宋_GB2312" w:hAnsi="新宋体"/>
                <w:kern w:val="0"/>
                <w:sz w:val="18"/>
                <w:szCs w:val="18"/>
              </w:rPr>
              <w:t>（</w:t>
            </w:r>
            <w:r>
              <w:rPr>
                <w:rFonts w:ascii="仿宋_GB2312" w:eastAsia="仿宋_GB2312" w:cs="仿宋_GB2312" w:hAnsi="新宋体" w:hint="eastAsia"/>
                <w:kern w:val="0"/>
                <w:sz w:val="18"/>
                <w:szCs w:val="18"/>
              </w:rPr>
              <w:t>20分</w:t>
            </w:r>
            <w:r>
              <w:rPr>
                <w:rFonts w:ascii="仿宋_GB2312" w:eastAsia="仿宋_GB2312" w:cs="仿宋_GB2312" w:hAnsi="新宋体"/>
                <w:kern w:val="0"/>
                <w:sz w:val="18"/>
                <w:szCs w:val="18"/>
              </w:rPr>
              <w:t>）</w:t>
            </w: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color w:val="000000"/>
                <w:kern w:val="0"/>
                <w:szCs w:val="21"/>
              </w:rPr>
            </w:pPr>
            <w:r>
              <w:rPr>
                <w:rFonts w:ascii="仿宋_GB2312" w:eastAsia="仿宋_GB2312" w:cs="仿宋_GB2312" w:hAnsi="新宋体" w:hint="eastAsia"/>
                <w:color w:val="000000"/>
                <w:kern w:val="0"/>
                <w:szCs w:val="21"/>
              </w:rPr>
              <w:t>经济效益</w:t>
            </w:r>
          </w:p>
          <w:p>
            <w:pPr>
              <w:widowControl/>
              <w:spacing w:line="240" w:lineRule="exact"/>
              <w:jc w:val="left"/>
              <w:rPr>
                <w:szCs w:val="21"/>
              </w:rPr>
            </w:pPr>
            <w:r>
              <w:rPr>
                <w:rFonts w:ascii="仿宋_GB2312" w:eastAsia="仿宋_GB2312" w:cs="仿宋_GB2312" w:hAnsi="新宋体"/>
                <w:kern w:val="0"/>
                <w:szCs w:val="21"/>
              </w:rPr>
              <w:t>（5</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textAlignment w:val="center"/>
              <w:rPr>
                <w:rFonts w:ascii="仿宋" w:eastAsia="仿宋" w:cs="仿宋" w:hAnsi="仿宋"/>
                <w:color w:val="000000"/>
                <w:kern w:val="0"/>
                <w:szCs w:val="21"/>
              </w:rPr>
            </w:pPr>
            <w:r>
              <w:rPr>
                <w:rFonts w:ascii="仿宋" w:eastAsia="仿宋" w:cs="仿宋" w:hAnsi="仿宋" w:hint="eastAsia"/>
                <w:color w:val="000000"/>
                <w:kern w:val="0"/>
                <w:szCs w:val="21"/>
              </w:rPr>
              <w:t>部门及所属二级单位通过履行职责和预算安排支出项目的实施，对我市带来的经济影响。</w:t>
            </w:r>
          </w:p>
          <w:p>
            <w:pPr>
              <w:widowControl/>
              <w:spacing w:line="240" w:lineRule="exact"/>
              <w:jc w:val="left"/>
              <w:textAlignment w:val="center"/>
              <w:rPr>
                <w:rFonts w:ascii="仿宋" w:eastAsia="仿宋" w:cs="仿宋" w:hAnsi="仿宋"/>
                <w:szCs w:val="21"/>
              </w:rPr>
            </w:pPr>
            <w:r>
              <w:rPr>
                <w:rFonts w:ascii="仿宋" w:eastAsia="仿宋" w:cs="仿宋" w:hAnsi="仿宋" w:hint="eastAsia"/>
                <w:color w:val="000000"/>
                <w:kern w:val="0"/>
                <w:szCs w:val="21"/>
              </w:rPr>
              <w:t>评价要点：</w:t>
              <w:br/>
              <w:t xml:space="preserve">1.通过部门所属企事业单位改革，促进了企事业单位效益增长情况；          </w:t>
              <w:br/>
              <w:t>2.通过预算支出项目的实施，促进了行业生产能力增长，从而带动行业经济效益增长；</w:t>
              <w:br/>
              <w:t>3.通过预算支出项目的实施，有效提高劳动效率，节约成本费用；</w:t>
              <w:br/>
              <w:t>4.通过预算支出项目的实施，降低了损耗，从而提高了生产效益；</w:t>
              <w:br/>
              <w:t>5.通过预算支出项目的实施，完善了突发情况的监测预警，保障了生产安全，降低了生产损失。</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textAlignment w:val="center"/>
              <w:rPr>
                <w:rFonts w:ascii="仿宋" w:eastAsia="仿宋" w:cs="仿宋" w:hAnsi="仿宋"/>
                <w:szCs w:val="21"/>
              </w:rPr>
            </w:pPr>
            <w:r>
              <w:rPr>
                <w:rFonts w:ascii="仿宋" w:eastAsia="仿宋" w:cs="仿宋" w:hAnsi="仿宋" w:hint="eastAsia"/>
                <w:color w:val="000000"/>
                <w:kern w:val="0"/>
                <w:szCs w:val="21"/>
              </w:rPr>
              <w:t>根据不同部门履职的内容和特点，具体测算部门履职产生的经济效益。</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p>
        </w:tc>
      </w:tr>
      <w:tr>
        <w:trPr>
          <w:trHeight w:val="68"/>
        </w:trPr>
        <w:tc>
          <w:tcPr>
            <w:tcW w:w="817" w:type="dxa"/>
            <w:vMerge/>
            <w:tcBorders>
              <w:left w:val="single" w:sz="4" w:space="0" w:color="000000"/>
              <w:right w:val="single" w:sz="4" w:space="0" w:color="000000"/>
            </w:tcBorders>
            <w:vAlign w:val="center"/>
          </w:tcPr>
          <w:p/>
        </w:tc>
        <w:tc>
          <w:tcPr>
            <w:tcW w:w="851" w:type="dxa"/>
            <w:vMerge/>
            <w:tcBorders>
              <w:left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rPr>
                <w:rFonts w:ascii="仿宋_GB2312" w:eastAsia="仿宋_GB2312" w:cs="仿宋_GB2312" w:hAnsi="新宋体"/>
                <w:color w:val="000000"/>
                <w:kern w:val="0"/>
                <w:szCs w:val="21"/>
              </w:rPr>
            </w:pPr>
            <w:r>
              <w:rPr>
                <w:rFonts w:ascii="仿宋_GB2312" w:eastAsia="仿宋_GB2312" w:cs="仿宋_GB2312" w:hAnsi="新宋体" w:hint="eastAsia"/>
                <w:color w:val="000000"/>
                <w:kern w:val="0"/>
                <w:szCs w:val="21"/>
              </w:rPr>
              <w:t>社会效益</w:t>
            </w:r>
          </w:p>
          <w:p>
            <w:pPr>
              <w:widowControl/>
              <w:spacing w:line="240" w:lineRule="exact"/>
              <w:rPr>
                <w:rFonts w:ascii="仿宋_GB2312" w:eastAsia="仿宋_GB2312" w:cs="仿宋_GB2312" w:hAnsi="新宋体"/>
                <w:color w:val="000000"/>
                <w:kern w:val="0"/>
                <w:szCs w:val="21"/>
              </w:rPr>
            </w:pPr>
            <w:r>
              <w:rPr>
                <w:rFonts w:ascii="仿宋_GB2312" w:eastAsia="仿宋_GB2312" w:cs="仿宋_GB2312" w:hAnsi="新宋体" w:hint="eastAsia"/>
                <w:color w:val="000000"/>
                <w:kern w:val="0"/>
                <w:szCs w:val="21"/>
              </w:rPr>
              <w:t>（5分）</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textAlignment w:val="center"/>
              <w:rPr>
                <w:rFonts w:ascii="仿宋" w:eastAsia="仿宋" w:cs="仿宋" w:hAnsi="仿宋"/>
                <w:color w:val="000000"/>
                <w:kern w:val="0"/>
                <w:szCs w:val="21"/>
              </w:rPr>
            </w:pPr>
            <w:r>
              <w:rPr>
                <w:rFonts w:ascii="仿宋" w:eastAsia="仿宋" w:cs="仿宋" w:hAnsi="仿宋" w:hint="eastAsia"/>
                <w:color w:val="000000"/>
                <w:kern w:val="0"/>
                <w:szCs w:val="21"/>
              </w:rPr>
              <w:t>部门及所属二级单位履行职责对社会发展所带来的直接或间接影响。</w:t>
            </w:r>
          </w:p>
          <w:p>
            <w:pPr>
              <w:widowControl/>
              <w:spacing w:line="240" w:lineRule="exact"/>
              <w:textAlignment w:val="center"/>
              <w:rPr>
                <w:rFonts w:ascii="仿宋" w:eastAsia="仿宋" w:cs="仿宋" w:hAnsi="仿宋"/>
                <w:color w:val="000000"/>
                <w:kern w:val="0"/>
                <w:szCs w:val="21"/>
              </w:rPr>
            </w:pPr>
            <w:r>
              <w:rPr>
                <w:rFonts w:ascii="仿宋" w:eastAsia="仿宋" w:cs="仿宋" w:hAnsi="仿宋" w:hint="eastAsia"/>
                <w:color w:val="000000"/>
                <w:kern w:val="0"/>
                <w:szCs w:val="21"/>
              </w:rPr>
              <w:t>评价要点：</w:t>
              <w:br/>
              <w:t xml:space="preserve">1.通过部门所属企事业单位的改革，促进了企事业单位可持续发展，带动就业增长情况；          </w:t>
              <w:br/>
              <w:t>2.通过预算支出项目的实施，是否明显促进了行业精神文明建设；</w:t>
              <w:br/>
              <w:t>3.通过部门履职是否明显提高城乡居民生活水平，满足了人们日益增长的物质与文化生活需求；</w:t>
              <w:br/>
              <w:t>4.通过预算项目的实施，是否提高了劳动生产率，降低了劳动强度，促进了劳动人民的身心健康；</w:t>
              <w:br/>
              <w:t>5.通过部门履职行业形象是否得到了大大提升了，增强了部门影响力。</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textAlignment w:val="center"/>
              <w:rPr>
                <w:rFonts w:ascii="仿宋" w:eastAsia="仿宋" w:cs="仿宋" w:hAnsi="仿宋"/>
                <w:szCs w:val="21"/>
              </w:rPr>
            </w:pPr>
            <w:r>
              <w:rPr>
                <w:rFonts w:ascii="仿宋" w:eastAsia="仿宋" w:cs="仿宋" w:hAnsi="仿宋" w:hint="eastAsia"/>
                <w:color w:val="000000"/>
                <w:kern w:val="0"/>
                <w:szCs w:val="21"/>
              </w:rPr>
              <w:t>根据不同部门履职的内容和特点，具体测算部门履职产生的社会效益。</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5</w:t>
            </w:r>
          </w:p>
        </w:tc>
      </w:tr>
      <w:tr>
        <w:trPr>
          <w:trHeight w:val="68"/>
        </w:trPr>
        <w:tc>
          <w:tcPr>
            <w:tcW w:w="817" w:type="dxa"/>
            <w:vMerge/>
            <w:tcBorders>
              <w:left w:val="single" w:sz="4" w:space="0" w:color="000000"/>
              <w:right w:val="single" w:sz="4" w:space="0" w:color="000000"/>
            </w:tcBorders>
            <w:vAlign w:val="center"/>
          </w:tcPr>
          <w:p/>
        </w:tc>
        <w:tc>
          <w:tcPr>
            <w:tcW w:w="851" w:type="dxa"/>
            <w:vMerge/>
            <w:tcBorders>
              <w:left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color w:val="000000"/>
                <w:kern w:val="0"/>
                <w:szCs w:val="21"/>
              </w:rPr>
            </w:pPr>
            <w:r>
              <w:rPr>
                <w:rFonts w:ascii="仿宋_GB2312" w:eastAsia="仿宋_GB2312" w:cs="仿宋_GB2312" w:hAnsi="新宋体" w:hint="eastAsia"/>
                <w:color w:val="000000"/>
                <w:kern w:val="0"/>
                <w:szCs w:val="21"/>
              </w:rPr>
              <w:t>生态效益</w:t>
            </w:r>
          </w:p>
          <w:p>
            <w:pPr>
              <w:widowControl/>
              <w:spacing w:line="240" w:lineRule="exact"/>
              <w:jc w:val="left"/>
              <w:rPr>
                <w:rFonts w:ascii="仿宋_GB2312" w:eastAsia="仿宋_GB2312" w:cs="仿宋_GB2312" w:hAnsi="新宋体"/>
                <w:color w:val="000000"/>
                <w:kern w:val="0"/>
                <w:szCs w:val="21"/>
              </w:rPr>
            </w:pPr>
            <w:r>
              <w:rPr>
                <w:rFonts w:ascii="仿宋_GB2312" w:eastAsia="仿宋_GB2312" w:cs="仿宋_GB2312" w:hAnsi="新宋体" w:hint="eastAsia"/>
                <w:color w:val="000000"/>
                <w:kern w:val="0"/>
                <w:szCs w:val="21"/>
              </w:rPr>
              <w:t>（5分）</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textAlignment w:val="center"/>
              <w:rPr>
                <w:rFonts w:ascii="仿宋" w:eastAsia="仿宋" w:cs="仿宋" w:hAnsi="仿宋"/>
                <w:color w:val="000000"/>
                <w:kern w:val="0"/>
                <w:szCs w:val="21"/>
              </w:rPr>
            </w:pPr>
            <w:r>
              <w:rPr>
                <w:rFonts w:ascii="仿宋" w:eastAsia="仿宋" w:cs="仿宋" w:hAnsi="仿宋" w:hint="eastAsia"/>
                <w:color w:val="000000"/>
                <w:kern w:val="0"/>
                <w:szCs w:val="21"/>
              </w:rPr>
              <w:t>部门及所属二级单位履行职责对生态环境所带来的直接或间接影响。</w:t>
            </w:r>
          </w:p>
          <w:p>
            <w:pPr>
              <w:widowControl/>
              <w:spacing w:line="240" w:lineRule="exact"/>
              <w:jc w:val="left"/>
              <w:textAlignment w:val="center"/>
              <w:rPr>
                <w:rFonts w:ascii="仿宋" w:eastAsia="仿宋" w:cs="仿宋" w:hAnsi="仿宋"/>
                <w:color w:val="000000"/>
                <w:kern w:val="0"/>
                <w:szCs w:val="21"/>
              </w:rPr>
            </w:pPr>
            <w:r>
              <w:rPr>
                <w:rFonts w:ascii="仿宋" w:eastAsia="仿宋" w:cs="仿宋" w:hAnsi="仿宋" w:hint="eastAsia"/>
                <w:color w:val="000000"/>
                <w:kern w:val="0"/>
                <w:szCs w:val="21"/>
              </w:rPr>
              <w:t>评价要点：</w:t>
              <w:br/>
              <w:t>1.通过预算支出项目的实施，绿色、节能环保新技术的应用和推广，明显带动各环节的节能减排，也具有一定的环境效益；</w:t>
              <w:br/>
              <w:t>2.通过履职有效地控制虚假、伪劣、霉变等劣质产品进入市场，影响了人民生活质量，净化地市场环境；</w:t>
              <w:br/>
              <w:t>3.通过预算支出项目的实施，是否达到减少污染物排放；</w:t>
              <w:br/>
              <w:t>4.通过预算支出项目的实施，周围环境得到了整治，面貌得到了改善。</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textAlignment w:val="center"/>
              <w:rPr>
                <w:szCs w:val="21"/>
              </w:rPr>
            </w:pPr>
            <w:r>
              <w:rPr>
                <w:rFonts w:ascii="仿宋" w:eastAsia="仿宋" w:cs="仿宋" w:hAnsi="仿宋" w:hint="eastAsia"/>
                <w:color w:val="000000"/>
                <w:kern w:val="0"/>
                <w:szCs w:val="21"/>
              </w:rPr>
              <w:t>根据不同部门履职的内容和特点，具体测算部门履职产生的生态效益。</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2</w:t>
            </w:r>
          </w:p>
        </w:tc>
      </w:tr>
      <w:tr>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left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hint="eastAsia"/>
                <w:kern w:val="0"/>
                <w:szCs w:val="21"/>
              </w:rPr>
              <w:t>服务对象</w:t>
            </w:r>
            <w:r>
              <w:rPr>
                <w:rFonts w:ascii="仿宋_GB2312" w:eastAsia="仿宋_GB2312" w:cs="仿宋_GB2312" w:hAnsi="新宋体"/>
                <w:kern w:val="0"/>
                <w:szCs w:val="21"/>
              </w:rPr>
              <w:t>满意度（5）</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hint="eastAsia"/>
                <w:kern w:val="0"/>
                <w:szCs w:val="21"/>
              </w:rPr>
              <w:t>通过对部门（单位）的服务对象对部门履职效果的满意程度调查，反映和考核社会公众或服务对象对部门履职的满意度。</w:t>
            </w:r>
          </w:p>
        </w:tc>
        <w:tc>
          <w:tcPr>
            <w:tcW w:w="241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rPr>
                <w:rFonts w:ascii="仿宋" w:eastAsia="仿宋" w:cs="宋体" w:hAnsi="仿宋"/>
                <w:kern w:val="0"/>
                <w:szCs w:val="21"/>
              </w:rPr>
            </w:pPr>
            <w:r>
              <w:rPr>
                <w:rFonts w:ascii="仿宋" w:eastAsia="仿宋" w:cs="Arial" w:hAnsi="仿宋"/>
                <w:kern w:val="0"/>
                <w:szCs w:val="21"/>
              </w:rPr>
              <w:t>按照满意度调查的优秀、良好、合格、不合格给予该项指标打分：</w:t>
            </w:r>
          </w:p>
          <w:p>
            <w:pPr>
              <w:widowControl/>
              <w:spacing w:line="240" w:lineRule="exact"/>
              <w:rPr>
                <w:szCs w:val="21"/>
              </w:rPr>
            </w:pPr>
            <w:r>
              <w:rPr>
                <w:rFonts w:ascii="仿宋" w:eastAsia="仿宋" w:cs="Arial" w:hAnsi="仿宋"/>
                <w:kern w:val="0"/>
                <w:szCs w:val="21"/>
              </w:rPr>
              <w:t>优秀（</w:t>
            </w:r>
            <w:r>
              <w:rPr>
                <w:rFonts w:ascii="仿宋" w:eastAsia="仿宋" w:cs="Arial" w:hAnsi="仿宋" w:hint="eastAsia"/>
                <w:kern w:val="0"/>
                <w:szCs w:val="21"/>
              </w:rPr>
              <w:t>5</w:t>
            </w:r>
            <w:r>
              <w:rPr>
                <w:rFonts w:ascii="仿宋" w:eastAsia="仿宋" w:cs="Arial" w:hAnsi="仿宋"/>
                <w:kern w:val="0"/>
                <w:szCs w:val="21"/>
              </w:rPr>
              <w:t>）；良好（</w:t>
            </w:r>
            <w:r>
              <w:rPr>
                <w:rFonts w:ascii="仿宋" w:eastAsia="仿宋" w:cs="Arial" w:hAnsi="仿宋" w:hint="eastAsia"/>
                <w:kern w:val="0"/>
                <w:szCs w:val="21"/>
              </w:rPr>
              <w:t>3</w:t>
            </w:r>
            <w:r>
              <w:rPr>
                <w:rFonts w:ascii="仿宋" w:eastAsia="仿宋" w:cs="Arial" w:hAnsi="仿宋"/>
                <w:kern w:val="0"/>
                <w:szCs w:val="21"/>
              </w:rPr>
              <w:t>）；合格（</w:t>
            </w:r>
            <w:r>
              <w:rPr>
                <w:rFonts w:ascii="仿宋" w:eastAsia="仿宋" w:cs="Arial" w:hAnsi="仿宋" w:hint="eastAsia"/>
                <w:kern w:val="0"/>
                <w:szCs w:val="21"/>
              </w:rPr>
              <w:t>1</w:t>
            </w:r>
            <w:r>
              <w:rPr>
                <w:rFonts w:ascii="仿宋" w:eastAsia="仿宋" w:cs="Arial" w:hAnsi="仿宋"/>
                <w:kern w:val="0"/>
                <w:szCs w:val="21"/>
              </w:rPr>
              <w:t>）；不合格（</w:t>
            </w:r>
            <w:r>
              <w:rPr>
                <w:rFonts w:ascii="仿宋" w:eastAsia="仿宋" w:cs="Arial" w:hAnsi="仿宋" w:hint="eastAsia"/>
                <w:kern w:val="0"/>
                <w:szCs w:val="21"/>
              </w:rPr>
              <w:t>0</w:t>
            </w:r>
            <w:r>
              <w:rPr>
                <w:rFonts w:ascii="仿宋" w:eastAsia="仿宋" w:cs="Arial" w:hAnsi="仿宋"/>
                <w:kern w:val="0"/>
                <w:szCs w:val="21"/>
              </w:rPr>
              <w:t>）。</w:t>
            </w:r>
          </w:p>
        </w:tc>
        <w:tc>
          <w:tcPr>
            <w:tcW w:w="709"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szCs w:val="21"/>
              </w:rPr>
            </w:pPr>
            <w:r>
              <w:rPr>
                <w:rFonts w:hint="eastAsia"/>
                <w:szCs w:val="21"/>
              </w:rPr>
              <w:t>5</w:t>
            </w:r>
          </w:p>
        </w:tc>
      </w:tr>
    </w:tbl>
    <w:p>
      <w:pPr>
        <w:widowControl/>
        <w:spacing w:line="480" w:lineRule="exact"/>
        <w:jc w:val="left"/>
        <w:rPr>
          <w:rFonts w:ascii="仿宋" w:eastAsia="仿宋" w:cs="仿宋" w:hAnsi="仿宋"/>
          <w:kern w:val="0"/>
          <w:sz w:val="32"/>
          <w:szCs w:val="32"/>
          <w:shd w:val="clear" w:color="auto" w:fill="FFFFFF"/>
        </w:rPr>
      </w:pPr>
    </w:p>
    <w:p>
      <w:pPr>
        <w:rPr>
          <w:rFonts w:ascii="黑体" w:eastAsia="黑体" w:cs="黑体" w:hAnsi="黑体"/>
          <w:b/>
          <w:bCs/>
          <w:sz w:val="30"/>
          <w:szCs w:val="30"/>
        </w:rPr>
      </w:pPr>
      <w:r>
        <w:rPr>
          <w:rFonts w:ascii="黑体" w:eastAsia="黑体" w:cs="黑体" w:hAnsi="黑体" w:hint="eastAsia"/>
          <w:b/>
          <w:bCs/>
          <w:sz w:val="30"/>
          <w:szCs w:val="30"/>
        </w:rPr>
        <w:t>(后附部门整体自评报告)</w:t>
      </w:r>
    </w:p>
    <w:p>
      <w:pPr>
        <w:ind w:firstLine="780"/>
        <w:jc w:val="center"/>
        <w:rPr>
          <w:rFonts w:ascii="宋体" w:cs="黑体"/>
          <w:b/>
          <w:bCs/>
          <w:sz w:val="44"/>
          <w:szCs w:val="44"/>
        </w:rPr>
      </w:pPr>
      <w:r>
        <w:rPr>
          <w:rFonts w:ascii="宋体" w:cs="黑体" w:hint="eastAsia"/>
          <w:b/>
          <w:bCs/>
          <w:sz w:val="44"/>
          <w:szCs w:val="44"/>
        </w:rPr>
        <w:t>隆尧县公安局</w:t>
      </w:r>
    </w:p>
    <w:p>
      <w:pPr>
        <w:ind w:firstLine="780"/>
        <w:jc w:val="center"/>
        <w:rPr>
          <w:rFonts w:ascii="宋体" w:cs="黑体"/>
          <w:b/>
          <w:bCs/>
          <w:sz w:val="44"/>
          <w:szCs w:val="44"/>
        </w:rPr>
      </w:pPr>
      <w:r>
        <w:rPr>
          <w:rFonts w:ascii="宋体" w:cs="黑体" w:hint="eastAsia"/>
          <w:b/>
          <w:bCs/>
          <w:sz w:val="44"/>
          <w:szCs w:val="44"/>
        </w:rPr>
        <w:t>2021年部门整体支出绩效评价报告</w:t>
      </w:r>
    </w:p>
    <w:p>
      <w:pPr>
        <w:spacing w:line="560" w:lineRule="exact"/>
        <w:ind w:firstLineChars="200" w:firstLine="640"/>
        <w:rPr>
          <w:rFonts w:ascii="黑体" w:eastAsia="黑体" w:cs="仿宋" w:hAnsi="黑体"/>
          <w:sz w:val="32"/>
          <w:szCs w:val="32"/>
        </w:rPr>
      </w:pPr>
      <w:r>
        <w:rPr>
          <w:rFonts w:ascii="黑体" w:eastAsia="黑体" w:cs="仿宋" w:hAnsi="黑体" w:hint="eastAsia"/>
          <w:sz w:val="32"/>
          <w:szCs w:val="32"/>
        </w:rPr>
        <w:t>一、基本概况。</w:t>
      </w:r>
    </w:p>
    <w:p>
      <w:pPr>
        <w:adjustRightIn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(一)部门主要职责职能和部门组织架构</w:t>
      </w:r>
    </w:p>
    <w:p>
      <w:pPr>
        <w:adjustRightInd w:val="0"/>
        <w:spacing w:line="560" w:lineRule="exact"/>
        <w:ind w:firstLineChars="200" w:firstLine="640"/>
        <w:rPr>
          <w:rFonts w:ascii="仿宋" w:eastAsia="仿宋" w:cs="仿宋" w:hAnsi="仿宋"/>
          <w:sz w:val="32"/>
          <w:szCs w:val="32"/>
        </w:rPr>
      </w:pPr>
      <w:r>
        <w:rPr>
          <w:rFonts w:ascii="仿宋" w:eastAsia="仿宋" w:hAnsi="仿宋" w:hint="eastAsia"/>
          <w:sz w:val="32"/>
          <w:szCs w:val="32"/>
        </w:rPr>
        <w:t>部门主要职责：</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（一）贯彻执行国家、省、市公安工作的方针政策、法律法规及规章，结合我县实际制定相关政策、措施和办法，经县政府批准后组织实施。</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（二）按照县委、县政府和上级公安部门的指示及工作部署，研究安排和组织实施全县公安工作，并督促检查执行情况。</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（三）规划全县公安工作，研究全县公安工作重大情况（四）搜集、掌握影响政治稳定、危害国家安全和社会治安的有关情况，分析形势，制定对策，适时组织实施。</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（五）指导对危害国家安全案件、刑事案件、经济犯罪案件、和重大问题，推进全县公安工作的改革和发展。</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毒品犯罪案件、恐怖犯罪案件的侦查工作，直接立案侦办重大案件。</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（六）指导全县公安机关依法查处治安案件，组织协调或直接处置重大突发事件和治安事故；承担社会治安、户籍、居民身份证、枪支弹药、危险爆炸物品、特种行业等管理工作；推进治安行政管理改革工作。</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（七）指导监督全县公安机关对国家机关、社会团体、企事业单位、重点建设工程、重要油、气管（线）及其他重点部位的治安保卫工作和群众性治安保卫组织的治安防范工作；加强企事业单位保卫组织的建设。</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（八）组织实施消防工作，依法进行消防监督。</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（九）组织实施全县公安机关警卫工作，负责对来我县的党和国家领导人以及重要外宾和重要会议的安全警卫工作。</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（十）组织指导全县公安机关开展网络安全保卫工作，监督检查指导信息安全等级保护工作；直接立案侦办涉及网络安全的重特大案件。</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（十一）指导全县监管场所及监视设备的建设和管理；指导对收押人员的监管、教育工作。</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（十二）指导监督全县公安机关执法活动，拟订有关公安工作规范性文件；指导办理听证、行政复议、国家赔偿、刑事诉讼案件工作。</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（十三）指导、监督并组织实施全县公安机关维护城乡道路交通安全、交通秩序及对机动车辆驾驶人的管理工作。</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（十四）监督、检查和指导全县出入境管理工作，管理全县公民非公务活动出境和来隆境外人员，依法组织侦办和查处涉外案（事）件。</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（十五）规划全县公安科学技术和公安信息化建设工作，组织实施公安信息技术、刑事科学技术及技术侦察手段建设。</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（十六）规划、指导并组织实施全县公安队伍正规化、职业化建设以及公安宣传、教育、训练和思想政治工作；按照权限管理公安干部；搞好全县消防等公安现役部队建设。</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（十七）组织实施并指导全县公安机关的警务督察工作；查处和督办公安民警重大违法、违纪案件；维护公安民警正当执法权益。</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（十八）执行公安机关装备、被装配备标准并负责管理工作；执导全县公安机关财务、经费等保障工作。</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（十九）对武警隆尧县中队执行公安任务及相关业务建设实施领导和指挥。</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（二十）承办县委、县政府和上级公安机关交办的其他事项。</w:t>
      </w:r>
    </w:p>
    <w:p>
      <w:pPr>
        <w:autoSpaceDE w:val="0"/>
        <w:autoSpaceDN w:val="0"/>
        <w:adjustRightInd w:val="0"/>
        <w:spacing w:line="560" w:lineRule="exact"/>
        <w:ind w:firstLineChars="200" w:firstLine="640"/>
        <w:jc w:val="left"/>
        <w:rPr>
          <w:rFonts w:ascii="仿宋" w:eastAsia="仿宋" w:hAnsi="仿宋"/>
          <w:sz w:val="32"/>
          <w:szCs w:val="32"/>
        </w:rPr>
      </w:pPr>
      <w:r>
        <w:rPr>
          <w:rFonts w:ascii="仿宋" w:eastAsia="仿宋" w:hAnsi="仿宋" w:hint="eastAsia"/>
          <w:sz w:val="32"/>
          <w:szCs w:val="32"/>
        </w:rPr>
        <w:t>机构设置：</w:t>
      </w:r>
    </w:p>
    <w:p>
      <w:pPr>
        <w:snapToGrid w:val="0"/>
        <w:spacing w:line="560" w:lineRule="exact"/>
        <w:ind w:firstLineChars="200" w:firstLine="480"/>
        <w:rPr>
          <w:rFonts w:ascii="仿宋" w:eastAsia="仿宋" w:cs="仿宋" w:hAnsi="仿宋"/>
          <w:sz w:val="24"/>
        </w:rPr>
      </w:pPr>
      <w:r>
        <w:rPr>
          <w:rFonts w:ascii="仿宋" w:eastAsia="仿宋" w:cs="仿宋" w:hAnsi="仿宋" w:hint="eastAsia"/>
          <w:sz w:val="24"/>
        </w:rPr>
        <w:t>纳入隆尧县公安局（部门）决算的机构设置情况如下：</w:t>
      </w:r>
    </w:p>
    <w:tbl>
      <w:tblPr>
        <w:jc w:val="center"/>
        <w:tblW w:w="8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2568"/>
        <w:gridCol w:w="1488"/>
        <w:gridCol w:w="2028"/>
        <w:gridCol w:w="2028"/>
      </w:tblGrid>
      <w:tr>
        <w:trPr>
          <w:trHeight w:val="371"/>
        </w:trPr>
        <w:tc>
          <w:tcPr>
            <w:tcW w:w="256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单位名称</w:t>
            </w:r>
          </w:p>
        </w:tc>
        <w:tc>
          <w:tcPr>
            <w:tcW w:w="148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单位性质</w:t>
            </w:r>
          </w:p>
        </w:tc>
        <w:tc>
          <w:tcPr>
            <w:tcW w:w="202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单位规格</w:t>
            </w:r>
          </w:p>
        </w:tc>
        <w:tc>
          <w:tcPr>
            <w:tcW w:w="202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经费保障形式</w:t>
            </w:r>
          </w:p>
        </w:tc>
      </w:tr>
      <w:tr>
        <w:trPr>
          <w:trHeight w:val="353"/>
        </w:trPr>
        <w:tc>
          <w:tcPr>
            <w:tcW w:w="256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隆尧县公安局</w:t>
            </w:r>
          </w:p>
        </w:tc>
        <w:tc>
          <w:tcPr>
            <w:tcW w:w="148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行政</w:t>
            </w:r>
          </w:p>
        </w:tc>
        <w:tc>
          <w:tcPr>
            <w:tcW w:w="202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正科级</w:t>
            </w:r>
          </w:p>
        </w:tc>
        <w:tc>
          <w:tcPr>
            <w:tcW w:w="202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财政拨款</w:t>
            </w:r>
          </w:p>
        </w:tc>
      </w:tr>
      <w:tr>
        <w:trPr>
          <w:trHeight w:val="371"/>
        </w:trPr>
        <w:tc>
          <w:tcPr>
            <w:tcW w:w="256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隆尧县看守所</w:t>
            </w:r>
          </w:p>
        </w:tc>
        <w:tc>
          <w:tcPr>
            <w:tcW w:w="148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行政</w:t>
            </w:r>
          </w:p>
        </w:tc>
        <w:tc>
          <w:tcPr>
            <w:tcW w:w="202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正股级</w:t>
            </w:r>
          </w:p>
        </w:tc>
        <w:tc>
          <w:tcPr>
            <w:tcW w:w="202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财政拨款</w:t>
            </w:r>
          </w:p>
        </w:tc>
      </w:tr>
      <w:tr>
        <w:trPr>
          <w:trHeight w:val="371"/>
        </w:trPr>
        <w:tc>
          <w:tcPr>
            <w:tcW w:w="256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隆尧县武警中队</w:t>
            </w:r>
          </w:p>
        </w:tc>
        <w:tc>
          <w:tcPr>
            <w:tcW w:w="148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行政</w:t>
            </w:r>
          </w:p>
        </w:tc>
        <w:tc>
          <w:tcPr>
            <w:tcW w:w="202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p>
        </w:tc>
        <w:tc>
          <w:tcPr>
            <w:tcW w:w="2028" w:type="dxa"/>
            <w:tcBorders>
              <w:top w:val="single" w:sz="4" w:space="0" w:color="000000"/>
              <w:left w:val="single" w:sz="4" w:space="0" w:color="000000"/>
              <w:bottom w:val="single" w:sz="4" w:space="0" w:color="000000"/>
              <w:right w:val="single" w:sz="4" w:space="0" w:color="000000"/>
            </w:tcBorders>
            <w:vAlign w:val="center"/>
          </w:tcPr>
          <w:p>
            <w:pPr>
              <w:autoSpaceDE w:val="0"/>
              <w:autoSpaceDN w:val="0"/>
              <w:adjustRightInd w:val="0"/>
              <w:spacing w:line="560" w:lineRule="exact"/>
              <w:jc w:val="center"/>
              <w:rPr>
                <w:rFonts w:ascii="仿宋" w:eastAsia="仿宋" w:hAnsi="仿宋"/>
              </w:rPr>
            </w:pPr>
            <w:r>
              <w:rPr>
                <w:rFonts w:ascii="仿宋" w:eastAsia="仿宋" w:hAnsi="仿宋" w:hint="eastAsia"/>
              </w:rPr>
              <w:t>财政拨款</w:t>
            </w:r>
          </w:p>
        </w:tc>
      </w:tr>
    </w:tbl>
    <w:p>
      <w:pPr>
        <w:snapToGrid w:val="0"/>
        <w:spacing w:line="560" w:lineRule="exact"/>
        <w:rPr>
          <w:rFonts w:ascii="仿宋_GB2312" w:eastAsia="仿宋_GB2312" w:hAnsi="仿宋"/>
          <w:sz w:val="32"/>
          <w:szCs w:val="32"/>
        </w:rPr>
      </w:pPr>
    </w:p>
    <w:p>
      <w:pPr>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（二）人员及资产情况。</w:t>
      </w:r>
    </w:p>
    <w:p>
      <w:pPr>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人员情况：</w:t>
      </w:r>
    </w:p>
    <w:p>
      <w:pPr>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2021年末公安局实有在职人员</w:t>
      </w:r>
      <w:r>
        <w:rPr>
          <w:rFonts w:ascii="仿宋" w:eastAsia="仿宋" w:hAnsi="仿宋"/>
          <w:sz w:val="32"/>
          <w:szCs w:val="32"/>
        </w:rPr>
        <w:t>256</w:t>
      </w:r>
      <w:r>
        <w:rPr>
          <w:rFonts w:ascii="仿宋" w:eastAsia="仿宋" w:hAnsi="仿宋" w:hint="eastAsia"/>
          <w:sz w:val="32"/>
          <w:szCs w:val="32"/>
        </w:rPr>
        <w:t>人，不包括劳务派遣人员及交警、武警，较上年增加5人，原因为2021年死亡1人、退休3人、调出7人、新增16人。</w:t>
      </w:r>
    </w:p>
    <w:p>
      <w:pPr>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资产情况:2021年末资产6299.38万元 。</w:t>
      </w:r>
    </w:p>
    <w:p>
      <w:pPr>
        <w:adjustRightInd w:val="0"/>
        <w:spacing w:line="560" w:lineRule="exact"/>
        <w:rPr>
          <w:rFonts w:ascii="仿宋" w:eastAsia="仿宋" w:cs="仿宋" w:hAnsi="仿宋"/>
          <w:sz w:val="32"/>
          <w:szCs w:val="32"/>
        </w:rPr>
      </w:pPr>
      <w:r>
        <w:rPr>
          <w:rFonts w:ascii="仿宋" w:eastAsia="仿宋" w:cs="仿宋" w:hAnsi="仿宋" w:hint="eastAsia"/>
          <w:sz w:val="32"/>
          <w:szCs w:val="32"/>
        </w:rPr>
        <w:t xml:space="preserve">   （三）部门履职总体目标。</w:t>
      </w:r>
    </w:p>
    <w:p>
      <w:pPr>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2021年，隆尧县公安局将在市局和县委、县政府的坚强领导下，紧紧围绕捍卫政治安全、维护社会安定、保障人民安宁的新时代职责使命，牢牢把握对党忠诚、服务人民、执法公正、纪律严明总要求，坚持把当好首都政治“护城河”作为中心任务、核心业务，坚持稳中求进工作总基调，推动公安各项工作上新台阶。</w:t>
      </w:r>
    </w:p>
    <w:p>
      <w:pPr>
        <w:adjustRightInd w:val="0"/>
        <w:spacing w:line="560" w:lineRule="exact"/>
        <w:rPr>
          <w:rFonts w:ascii="仿宋" w:eastAsia="仿宋" w:cs="仿宋" w:hAnsi="仿宋"/>
          <w:sz w:val="32"/>
          <w:szCs w:val="32"/>
        </w:rPr>
      </w:pPr>
      <w:r>
        <w:rPr>
          <w:rFonts w:ascii="仿宋" w:eastAsia="仿宋" w:cs="仿宋" w:hAnsi="仿宋" w:hint="eastAsia"/>
          <w:sz w:val="32"/>
          <w:szCs w:val="32"/>
        </w:rPr>
        <w:t xml:space="preserve">   （四）年度整体绩效目标和工作任务。</w:t>
      </w:r>
    </w:p>
    <w:p>
      <w:pPr>
        <w:adjustRightInd w:val="0"/>
        <w:spacing w:line="560" w:lineRule="exact"/>
        <w:ind w:firstLineChars="200" w:firstLine="640"/>
        <w:rPr>
          <w:rFonts w:ascii="仿宋" w:eastAsia="仿宋" w:cs="仿宋" w:hAnsi="仿宋"/>
          <w:sz w:val="32"/>
          <w:szCs w:val="32"/>
        </w:rPr>
      </w:pPr>
      <w:r>
        <w:rPr>
          <w:rFonts w:ascii="仿宋" w:eastAsia="仿宋" w:cs="仿宋" w:hAnsi="仿宋" w:hint="eastAsia"/>
          <w:bCs/>
          <w:sz w:val="32"/>
          <w:szCs w:val="32"/>
        </w:rPr>
        <w:t>1、维护国家安全和政治稳定。</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2、降低案件发案率，提高案件侦破率。</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3、维护社会稳定，提高群众安全感和满意度。</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4、全县公安监所管理和安全防范水平不断提升；全县监所按照相关标准做好硬件设施建设、被监管人员生活、卫生、医疗保障工作；做好监所信息化建设；不断提高监所卫生医疗水平；积极开展深挖犯罪工作，破获各类案件。</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5、提高科学技术水平，为公安机关开展业务工作提供技术支持。</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6、确保公安各项业务顺利开展，维护社会稳定能力增强。</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7、预防减少不稳定因素的发生，有效化解不稳定隐患、群体性事件和突发事件，维护国家安全工作。</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8、社会治安突出问题得以解决，社会矛盾纠纷得以排查和调处，社会治安形势得以好转。</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9、实现全县经济社会发展安全安定、人民生活和谐有序。</w:t>
      </w:r>
    </w:p>
    <w:p>
      <w:pPr>
        <w:adjustRightInd w:val="0"/>
        <w:spacing w:line="560" w:lineRule="exact"/>
        <w:rPr>
          <w:rFonts w:ascii="仿宋" w:eastAsia="仿宋" w:cs="仿宋" w:hAnsi="仿宋"/>
          <w:sz w:val="32"/>
          <w:szCs w:val="32"/>
        </w:rPr>
      </w:pPr>
      <w:r>
        <w:rPr>
          <w:rFonts w:ascii="仿宋" w:eastAsia="仿宋" w:cs="仿宋" w:hAnsi="仿宋" w:hint="eastAsia"/>
          <w:sz w:val="32"/>
          <w:szCs w:val="32"/>
        </w:rPr>
        <w:t xml:space="preserve">   （五）预算资金安排及资金支出</w:t>
      </w:r>
      <w:r>
        <w:rPr>
          <w:rFonts w:ascii="楷体" w:eastAsia="楷体" w:cs="仿宋" w:hAnsi="楷体" w:hint="eastAsia"/>
          <w:sz w:val="32"/>
          <w:szCs w:val="32"/>
        </w:rPr>
        <w:t>情况</w:t>
      </w:r>
      <w:r>
        <w:rPr>
          <w:rFonts w:ascii="仿宋" w:eastAsia="仿宋" w:cs="仿宋" w:hAnsi="仿宋" w:hint="eastAsia"/>
          <w:sz w:val="32"/>
          <w:szCs w:val="32"/>
        </w:rPr>
        <w:t>。</w:t>
      </w:r>
    </w:p>
    <w:p>
      <w:pPr>
        <w:adjustRightIn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2021年我部门初预算资金安排</w:t>
      </w:r>
      <w:r>
        <w:rPr>
          <w:rFonts w:ascii="仿宋" w:eastAsia="仿宋" w:cs="仿宋" w:hAnsi="仿宋"/>
          <w:sz w:val="32"/>
          <w:szCs w:val="32"/>
        </w:rPr>
        <w:t>6558.6</w:t>
      </w:r>
      <w:r>
        <w:rPr>
          <w:rFonts w:ascii="仿宋" w:eastAsia="仿宋" w:cs="仿宋" w:hAnsi="仿宋" w:hint="eastAsia"/>
          <w:sz w:val="32"/>
          <w:szCs w:val="32"/>
        </w:rPr>
        <w:t>3万元，实际支出6683.56万元。</w:t>
      </w:r>
    </w:p>
    <w:p>
      <w:pPr>
        <w:pStyle w:val="23"/>
        <w:numPr>
          <w:ilvl w:val="0"/>
          <w:numId w:val="1"/>
        </w:numPr>
        <w:spacing w:line="560" w:lineRule="exact"/>
        <w:ind w:firstLineChars="0"/>
        <w:rPr>
          <w:rFonts w:ascii="黑体" w:eastAsia="黑体" w:cs="仿宋" w:hAnsi="黑体"/>
          <w:sz w:val="32"/>
          <w:szCs w:val="32"/>
        </w:rPr>
      </w:pPr>
      <w:r>
        <w:rPr>
          <w:rFonts w:ascii="黑体" w:eastAsia="黑体" w:cs="仿宋" w:hAnsi="黑体" w:hint="eastAsia"/>
          <w:sz w:val="32"/>
          <w:szCs w:val="32"/>
        </w:rPr>
        <w:t>预算绩效管理开展及整体绩效实现情况。</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（一）部门开展预算绩效管理情况。</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1、加强组织领导。成立由主要领导任组长的预算绩效管理工作领导小组，从预算编制、执行、监控、分析、报告、评价等方面全流程予以管理，提高各级领导绩效意识，理顺工作运行机制，形成齐抓共管的良好局面。</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2、健全完善制度。根据上级全面实施绩效管理的意见，相关规定，结合公安实际制定系列绩效管理制度。在预算方面，制定预算绩效管理办法，规范事前绩效评估、预算绩效目标设定、绩效运行监控等工作规范，明确各警种部门职责，健全运转顺畅、相互协调的工作流程，为全年预算绩效目标的实现奠定制度基础。</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3、加强绩效运行监控。充分发挥项目绩效管理规定的作用，按照节点对相关警种部门的项目推动和建设各环节进行打分。对支出进度、资金绩效、内控制度执行情况等进行实时监控，发现问题及时采取措施，确保绩效目标如期保质实现。</w:t>
      </w:r>
    </w:p>
    <w:p>
      <w:pPr>
        <w:spacing w:line="560" w:lineRule="exact"/>
        <w:ind w:firstLineChars="200" w:firstLine="640"/>
        <w:jc w:val="left"/>
        <w:rPr>
          <w:rFonts w:ascii="仿宋" w:eastAsia="仿宋" w:cs="仿宋" w:hAnsi="仿宋"/>
          <w:sz w:val="32"/>
          <w:szCs w:val="32"/>
        </w:rPr>
      </w:pPr>
      <w:r>
        <w:rPr>
          <w:rFonts w:ascii="仿宋" w:eastAsia="仿宋" w:cs="仿宋" w:hAnsi="仿宋" w:hint="eastAsia"/>
          <w:sz w:val="32"/>
          <w:szCs w:val="32"/>
        </w:rPr>
        <w:t>4、做好绩效自评。按财政要求，组织各警种部门对部门预算绩效开展自评，自评率100%。组织公安系统专家和社会专家，对重点资金使用情况进行重点评价，对发现的问题及时整改。将评价结果与下年度预算安排相结合，调整优化支出结构，提高财政资金使用效益。</w:t>
      </w:r>
    </w:p>
    <w:p>
      <w:pPr>
        <w:adjustRightInd w:val="0"/>
        <w:spacing w:line="560" w:lineRule="exact"/>
        <w:ind w:firstLineChars="150" w:firstLine="480"/>
        <w:rPr>
          <w:rFonts w:ascii="仿宋" w:eastAsia="仿宋" w:cs="仿宋" w:hAnsi="仿宋"/>
          <w:sz w:val="32"/>
          <w:szCs w:val="32"/>
        </w:rPr>
      </w:pPr>
      <w:r>
        <w:rPr>
          <w:rFonts w:ascii="仿宋" w:eastAsia="仿宋" w:cs="仿宋" w:hAnsi="仿宋" w:hint="eastAsia"/>
          <w:sz w:val="32"/>
          <w:szCs w:val="32"/>
        </w:rPr>
        <w:t>（二）工作履行活动完成情况和实施履职活动产生的效果或服务对象满意程度。</w:t>
      </w:r>
    </w:p>
    <w:p>
      <w:pPr>
        <w:adjustRightIn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2021以来，隆尧县公安局在市局和县委、县政府的坚强领导下，按照各级政法和公安工作会议和年初工作部署，紧紧围绕建党100周年创造安全稳定政治社会环境这条主线，牢牢把握对党忠诚、服务人民、执法公正、纪律严明总要求，聚焦“保五争三拼第一”工作目标，扎实开展“燕赵-砺剑铸盾”专项行动和“奋战一百天全警争一流”活动，全力提升维护稳定、打击犯罪、防控防范、基础支撑、护航发展、规范执法、队伍管理等能力，不断推进公安工作高质量赶超发展，为建设“经济强县、平安隆尧”贡献力量，圆满完成年度重点工作任务在2021年群众满意度测评中名列前矛。</w:t>
      </w:r>
    </w:p>
    <w:p>
      <w:pPr>
        <w:adjustRightIn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一是强化社会管控，保持严打高压。扎实开展“燕赵-砺剑铸盾”专项行动，严打各类违法犯罪行为。今年以来共受理各类治安案件1458起，查处733起，查处违法人员法制639人。立刑事案件861起、破获245起，抓获各类犯罪嫌疑人421人。抓获各类网上逃犯73人，其中外地上网逃犯17人、历年网逃8人。严打突出违法犯罪。成功破获“3.10”张某故意杀人案、“3.25”李某故意杀人案两起现行命案，实现了命案现案破案率100%的目标。通过DNA数据采集比对，成功比中两名被拐儿童，有效推动了打拐工作开展。在打击涉枪工作中，成功破获“6.10”非法制造枪支案等一批刑事案件，抓获各类嫌疑人10人。在市局组织的“公安部9.29”四川、广西集中收缴枪支行动中，核查线索13条，形成战果8条，查获改装制造火药枪8支、气枪1支；成功破获薛某非法制造改装火药枪案，抓获犯罪嫌疑人2人，收缴改装枪支2把。扫黑除恶常态化斗争方面，2020年11月，吴某涉黑案二审生效后，“5.31”专案组的大部分工作已经结束，但该案还有重要逃犯在逃，采取强制措施的18名犯罪嫌疑人需要依法起诉，大约有价值4亿元的涉黑财产，需要依法向邢台市中级人民法院提起没收程序等工作，主要包括：吴某涉黑组织冻结的公司股权9项；贵州的两宗矿用土地；石家庄两处开发用地；查封海南、山东等地的22套房产；查封的智高地产的10辆汽车，冻结吴某实际控制公司涉案金额6800余万元，扣押的现金6900万元。“5.31”专案组将守正笃实，打好收官战。在打击多发性侵财犯罪方面，共破获电信诈骗案件85起，抓获电信诈骗案件嫌疑人143人，惩戒涉案两卡人员139人。共制止电诈案件50余起，共紧急止付冻结涉案账号170余个，止付冻结涉案资金2200余万元。在打击涉污违法犯罪方面，共办理污染环境类行政案件42起，行政拘留41人。办理刑事案件1起，移送起诉1人。查处非法采砂采矿案件3起，抓获犯罪嫌疑人11名，其中刑事拘留10人，逮捕1人，取保9人。研究起草了《隆尧县开展禁止非法生产、运输、销售、储存、燃放烟花爆竹集中攻坚行动实施方案》，共查处烟花爆竹案件54起，行政拘留51人，行政处罚3人。在打击金融犯罪方面，共核查反馈云端线索19条线索，其中集群战役8条，数据协同11条。抓获“赵某等人涉嫌非法吸收公众存款案”犯罪嫌疑人孙某，完成非法集资积案清零任务。收缴假币12500余元。立案侦查9起，破案7起，抓获网上逃犯3人，刑事拘留6人，取保候审6人，移送起诉15人。目前，正在侦办“颜某、王某等人涉嫌合同诈骗案”，该案涉案金额1.2亿元，涉及北京、上海、浙江、广东、重庆等12个省市地区，我局成立了专案组，由原分管经侦的局领导担任组长，抽调法制大队长提前介入，参与办案指导。在治安管理防范方面，查处黄赌案件13起，其中，刑事案件1起，行政案件12起，刑事拘留2人，行政拘留51人，行政罚款41人；破获涉森林系统案件7起，抓获犯罪嫌疑人8人；全县55家旅馆全部完成旅馆业人像识别系统的安装使用工作。落实查证涉枪线索4条，办理涉枪案件1起，刑事拘留1人，取保1人、移送起诉2人。大力推进智慧安防小区建设，完成智慧安防小区62处，完成率100%。在禁毒方面，查处40起非法种植案件，铲除罂粟**株，种植率较去年下降23%。今年9月份，经市局指定管辖，破获一起在邢台市区内发生的贩毒案件，抓获贩毒人员1名。查处我市首例吸食新型毒品“大麻电子烟”涉毒人员1人。查处2起易制毒化学品案件，对2家企业进行了处罚。对辖区涉毒人员，依法采取强制隔离戒毒1人，社区戒毒1人。强化禁毒宣传，建成了一处大型禁毒教育长廊，获得市禁毒委的好评。交通管理方面。深入开展道路交通秩序整治行动，今年以来共查处各类交通违法行为56710起，其中酒后驾驶328起，醉酒驾驶16起，行政拘留18人，刑事拘留21人。事故中队相继建立了“远程定责、快速理赔”机制和“四位一体、道路交通法庭”机制，通过音视频通话取证和在中队大厅设置窗口，协调签约律师事务所、司法局、人民法院派专人入驻，负责案件调解工作，进一步提升了一般事故、复杂异议事故快速处理能力。今年以来共办理交通案件1290起，死亡23人，受伤680人，直接损失38万余元。网络安全方面。通过市局向省厅、公安部发送情报专案2起，发起集群战役2起，其中一起被公安部评为五星情报。侦破3起通讯行业“内鬼”侵犯公民个人信息案，抓获通犯罪嫌疑人3名，扣押“接码”手机3部，获取外地涉案线索48条，覆盖12个省市，成功捣毁了一条“网络黑灰产业链”；侦破1起非法获取、家庭摄像头控制权限偷看、偷拍新型网络犯罪案件，抓获犯罪嫌疑人1名，查扣手机1部，查获家庭网络摄像头控制权限ID编码39个。市局发贺电表示祝贺，市县领导对合成作战中心在打击工作中取得的成绩给予了高度肯定。强化出入境管理，继续落实上级内部要求，非必要紧急事由不建议办理，截至目前共受理护照15人，港澳证22人次。扎实开展“三非”外国人治理工作，组织开展“三非”集中宣传8次，查获非法入境人员4名、非法居留人员2名。经民警摸排走访，查获一非法入境越南籍男子，目前在拘留所进行拘留审查，待查实身份后遣送出境。推进监所“铁桶工程”建设，严守场所封闭管理、人员核酸检测、收押过渡隔离“三条底线”，认真落实各项防控措施，确保监所安全。今年以来看守所收押各类违法犯罪人员226名，处理出所各类人员248名，现有在押人员125名。治安拘留所共办理执行拘留463人，现有在押人员1人（拘留审查越南人）。</w:t>
      </w:r>
    </w:p>
    <w:p>
      <w:pPr>
        <w:adjustRightIn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二是强化责任担当，全力防控疫情。为全面做好全县疫情防控工作，成立隆尧县公安局疫情防控工作领导小组，协同作战。在县界、城界设置封控检查点11个，开展车辆检查、人员劝返工作。对城区42个小区、13个城中村和28个管控点位，开展对车辆、人员疏导劝返，维护现场秩序，实现了城区人员、车辆静止状态；强化大数据接受、推送工作，研发制作了“万人归属地一键查询”小程序，加快了疫情数据核查速度和准确性，在全市得到推广应用。抽调30名警力参加县疫情指挥部流调工作，确保精准摸清人员行程轨迹。对全县13个方舱、宾馆隔离点组织警力开展24小时执勤；严厉打击涉疫违法犯罪，共查处涉及疫情行政案件31起，行政拘留7人、行政警告5人；1月13日凌晨，按照市局要求，抽调31名警力，组成了援南抗疫突击队，连续战斗29天，开展对南宫市涉疫重点村庄全员转移、外围区域风控、重点路段管控、主城区机动巡查等任务。牵头承办全县自动测温人脸识别系统，由专人负责管理维护，通过每日通报在线率，确保设备在线率和使用率，切实发挥哨点检测作用，建成速度全市第二，在线率保持先进。</w:t>
      </w:r>
    </w:p>
    <w:p>
      <w:pPr>
        <w:adjustRightIn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三是强化人员管控，维护社会稳定。涉密。</w:t>
      </w:r>
    </w:p>
    <w:p>
      <w:pPr>
        <w:adjustRightIn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四是强化护航发展，优化营商环境。统筹兼顾抓好疫情防控工作和经济发展建设，今年以来，组织局领导班子成员和各派出所对全县100家规模以上企业开展走访企业活动，听取企业保障需求，落实服务保障措施，切实发挥好保驾护航作用。各涉企警种开通办事预约电话，最大限度地为疫情防控期间复工企业办理各项审批业务提供便利。由政府副县长、公安局长王爱国同志亲自协调，联合检、法、司的驻今麦郎法律服务工作室启动，为企业提供法律咨询保驾护航。成功处置碧桂园集团开发“樾江山”项目在施工过程中无故遭到当地村民阻拦事件，刑事拘留3人、行政拘留1人。在全县“城建工作百日会战”中，成功处置李某等人私藏危爆物品和管制刀具案件，抓获违法嫌疑人11人，查获散装汽油100余升，管制刀具14把。严打拖欠农民工工资违法犯罪，查处北京某公司承建隆尧县丰硕院棚户区改造项目、河北某物业公司和牛桥乡煤改气工程3起拒不支付劳动报酬案，刑事拘留3人，帮助110名农民工追回拖欠工资134万余元。</w:t>
      </w:r>
    </w:p>
    <w:p>
      <w:pPr>
        <w:adjustRightIn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五是强化案审监督，提升执法质量。2021年共受理警情2666起；行政案件1257起，行政处罚510人（其中行政拘留424人）；刑事案件787起，刑事拘留240人，取保候审236人，监视居住31人，逮捕134人，移送审查起诉422人。积极落实复议诉讼公安机关负责人出庭制度，法制大队组织全体人员旁听。强化执法培训，邀请检察院副检察长、刑事二庭主任，法院副院长、未成年审判庭厅长、刑庭副厅长对我局法制员进行授课；邀请司法局对新实施的《中华人民共和国行政处罚法》进行培训。我局作为“河北省政法大数据办案平台证据标准指引系统”试点县，立案1866起，刑事拘留337人，取保候审216人，监视居住25人，提请逮捕239起，移送起诉356起。及时同检法就刑事案件侦查起诉过程中发现的问题共同商讨，掌握统一尺度，确保刑事案件不捕率、退差率下降。重大复杂的刑事案件法制法制组织检察院提前介入。强化执法办案中心建设，我局目前是邢台地区唯一一个独门独院管理的执法办案管理中心，4月15日，省厅法制总队领导予了充分的肯定。</w:t>
      </w:r>
    </w:p>
    <w:p>
      <w:pPr>
        <w:adjustRightIn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六是强化队伍管理，打造公安铁军。扎实开展政法队伍教育整顿活动，按照中央、省市县部署要求，圆满完成了各阶段规定动作要求，受到各级督导、指导检查组的肯定。深化从优待警工作，11月3日，组织全体民辅警及离退休老干部分批次在隆尧县医院开展体检活动。完善退休民辅警离职欢送制度，对离职民辅警为公安工作做出的贡献给予评价和肯定。为进一步发扬公安优良传统，打造多元化的公安队伍育警模式，帮助青年民警更快更好成长，11月30日,举行首届“传帮带”结对仪式。来自各警种部门的业务骨干，与青年民警结成27对“传帮带”新老组合,促进新警迅速成长。开展辅警招录计划，县委、县政府已作出公安招录200人、交警招录70人批示，招录工作正在进行中。文化育警，激发队伍新活力。评选出为“亮剑之星”“扫黑勇士”“最美女警”“最美警嫂”，于8月26日举行“最美人物”颁奖仪式。扎实开展“我为群众办实事”主题活动，举办我做的群众最满意的一件事报告会，来自不同岗位的10名民辅警讲述了自己履职担当、用心解决人民群众的烦心事的故事，展现了现时代公安民警倾心为民的情怀和担当。我局共出台便民利企措施19项，办实事解难题180件，收到锦旗14面。圆满完成全省特警“红蓝对抗”拉动演练关键环节的参演任务，配合市局完成各项任务，特巡警在全市考核中名列北部警务协作区第一名，全市第二名。共办理民警维权案件4起，刑事拘留7人，行政拘留2人。强化公安宣传，先后在国家级报刊媒体刊发稿件9篇，省、市级媒体刊发稿件22篇。</w:t>
      </w:r>
    </w:p>
    <w:p>
      <w:pPr>
        <w:pStyle w:val="23"/>
        <w:numPr>
          <w:ilvl w:val="0"/>
          <w:numId w:val="1"/>
        </w:numPr>
        <w:spacing w:line="560" w:lineRule="exact"/>
        <w:ind w:firstLineChars="0"/>
        <w:rPr>
          <w:rFonts w:ascii="黑体" w:eastAsia="黑体" w:cs="仿宋" w:hAnsi="黑体"/>
          <w:sz w:val="32"/>
          <w:szCs w:val="32"/>
        </w:rPr>
      </w:pPr>
      <w:r>
        <w:rPr>
          <w:rFonts w:ascii="黑体" w:eastAsia="黑体" w:cs="仿宋" w:hAnsi="黑体" w:hint="eastAsia"/>
          <w:sz w:val="32"/>
          <w:szCs w:val="32"/>
        </w:rPr>
        <w:t>绩效评价的组织实施情况</w:t>
      </w:r>
    </w:p>
    <w:p>
      <w:pPr>
        <w:pStyle w:val="23"/>
        <w:numPr>
          <w:ilvl w:val="0"/>
          <w:numId w:val="2"/>
        </w:numPr>
        <w:adjustRightInd w:val="0"/>
        <w:spacing w:line="560" w:lineRule="exact"/>
        <w:ind w:firstLineChars="0"/>
        <w:rPr>
          <w:rFonts w:ascii="仿宋" w:eastAsia="仿宋" w:cs="仿宋" w:hAnsi="仿宋"/>
          <w:sz w:val="32"/>
          <w:szCs w:val="32"/>
        </w:rPr>
      </w:pPr>
      <w:r>
        <w:rPr>
          <w:rFonts w:ascii="仿宋" w:eastAsia="仿宋" w:cs="仿宋" w:hAnsi="仿宋" w:hint="eastAsia"/>
          <w:sz w:val="32"/>
          <w:szCs w:val="32"/>
        </w:rPr>
        <w:t>评价对象绩效目标。</w:t>
      </w:r>
    </w:p>
    <w:p>
      <w:pPr>
        <w:adjustRightIn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2021年，隆尧县公安局将在市公安局和县委、县政府的坚强领导下，紧紧围绕捍卫政治安全、维护社会安定、保障人民安宁的新时代职责使命，牢牢把握对党忠诚、服务人民、执法公正、纪律严明总要求，坚持把当好首都政治“护城河”作为中心任务、核心业务，坚持稳中求进工作总基调，推动公安各项工作上新台阶。</w:t>
      </w:r>
    </w:p>
    <w:p>
      <w:pPr>
        <w:pStyle w:val="23"/>
        <w:numPr>
          <w:ilvl w:val="0"/>
          <w:numId w:val="2"/>
        </w:numPr>
        <w:adjustRightInd w:val="0"/>
        <w:spacing w:line="560" w:lineRule="exact"/>
        <w:ind w:firstLineChars="0"/>
        <w:rPr>
          <w:rFonts w:ascii="仿宋" w:eastAsia="仿宋" w:cs="仿宋" w:hAnsi="仿宋"/>
          <w:sz w:val="32"/>
          <w:szCs w:val="32"/>
        </w:rPr>
      </w:pPr>
      <w:r>
        <w:rPr>
          <w:rFonts w:ascii="仿宋" w:eastAsia="仿宋" w:cs="仿宋" w:hAnsi="仿宋" w:hint="eastAsia"/>
          <w:sz w:val="32"/>
          <w:szCs w:val="32"/>
        </w:rPr>
        <w:t>绩效指标。</w:t>
      </w:r>
    </w:p>
    <w:p>
      <w:pPr>
        <w:adjustRightInd w:val="0"/>
        <w:spacing w:line="560" w:lineRule="exact"/>
        <w:ind w:firstLineChars="200" w:firstLine="640"/>
        <w:rPr>
          <w:rFonts w:ascii="仿宋" w:eastAsia="仿宋" w:cs="仿宋" w:hAnsi="仿宋"/>
          <w:sz w:val="32"/>
          <w:szCs w:val="32"/>
        </w:rPr>
      </w:pPr>
      <w:r>
        <w:rPr>
          <w:rFonts w:ascii="仿宋" w:eastAsia="仿宋" w:hAnsi="仿宋" w:hint="eastAsia"/>
          <w:sz w:val="32"/>
          <w:szCs w:val="32"/>
        </w:rPr>
        <w:t>根据项目性质结合部门工作实际设定</w:t>
      </w:r>
      <w:r>
        <w:rPr>
          <w:rFonts w:ascii="仿宋" w:eastAsia="仿宋" w:cs="仿宋_GB2312" w:hAnsi="仿宋" w:hint="eastAsia"/>
          <w:color w:val="000000"/>
          <w:kern w:val="0"/>
          <w:sz w:val="32"/>
          <w:szCs w:val="32"/>
        </w:rPr>
        <w:t>认真完善反映行业特点和项目特征的个性绩效指标，提高绩效目标与指标的相关性，从</w:t>
      </w:r>
      <w:r>
        <w:rPr>
          <w:rFonts w:ascii="仿宋" w:eastAsia="仿宋" w:hAnsi="仿宋" w:hint="eastAsia"/>
          <w:sz w:val="32"/>
          <w:szCs w:val="32"/>
        </w:rPr>
        <w:t>数量指标、质量指标、时效指标、社会效益指标多维度对项目进行绩效考核。</w:t>
      </w:r>
    </w:p>
    <w:p>
      <w:pPr>
        <w:pStyle w:val="23"/>
        <w:numPr>
          <w:ilvl w:val="0"/>
          <w:numId w:val="2"/>
        </w:numPr>
        <w:adjustRightInd w:val="0"/>
        <w:spacing w:line="560" w:lineRule="exact"/>
        <w:ind w:firstLineChars="0"/>
        <w:rPr>
          <w:rFonts w:ascii="仿宋" w:eastAsia="仿宋" w:cs="仿宋" w:hAnsi="仿宋"/>
          <w:sz w:val="32"/>
          <w:szCs w:val="32"/>
        </w:rPr>
      </w:pPr>
      <w:r>
        <w:rPr>
          <w:rFonts w:ascii="仿宋" w:eastAsia="仿宋" w:cs="仿宋" w:hAnsi="仿宋" w:hint="eastAsia"/>
          <w:sz w:val="32"/>
          <w:szCs w:val="32"/>
        </w:rPr>
        <w:t>评价标准和评价方法。</w:t>
      </w:r>
    </w:p>
    <w:p>
      <w:pPr>
        <w:widowControl/>
        <w:spacing w:line="560" w:lineRule="exact"/>
        <w:ind w:firstLineChars="200" w:firstLine="640"/>
        <w:jc w:val="left"/>
        <w:rPr>
          <w:rFonts w:ascii="仿宋" w:eastAsia="仿宋" w:cs="仿宋_GB2312" w:hAnsi="仿宋"/>
          <w:color w:val="000000"/>
          <w:sz w:val="32"/>
          <w:szCs w:val="32"/>
        </w:rPr>
      </w:pPr>
      <w:r>
        <w:rPr>
          <w:rFonts w:ascii="仿宋" w:eastAsia="仿宋" w:cs="楷体_GB2312" w:hAnsi="仿宋" w:hint="eastAsia"/>
          <w:color w:val="000000"/>
          <w:sz w:val="32"/>
          <w:szCs w:val="32"/>
        </w:rPr>
        <w:t>依据设定预算时设定的绩效指标制定</w:t>
      </w:r>
      <w:r>
        <w:rPr>
          <w:rFonts w:ascii="仿宋" w:eastAsia="仿宋" w:cs="仿宋_GB2312" w:hAnsi="仿宋" w:hint="eastAsia"/>
          <w:color w:val="000000"/>
          <w:sz w:val="32"/>
          <w:szCs w:val="32"/>
        </w:rPr>
        <w:t>部门整体支出绩效自评工作方案。在广泛收集评价资料基础上，综合运用</w:t>
      </w:r>
      <w:r>
        <w:rPr>
          <w:rFonts w:ascii="仿宋" w:eastAsia="仿宋" w:cs="仿宋_GB2312" w:hAnsi="仿宋" w:hint="eastAsia"/>
          <w:color w:val="000000"/>
          <w:kern w:val="0"/>
          <w:sz w:val="32"/>
          <w:szCs w:val="32"/>
          <w:lang w:val="zh-CN"/>
        </w:rPr>
        <w:t>成本效益法、比较法、因素分析法、综合指数法、公众评判法等多种方法进行评价。</w:t>
      </w:r>
    </w:p>
    <w:p>
      <w:pPr>
        <w:pStyle w:val="23"/>
        <w:numPr>
          <w:ilvl w:val="0"/>
          <w:numId w:val="1"/>
        </w:numPr>
        <w:spacing w:line="560" w:lineRule="exact"/>
        <w:ind w:firstLineChars="0"/>
        <w:rPr>
          <w:rFonts w:ascii="黑体" w:eastAsia="黑体" w:cs="仿宋" w:hAnsi="黑体"/>
          <w:sz w:val="32"/>
          <w:szCs w:val="32"/>
        </w:rPr>
      </w:pPr>
      <w:r>
        <w:rPr>
          <w:rFonts w:ascii="黑体" w:eastAsia="黑体" w:cs="仿宋" w:hAnsi="黑体" w:hint="eastAsia"/>
          <w:sz w:val="32"/>
          <w:szCs w:val="32"/>
        </w:rPr>
        <w:t>各项绩效目标的实现程度及差异性原因分析。</w:t>
      </w:r>
    </w:p>
    <w:p>
      <w:pPr>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年初各项目绩效目标基本实现，综合自评结果为良好。</w:t>
      </w:r>
    </w:p>
    <w:p>
      <w:pPr>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本年收支预、决算差异原因分析：信息化建设较预算支出增加主要原因为智慧平安社区软件建设项目，执法办案较预算支出增加主要原因为扫黑除恶办案专项经费项目，其他强制隔离戒毒支出增加原因为禁毒教育长廊建设项目，其他国有土地使用权出让收入安排的支出原因为政府性基金预算财政拨款收入不足以支付</w:t>
      </w:r>
      <w:r>
        <w:rPr>
          <w:rFonts w:ascii="仿宋" w:eastAsia="仿宋" w:cs="仿宋" w:hAnsi="仿宋"/>
          <w:sz w:val="32"/>
          <w:szCs w:val="32"/>
        </w:rPr>
        <w:t xml:space="preserve"> </w:t>
      </w:r>
      <w:r>
        <w:rPr>
          <w:rFonts w:ascii="仿宋" w:eastAsia="仿宋" w:cs="仿宋" w:hAnsi="仿宋" w:hint="eastAsia"/>
          <w:sz w:val="32"/>
          <w:szCs w:val="32"/>
        </w:rPr>
        <w:t>“天网覆盖”四级网建设项目；抚恤金支出为公安局去世人员抚恤支出。</w:t>
      </w:r>
    </w:p>
    <w:p>
      <w:pPr>
        <w:pStyle w:val="23"/>
        <w:numPr>
          <w:ilvl w:val="0"/>
          <w:numId w:val="1"/>
        </w:numPr>
        <w:spacing w:line="560" w:lineRule="exact"/>
        <w:ind w:firstLineChars="0"/>
        <w:rPr>
          <w:rFonts w:ascii="黑体" w:eastAsia="黑体" w:cs="仿宋" w:hAnsi="黑体"/>
          <w:sz w:val="32"/>
          <w:szCs w:val="32"/>
        </w:rPr>
      </w:pPr>
      <w:r>
        <w:rPr>
          <w:rFonts w:ascii="黑体" w:eastAsia="黑体" w:cs="仿宋" w:hAnsi="黑体" w:hint="eastAsia"/>
          <w:sz w:val="32"/>
          <w:szCs w:val="32"/>
        </w:rPr>
        <w:t>存在问题</w:t>
      </w:r>
    </w:p>
    <w:p>
      <w:pPr>
        <w:spacing w:line="560" w:lineRule="exact"/>
        <w:ind w:firstLineChars="200" w:firstLine="640"/>
        <w:rPr>
          <w:rFonts w:ascii="黑体" w:eastAsia="黑体" w:cs="仿宋" w:hAnsi="黑体"/>
          <w:sz w:val="32"/>
          <w:szCs w:val="32"/>
        </w:rPr>
      </w:pPr>
      <w:r>
        <w:rPr>
          <w:rFonts w:ascii="仿宋" w:eastAsia="仿宋" w:cs="仿宋" w:hAnsi="仿宋" w:hint="eastAsia"/>
          <w:sz w:val="32"/>
          <w:szCs w:val="32"/>
        </w:rPr>
        <w:t>绩效目标基本未发生偏离，但</w:t>
      </w:r>
      <w:r>
        <w:rPr>
          <w:rFonts w:ascii="仿宋" w:eastAsia="仿宋" w:cs="宋体" w:hAnsi="仿宋" w:hint="eastAsia"/>
          <w:color w:val="000000"/>
          <w:kern w:val="0"/>
          <w:sz w:val="32"/>
          <w:szCs w:val="32"/>
        </w:rPr>
        <w:t>绩效考评指标的设计上，部分指标设置不科学、部分指标缺乏数据支持和可行的分析测评，绩效指标体系有待完善</w:t>
      </w:r>
    </w:p>
    <w:p>
      <w:pPr>
        <w:pStyle w:val="23"/>
        <w:numPr>
          <w:ilvl w:val="0"/>
          <w:numId w:val="1"/>
        </w:numPr>
        <w:spacing w:line="560" w:lineRule="exact"/>
        <w:ind w:firstLineChars="0"/>
        <w:rPr>
          <w:rFonts w:ascii="黑体" w:eastAsia="黑体" w:cs="仿宋" w:hAnsi="黑体"/>
          <w:sz w:val="32"/>
          <w:szCs w:val="32"/>
        </w:rPr>
      </w:pPr>
      <w:r>
        <w:rPr>
          <w:rFonts w:ascii="黑体" w:eastAsia="黑体" w:cs="仿宋" w:hAnsi="黑体" w:hint="eastAsia"/>
          <w:sz w:val="32"/>
          <w:szCs w:val="32"/>
        </w:rPr>
        <w:t>采取的纠偏措施及改进绩效管理建议。</w:t>
      </w:r>
    </w:p>
    <w:p>
      <w:pPr>
        <w:spacing w:line="560" w:lineRule="exact"/>
        <w:ind w:firstLineChars="200" w:firstLine="640"/>
        <w:rPr>
          <w:rFonts w:ascii="仿宋" w:eastAsia="仿宋" w:hAnsi="仿宋"/>
          <w:sz w:val="32"/>
          <w:szCs w:val="32"/>
        </w:rPr>
      </w:pPr>
      <w:r>
        <w:rPr>
          <w:rFonts w:ascii="仿宋" w:eastAsia="仿宋" w:hAnsi="仿宋" w:hint="eastAsia"/>
          <w:sz w:val="32"/>
          <w:szCs w:val="32"/>
        </w:rPr>
        <w:t>项目执行中积极开展绩效信息收集利用加强绩效管理规范，对支出进度、资金绩效、内控制度执行情况等进行实时监控，发现问题及时采取措施，确保绩效目标如期保质实现。今后我部门将加强</w:t>
      </w:r>
      <w:r>
        <w:rPr>
          <w:rFonts w:ascii="仿宋" w:eastAsia="仿宋" w:cs="仿宋" w:hAnsi="仿宋" w:hint="eastAsia"/>
          <w:sz w:val="32"/>
          <w:szCs w:val="32"/>
        </w:rPr>
        <w:t>对绩效自评结果的运用，督促资金使用做好绩效自评发现的问题，认真进行整改，</w:t>
      </w:r>
      <w:r>
        <w:rPr>
          <w:rFonts w:ascii="仿宋" w:eastAsia="仿宋" w:hAnsi="仿宋" w:hint="eastAsia"/>
          <w:sz w:val="32"/>
          <w:szCs w:val="32"/>
        </w:rPr>
        <w:t>进一步深化、完善绩效管理体系，建立全程预算绩效管理机制，促进绩效管理工作向广度和深度延伸。</w:t>
      </w:r>
    </w:p>
    <w:p>
      <w:pPr>
        <w:pStyle w:val="23"/>
        <w:spacing w:line="560" w:lineRule="exact"/>
        <w:ind w:left="1429" w:firstLineChars="0" w:firstLine="0"/>
        <w:rPr>
          <w:rFonts w:ascii="黑体" w:eastAsia="黑体" w:cs="仿宋" w:hAnsi="黑体"/>
          <w:sz w:val="32"/>
          <w:szCs w:val="32"/>
        </w:rPr>
      </w:pPr>
    </w:p>
    <w:sectPr>
      <w:footerReference w:type="default" r:id="rId2"/>
      <w:footerReference w:type="even" r:id="rId3"/>
      <w:pgSz w:w="11906" w:h="16838"/>
      <w:pgMar w:top="1701" w:right="1418" w:bottom="1701" w:left="1418" w:header="851" w:footer="1701" w:gutter="0"/>
      <w:cols w:num="1" w:space="425"/>
      <w:docGrid w:type="lines" w:linePitch="313" w:charSpace="0"/>
    </w:sectPr>
  </w:body>
</w:document>
</file>

<file path=word/fontTable.xml><?xml version="1.0" encoding="utf-8"?>
<w:fonts xmlns:w="http://schemas.openxmlformats.org/wordprocessingml/2006/main" xmlns:r="http://schemas.openxmlformats.org/officeDocument/2006/relationships">
  <w:font w:name="宋体">
    <w:altName w:val="方正书宋_GBK"/>
    <w:panose1 w:val="02010600030101010101"/>
    <w:charset w:val="86"/>
    <w:family w:val="auto"/>
    <w:pitch w:val="variable"/>
    <w:sig w:usb0="00000003" w:usb1="288F0000" w:usb2="00000006" w:usb3="00000000" w:csb0="00040001" w:csb1="00000000"/>
  </w:font>
  <w:font w:name="仿宋">
    <w:altName w:val="永中仿宋"/>
    <w:panose1 w:val="02010609060101010101"/>
    <w:charset w:val="86"/>
    <w:family w:val="modern"/>
    <w:pitch w:val="variable"/>
    <w:sig w:usb0="800002BF" w:usb1="38CF7CFA" w:usb2="00000016" w:usb3="00000000" w:csb0="00040001" w:csb1="00000000"/>
  </w:font>
  <w:font w:name="仿宋_GB2312">
    <w:altName w:val="永中仿宋"/>
    <w:panose1 w:val="02010609030101010101"/>
    <w:charset w:val="86"/>
    <w:family w:val="modern"/>
    <w:pitch w:val="variable"/>
    <w:sig w:usb0="00000001" w:usb1="080E0000" w:usb2="00000000" w:usb3="00000000" w:csb0="00040000" w:csb1="00000000"/>
  </w:font>
  <w:font w:name="新宋体">
    <w:altName w:val="文泉驿微米黑"/>
    <w:panose1 w:val="00000000000000000000"/>
    <w:charset w:val="00"/>
    <w:family w:val="auto"/>
    <w:pitch w:val="variable"/>
    <w:sig w:usb0="00000000" w:usb1="00000000" w:usb2="00000000" w:usb3="00000000" w:csb0="00000000" w:csb1="00000000"/>
  </w:font>
  <w:font w:name="Arial">
    <w:altName w:val="DejaVu Sans"/>
    <w:panose1 w:val="020B0604020202020204"/>
    <w:charset w:val="01"/>
    <w:family w:val="swiss"/>
    <w:pitch w:val="variable"/>
    <w:sig w:usb0="E0002AFF" w:usb1="C0007843" w:usb2="00000009" w:usb3="00000000" w:csb0="400001FF" w:csb1="FFFF0000"/>
  </w:font>
  <w:font w:name="黑体">
    <w:altName w:val="方正黑体_GBK"/>
    <w:panose1 w:val="02010609060101010101"/>
    <w:charset w:val="86"/>
    <w:family w:val="auto"/>
    <w:pitch w:val="variable"/>
    <w:sig w:usb0="800002BF" w:usb1="38CF7CFA" w:usb2="00000016" w:usb3="00000000" w:csb0="00040001" w:csb1="00000000"/>
  </w:font>
  <w:font w:name="楷体">
    <w:altName w:val="永中楷体"/>
    <w:panose1 w:val="02010609060101010101"/>
    <w:charset w:val="86"/>
    <w:family w:val="modern"/>
    <w:pitch w:val="variable"/>
    <w:sig w:usb0="800002BF" w:usb1="38CF7CFA" w:usb2="00000016" w:usb3="00000000" w:csb0="00040001" w:csb1="00000000"/>
  </w:font>
  <w:font w:name="楷体_GB2312">
    <w:altName w:val="永中楷体"/>
    <w:panose1 w:val="02010609030101010101"/>
    <w:charset w:val="86"/>
    <w:family w:val="modern"/>
    <w:pitch w:val="variable"/>
    <w:sig w:usb0="00000001" w:usb1="080E0000" w:usb2="00000000" w:usb3="00000000" w:csb0="00040000" w:csb1="00000000"/>
  </w:font>
  <w:font w:name="Times New Roman">
    <w:altName w:val="DejaVu Sans"/>
    <w:panose1 w:val="02020603050405020304"/>
    <w:charset w:val="00"/>
    <w:family w:val="roman"/>
    <w:pitch w:val="variable"/>
    <w:sig w:usb0="20007A87" w:usb1="80000000" w:usb2="00000008" w:usb3="00000000" w:csb0="000001FF" w:csb1="00000000"/>
  </w:font>
  <w:font w:name="Lucida Sans">
    <w:altName w:val="DejaVu Sans"/>
    <w:panose1 w:val="020B0602030504020204"/>
    <w:charset w:val="00"/>
    <w:family w:val="auto"/>
    <w:pitch w:val="variable"/>
    <w:sig w:usb0="00000003" w:usb1="00000000" w:usb2="00000000" w:usb3="00000000" w:csb0="20000001" w:csb1="00000000"/>
  </w:font>
  <w:font w:name="Calibri">
    <w:altName w:val="DejaVu Sans"/>
    <w:panose1 w:val="020F0502020204030204"/>
    <w:charset w:val="00"/>
    <w:family w:val="swiss"/>
    <w:pitch w:val="variable"/>
    <w:sig w:usb0="E00002FF" w:usb1="4000ACFF" w:usb2="00000001" w:usb3="00000000" w:csb0="2000019F" w:csb1="00000000"/>
  </w:font>
  <w:font w:name="Cambria">
    <w:altName w:val="DejaVu Sans"/>
    <w:panose1 w:val="02040503050406030204"/>
    <w:charset w:val="00"/>
    <w:family w:val="roman"/>
    <w:pitch w:val="variable"/>
    <w:sig w:usb0="E00002FF" w:usb1="400004FF" w:usb2="00000000" w:usb3="00000000" w:csb0="2000019F" w:csb1="00000000"/>
  </w:font>
  <w:font w:name="Courier New">
    <w:altName w:val="DejaVu Sans"/>
    <w:panose1 w:val="02070309020205020404"/>
    <w:charset w:val="01"/>
    <w:family w:val="modern"/>
    <w:pitch w:val="variable"/>
    <w:sig w:usb0="E0002AFF" w:usb1="C0007843"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framePr w:w="0" w:hRule="auto" w:wrap="around" w:vAnchor="text" w:hAnchor="margin" w:xAlign="outside" w:y="1" w:anchorLock="0"/>
      <w:tabs>
        <w:tab w:val="center" w:pos="4153"/>
        <w:tab w:val="right" w:pos="8306"/>
      </w:tabs>
      <w:rPr>
        <w:rStyle w:val="21"/>
        <w:rFonts w:ascii="宋体" w:eastAsia="宋体" w:hAnsi="宋体"/>
        <w:sz w:val="28"/>
        <w:szCs w:val="28"/>
      </w:rPr>
    </w:pPr>
    <w:r>
      <w:rPr>
        <w:rStyle w:val="21"/>
        <w:rFonts w:ascii="宋体" w:eastAsia="宋体" w:hAnsi="宋体" w:hint="eastAsia"/>
        <w:sz w:val="28"/>
        <w:szCs w:val="28"/>
      </w:rPr>
      <w:t>-</w:t>
    </w:r>
    <w:r>
      <w:rPr>
        <w:rStyle w:val="21"/>
        <w:rFonts w:ascii="宋体" w:eastAsia="宋体" w:hAnsi="宋体"/>
        <w:sz w:val="28"/>
        <w:szCs w:val="28"/>
      </w:rPr>
      <w:fldChar w:fldCharType="begin"/>
    </w:r>
    <w:r>
      <w:rPr>
        <w:rStyle w:val="21"/>
        <w:rFonts w:ascii="宋体" w:eastAsia="宋体" w:hAnsi="宋体"/>
        <w:sz w:val="28"/>
        <w:szCs w:val="28"/>
      </w:rPr>
      <w:instrText xml:space="preserve">PAGE  </w:instrText>
    </w:r>
    <w:r>
      <w:rPr>
        <w:rStyle w:val="21"/>
        <w:rFonts w:ascii="宋体" w:eastAsia="宋体" w:hAnsi="宋体"/>
        <w:sz w:val="28"/>
        <w:szCs w:val="28"/>
      </w:rPr>
      <w:fldChar w:fldCharType="separate"/>
    </w:r>
    <w:r>
      <w:rPr>
        <w:rStyle w:val="21"/>
        <w:rFonts w:ascii="宋体" w:eastAsia="宋体" w:hAnsi="宋体"/>
        <w:sz w:val="28"/>
        <w:szCs w:val="28"/>
      </w:rPr>
      <w:t>9</w:t>
    </w:r>
    <w:r>
      <w:rPr>
        <w:rStyle w:val="21"/>
        <w:rFonts w:ascii="宋体" w:eastAsia="宋体" w:hAnsi="宋体"/>
        <w:sz w:val="28"/>
        <w:szCs w:val="28"/>
      </w:rPr>
      <w:fldChar w:fldCharType="end"/>
    </w:r>
    <w:r>
      <w:rPr>
        <w:rStyle w:val="21"/>
        <w:rFonts w:ascii="宋体" w:eastAsia="宋体" w:hAnsi="宋体" w:hint="eastAsia"/>
        <w:sz w:val="28"/>
        <w:szCs w:val="28"/>
      </w:rPr>
      <w:t>-</w:t>
    </w:r>
  </w:p>
  <w:p>
    <w:pPr>
      <w:pStyle w:val="17"/>
      <w:tabs>
        <w:tab w:val="center" w:pos="4153"/>
        <w:tab w:val="right" w:pos="8306"/>
      </w:tabs>
      <w:ind w:right="360" w:firstLine="360"/>
    </w:pP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framePr w:w="0" w:hRule="auto" w:wrap="around" w:vAnchor="text" w:hAnchor="margin" w:xAlign="outside" w:y="1" w:anchorLock="0"/>
      <w:tabs>
        <w:tab w:val="center" w:pos="4153"/>
        <w:tab w:val="right" w:pos="8306"/>
      </w:tabs>
      <w:rPr>
        <w:rStyle w:val="21"/>
      </w:rPr>
    </w:pPr>
    <w:r>
      <w:rPr>
        <w:rStyle w:val="21"/>
      </w:rPr>
      <w:fldChar w:fldCharType="begin"/>
    </w:r>
    <w:r>
      <w:rPr>
        <w:rStyle w:val="21"/>
      </w:rPr>
      <w:instrText xml:space="preserve">PAGE  </w:instrText>
    </w:r>
    <w:r>
      <w:rPr>
        <w:rStyle w:val="21"/>
      </w:rPr>
      <w:fldChar w:fldCharType="separate"/>
    </w:r>
    <w:r>
      <w:rPr>
        <w:rStyle w:val="21"/>
      </w:rPr>
      <w:fldChar w:fldCharType="end"/>
    </w:r>
  </w:p>
  <w:p>
    <w:pPr>
      <w:pStyle w:val="17"/>
      <w:tabs>
        <w:tab w:val="center" w:pos="4153"/>
        <w:tab w:val="right" w:pos="8306"/>
      </w:tabs>
      <w:ind w:right="360" w:firstLine="360"/>
    </w:pP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4DE332E9"/>
    <w:multiLevelType w:val="multilevel"/>
    <w:tmpl w:val="4DE332E9"/>
    <w:lvl w:ilvl="0">
      <w:start w:val="1"/>
      <w:numFmt w:val="japaneseCounting"/>
      <w:lvlRestart w:val="0"/>
      <w:lvlText w:val="%1、"/>
      <w:lvlJc w:val="left"/>
      <w:pPr>
        <w:ind w:left="1429" w:hanging="720"/>
      </w:pPr>
      <w:rPr>
        <w:rFonts w:hint="default"/>
      </w:rPr>
    </w:lvl>
    <w:lvl w:ilvl="1">
      <w:start w:val="1"/>
      <w:numFmt w:val="lowerLetter"/>
      <w:lvlText w:val="%2)"/>
      <w:lvlJc w:val="left"/>
      <w:pPr>
        <w:ind w:left="1419" w:hanging="420"/>
      </w:pPr>
    </w:lvl>
    <w:lvl w:ilvl="2">
      <w:start w:val="1"/>
      <w:numFmt w:val="lowerRoman"/>
      <w:lvlText w:val="%3."/>
      <w:lvlJc w:val="right"/>
      <w:pPr>
        <w:ind w:left="1839" w:hanging="420"/>
      </w:pPr>
    </w:lvl>
    <w:lvl w:ilvl="3">
      <w:start w:val="1"/>
      <w:numFmt w:val="decimal"/>
      <w:lvlText w:val="%4."/>
      <w:lvlJc w:val="left"/>
      <w:pPr>
        <w:ind w:left="2259" w:hanging="420"/>
      </w:pPr>
    </w:lvl>
    <w:lvl w:ilvl="4">
      <w:start w:val="1"/>
      <w:numFmt w:val="lowerLetter"/>
      <w:lvlText w:val="%5)"/>
      <w:lvlJc w:val="left"/>
      <w:pPr>
        <w:ind w:left="2679" w:hanging="420"/>
      </w:pPr>
    </w:lvl>
    <w:lvl w:ilvl="5">
      <w:start w:val="1"/>
      <w:numFmt w:val="lowerRoman"/>
      <w:lvlText w:val="%6."/>
      <w:lvlJc w:val="right"/>
      <w:pPr>
        <w:ind w:left="3099" w:hanging="420"/>
      </w:pPr>
    </w:lvl>
    <w:lvl w:ilvl="6">
      <w:start w:val="1"/>
      <w:numFmt w:val="decimal"/>
      <w:lvlText w:val="%7."/>
      <w:lvlJc w:val="left"/>
      <w:pPr>
        <w:ind w:left="3519" w:hanging="420"/>
      </w:pPr>
    </w:lvl>
    <w:lvl w:ilvl="7">
      <w:start w:val="1"/>
      <w:numFmt w:val="lowerLetter"/>
      <w:lvlText w:val="%8)"/>
      <w:lvlJc w:val="left"/>
      <w:pPr>
        <w:ind w:left="3939" w:hanging="420"/>
      </w:pPr>
    </w:lvl>
    <w:lvl w:ilvl="8">
      <w:start w:val="1"/>
      <w:numFmt w:val="lowerRoman"/>
      <w:lvlText w:val="%9."/>
      <w:lvlJc w:val="right"/>
      <w:pPr>
        <w:ind w:left="4359" w:hanging="420"/>
      </w:pPr>
    </w:lvl>
  </w:abstractNum>
  <w:abstractNum w:abstractNumId="1">
    <w:nsid w:val="56EF487F"/>
    <w:multiLevelType w:val="multilevel"/>
    <w:tmpl w:val="56EF487F"/>
    <w:lvl w:ilvl="0">
      <w:start w:val="1"/>
      <w:numFmt w:val="japaneseCounting"/>
      <w:lvlRestart w:val="0"/>
      <w:lvlText w:val="（%1）"/>
      <w:lvlJc w:val="left"/>
      <w:pPr>
        <w:ind w:left="1560" w:hanging="108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ocumentProtection w:edit="readOnly" w:enforcement="0"/>
  <w:defaultTabStop w:val="420"/>
  <w:drawingGridHorizontalSpacing w:val="105"/>
  <w:drawingGridVerticalSpacing w:val="313"/>
  <w:displayHorizontalDrawingGridEvery w:val="0"/>
  <w:displayVerticalDrawingGridEvery w:val="1"/>
  <w:characterSpacingControl w:val="compressPunctuation"/>
  <w:compat>
    <w:spaceForUL/>
    <w:balanceSingleByteDoubleByteWidth/>
    <w:ulTrailSpace/>
    <w:doNotExpandShiftReturn/>
    <w:adjustLineHeightInTable/>
    <w:compatSetting w:name="compatibilityMode" w:uri="http://schemas.microsoft.com/office/word" w:val="14"/>
  </w:compat>
  <w:docVars>
    <w:docVar w:name="commondata" w:val="eyJoZGlkIjoiYjg0MjVmNDQwOTkyZmEzZjVmYWFjYzZkNWIxODhlNWYifQ=="/>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pPr>
      <w:widowControl w:val="0"/>
      <w:jc w:val="both"/>
    </w:pPr>
    <w:rPr>
      <w:rFonts w:ascii="Calibri" w:eastAsia="宋体" w:cs="Arial" w:hAnsi="Times New Roman"/>
      <w:kern w:val="2"/>
      <w:sz w:val="21"/>
      <w:szCs w:val="22"/>
      <w:lang w:val="en-US" w:eastAsia="zh-CN" w:bidi="ar-SA"/>
    </w:rPr>
  </w:style>
  <w:style w:type="paragraph" w:styleId="1">
    <w:name w:val="heading 1"/>
    <w:basedOn w:val="0"/>
    <w:next w:val="0"/>
    <w:pPr>
      <w:spacing w:before="100" w:beforeAutospacing="1" w:after="100" w:afterAutospacing="1"/>
      <w:jc w:val="left"/>
      <w:outlineLvl w:val="0"/>
    </w:pPr>
    <w:rPr>
      <w:rFonts w:ascii="宋体" w:eastAsia="宋体" w:cs="宋体" w:hAnsi="宋体"/>
      <w:b/>
      <w:kern w:val="44"/>
      <w:sz w:val="48"/>
      <w:szCs w:val="48"/>
    </w:rPr>
  </w:style>
  <w:style w:type="paragraph" w:styleId="2">
    <w:name w:val="heading 2"/>
    <w:basedOn w:val="0"/>
    <w:next w:val="0"/>
    <w:pPr>
      <w:keepNext/>
      <w:keepLines/>
      <w:widowControl w:val="0"/>
      <w:spacing w:before="260" w:after="260" w:line="415" w:lineRule="auto"/>
      <w:outlineLvl w:val="1"/>
    </w:pPr>
    <w:rPr>
      <w:rFonts w:ascii="Cambria" w:eastAsia="宋体" w:cs="Times New Roman" w:hAnsi="Cambria"/>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styleId="15">
    <w:name w:val="Body Text"/>
    <w:basedOn w:val="0"/>
    <w:pPr>
      <w:autoSpaceDE w:val="0"/>
      <w:autoSpaceDN w:val="0"/>
      <w:adjustRightInd w:val="0"/>
      <w:snapToGrid w:val="0"/>
      <w:spacing w:line="588" w:lineRule="atLeast"/>
    </w:pPr>
    <w:rPr>
      <w:rFonts w:ascii="宋体" w:eastAsia="仿宋_GB2312" w:hAnsi="宋体"/>
      <w:spacing w:val="-2"/>
      <w:sz w:val="32"/>
      <w:szCs w:val="24"/>
    </w:rPr>
  </w:style>
  <w:style w:type="paragraph" w:styleId="16">
    <w:name w:val="Plain Text"/>
    <w:basedOn w:val="0"/>
    <w:rPr>
      <w:rFonts w:ascii="宋体" w:eastAsia="宋体" w:cs="Courier New" w:hAnsi="Courier New"/>
      <w:szCs w:val="21"/>
    </w:rPr>
  </w:style>
  <w:style w:type="paragraph" w:styleId="17">
    <w:name w:val="footer"/>
    <w:basedOn w:val="0"/>
    <w:pPr>
      <w:tabs>
        <w:tab w:val="center" w:pos="4153"/>
        <w:tab w:val="right" w:pos="8306"/>
      </w:tabs>
      <w:snapToGrid w:val="0"/>
      <w:jc w:val="left"/>
    </w:pPr>
    <w:rPr>
      <w:sz w:val="18"/>
      <w:szCs w:val="18"/>
    </w:rPr>
  </w:style>
  <w:style w:type="paragraph" w:styleId="18">
    <w:name w:val="header"/>
    <w:basedOn w:val="0"/>
    <w:pPr>
      <w:pBdr>
        <w:bottom w:val="single" w:sz="6" w:space="1" w:color="auto"/>
      </w:pBdr>
      <w:tabs>
        <w:tab w:val="center" w:pos="4153"/>
        <w:tab w:val="right" w:pos="8306"/>
      </w:tabs>
      <w:snapToGrid w:val="0"/>
      <w:jc w:val="center"/>
    </w:pPr>
    <w:rPr>
      <w:sz w:val="18"/>
      <w:szCs w:val="18"/>
    </w:rPr>
  </w:style>
  <w:style w:type="paragraph" w:styleId="19">
    <w:name w:val="Normal (Web)"/>
    <w:basedOn w:val="0"/>
    <w:pPr>
      <w:widowControl/>
      <w:spacing w:before="100" w:beforeAutospacing="1" w:after="100" w:afterAutospacing="1"/>
      <w:jc w:val="left"/>
    </w:pPr>
    <w:rPr>
      <w:rFonts w:ascii="宋体" w:eastAsia="宋体" w:cs="宋体" w:hAnsi="宋体"/>
      <w:kern w:val="0"/>
      <w:sz w:val="24"/>
      <w:szCs w:val="24"/>
    </w:rPr>
  </w:style>
  <w:style w:type="character" w:styleId="20">
    <w:name w:val="Strong"/>
    <w:basedOn w:val="10"/>
    <w:rPr>
      <w:b/>
      <w:bCs/>
    </w:rPr>
  </w:style>
  <w:style w:type="character" w:styleId="21">
    <w:name w:val="page number"/>
    <w:basedOn w:val="10"/>
  </w:style>
  <w:style w:type="character" w:customStyle="1" w:styleId="22">
    <w:name w:val="font31"/>
    <w:basedOn w:val="10"/>
    <w:rPr>
      <w:rFonts w:ascii="宋体" w:eastAsia="宋体" w:cs="宋体" w:hAnsi="宋体"/>
      <w:b/>
      <w:color w:val="000000"/>
      <w:sz w:val="36"/>
      <w:szCs w:val="36"/>
      <w:u w:val="none"/>
    </w:rPr>
  </w:style>
  <w:style w:type="paragraph" w:styleId="23">
    <w:name w:val="List Paragraph"/>
    <w:basedOn w:val="0"/>
    <w:pPr>
      <w:ind w:firstLineChars="200" w:firstLine="200"/>
    </w:p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87221C86-6FD7-4ED8-833C-510759112E55}">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7</TotalTime>
  <Application>Yozo_Office27021597764231179</Application>
  <Pages>20</Pages>
  <Words>0</Words>
  <Characters>9975</Characters>
  <Lines>0</Lines>
  <Paragraphs>82</Paragraphs>
  <CharactersWithSpaces>13300</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HUAWEI</cp:lastModifiedBy>
  <cp:revision>87</cp:revision>
  <cp:lastPrinted>2018-11-29T03:23:00Z</cp:lastPrinted>
  <dcterms:created xsi:type="dcterms:W3CDTF">2016-02-22T07:07:00Z</dcterms:created>
  <dcterms:modified xsi:type="dcterms:W3CDTF">2025-05-28T02:29:56Z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2052-12.1.0.16120</vt:lpwstr>
  </property>
  <property fmtid="{D5CDD505-2E9C-101B-9397-08002B2CF9AE}" pid="3" name="ICV">
    <vt:lpwstr>9993E2AD9E4B40F08408A593AF81324A_13</vt:lpwstr>
  </property>
</Properties>
</file>