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spacing w:line="400" w:lineRule="exact"/>
        <w:jc w:val="left"/>
        <w:rPr>
          <w:rFonts w:ascii="仿宋" w:eastAsia="仿宋" w:cs="仿宋" w:hAnsi="仿宋"/>
          <w:kern w:val="0"/>
          <w:sz w:val="32"/>
          <w:szCs w:val="32"/>
          <w:shd w:val="clear" w:color="auto" w:fill="FFFFFF"/>
        </w:rPr>
      </w:pPr>
      <w:r>
        <w:rPr>
          <w:rFonts w:ascii="仿宋" w:eastAsia="仿宋" w:cs="仿宋" w:hAnsi="仿宋" w:hint="eastAsia"/>
          <w:kern w:val="0"/>
          <w:sz w:val="32"/>
          <w:szCs w:val="32"/>
          <w:shd w:val="clear" w:color="auto" w:fill="FFFFFF"/>
        </w:rPr>
        <w:t xml:space="preserve">  附件4：</w:t>
      </w:r>
    </w:p>
    <w:p>
      <w:pPr>
        <w:spacing w:line="480" w:lineRule="exact"/>
        <w:jc w:val="center"/>
        <w:rPr>
          <w:rFonts w:ascii="宋体" w:hAnsi="宋体"/>
          <w:b/>
          <w:sz w:val="44"/>
          <w:szCs w:val="44"/>
        </w:rPr>
      </w:pPr>
      <w:r>
        <w:rPr>
          <w:rFonts w:ascii="宋体" w:hAnsi="宋体" w:hint="eastAsia"/>
          <w:b/>
          <w:sz w:val="44"/>
          <w:szCs w:val="44"/>
        </w:rPr>
        <w:t>隆尧县</w:t>
      </w:r>
      <w:r>
        <w:rPr>
          <w:rFonts w:ascii="宋体" w:hAnsi="宋体" w:hint="eastAsia"/>
          <w:b/>
          <w:sz w:val="44"/>
          <w:szCs w:val="44"/>
          <w:lang w:eastAsia="zh-CN"/>
        </w:rPr>
        <w:t>纪委</w:t>
      </w:r>
      <w:r>
        <w:rPr>
          <w:rFonts w:ascii="宋体" w:hAnsi="宋体" w:hint="eastAsia"/>
          <w:b/>
          <w:sz w:val="44"/>
          <w:szCs w:val="44"/>
        </w:rPr>
        <w:t>2021年</w:t>
      </w:r>
    </w:p>
    <w:p>
      <w:pPr>
        <w:spacing w:line="480" w:lineRule="exact"/>
        <w:jc w:val="center"/>
        <w:rPr>
          <w:rFonts w:ascii="宋体" w:eastAsia="宋体" w:cs="宋体" w:hAnsi="宋体"/>
          <w:b/>
          <w:color w:val="000000"/>
          <w:kern w:val="0"/>
          <w:sz w:val="44"/>
          <w:szCs w:val="44"/>
          <w:shd w:val="clear" w:color="auto" w:fill="FFFFFF"/>
        </w:rPr>
      </w:pPr>
      <w:r>
        <w:rPr>
          <w:rFonts w:ascii="宋体" w:hAnsi="宋体" w:hint="eastAsia"/>
          <w:b/>
          <w:sz w:val="44"/>
          <w:szCs w:val="44"/>
        </w:rPr>
        <w:t>部门整体支出绩效评价</w:t>
      </w:r>
      <w:r>
        <w:rPr>
          <w:rFonts w:ascii="宋体" w:eastAsia="宋体" w:cs="宋体" w:hAnsi="宋体" w:hint="eastAsia"/>
          <w:b/>
          <w:color w:val="000000"/>
          <w:kern w:val="0"/>
          <w:sz w:val="44"/>
          <w:szCs w:val="44"/>
          <w:shd w:val="clear" w:color="auto" w:fill="FFFFFF"/>
        </w:rPr>
        <w:t>指标体系评分表</w:t>
      </w:r>
    </w:p>
    <w:p>
      <w:pPr>
        <w:spacing w:line="480" w:lineRule="exact"/>
        <w:jc w:val="left"/>
        <w:rPr>
          <w:rFonts w:ascii="仿宋" w:eastAsia="仿宋" w:cs="仿宋" w:hAnsi="仿宋"/>
          <w:sz w:val="24"/>
          <w:szCs w:val="24"/>
        </w:rPr>
      </w:pPr>
      <w:r>
        <w:rPr>
          <w:rFonts w:ascii="仿宋" w:eastAsia="仿宋" w:cs="仿宋" w:hAnsi="仿宋" w:hint="eastAsia"/>
          <w:sz w:val="24"/>
          <w:szCs w:val="24"/>
        </w:rPr>
        <w:t xml:space="preserve">单位名称:        (公章)         单位负责人:          </w:t>
      </w:r>
    </w:p>
    <w:tbl>
      <w:tblPr>
        <w:jc w:val="left"/>
        <w:tblInd w:w="0" w:type="dxa"/>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Look w:val="0600" w:firstRow="0" w:lastRow="0" w:firstColumn="0" w:lastColumn="0" w:noHBand="1" w:noVBand="1"/>
      </w:tblPr>
      <w:tblGrid>
        <w:gridCol w:w="817"/>
        <w:gridCol w:w="851"/>
        <w:gridCol w:w="1559"/>
        <w:gridCol w:w="3260"/>
        <w:gridCol w:w="2552"/>
        <w:gridCol w:w="567"/>
      </w:tblGrid>
      <w:tr>
        <w:trPr>
          <w:trHeight w:val="33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一级指标</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center"/>
              <w:rPr>
                <w:b/>
              </w:rPr>
            </w:pPr>
            <w:r>
              <w:rPr>
                <w:rFonts w:ascii="仿宋_GB2312" w:eastAsia="仿宋_GB2312" w:cs="仿宋_GB2312" w:hAnsi="新宋体"/>
                <w:b/>
                <w:kern w:val="0"/>
                <w:sz w:val="24"/>
                <w:szCs w:val="24"/>
              </w:rPr>
              <w:t>二级指标</w:t>
            </w:r>
          </w:p>
        </w:tc>
        <w:tc>
          <w:tcPr>
            <w:tcW w:w="4819" w:type="dxa"/>
            <w:gridSpan w:val="2"/>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三级指标</w:t>
            </w:r>
          </w:p>
        </w:tc>
        <w:tc>
          <w:tcPr>
            <w:tcW w:w="2552"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评分标准</w:t>
            </w:r>
          </w:p>
        </w:tc>
        <w:tc>
          <w:tcPr>
            <w:tcW w:w="567" w:type="dxa"/>
            <w:vMerge w:val="restart"/>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b/>
              </w:rPr>
            </w:pPr>
            <w:r>
              <w:rPr>
                <w:rFonts w:ascii="仿宋_GB2312" w:eastAsia="仿宋_GB2312" w:cs="仿宋_GB2312" w:hAnsi="新宋体"/>
                <w:b/>
                <w:kern w:val="0"/>
                <w:sz w:val="24"/>
                <w:szCs w:val="24"/>
              </w:rPr>
              <w:t>得分</w:t>
            </w:r>
          </w:p>
        </w:tc>
      </w:tr>
      <w:tr>
        <w:trPr>
          <w:trHeight w:val="43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指标名称</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center"/>
              <w:rPr>
                <w:b/>
              </w:rPr>
            </w:pPr>
            <w:r>
              <w:rPr>
                <w:rFonts w:ascii="仿宋_GB2312" w:eastAsia="仿宋_GB2312" w:cs="仿宋_GB2312" w:hAnsi="新宋体"/>
                <w:b/>
                <w:kern w:val="0"/>
                <w:sz w:val="24"/>
                <w:szCs w:val="24"/>
              </w:rPr>
              <w:t>指标解释说明</w:t>
            </w:r>
          </w:p>
        </w:tc>
        <w:tc>
          <w:tcPr>
            <w:tcW w:w="2552" w:type="dxa"/>
            <w:vMerge/>
            <w:tcBorders>
              <w:top w:val="single" w:sz="4" w:space="0" w:color="000000"/>
              <w:left w:val="single" w:sz="4" w:space="0" w:color="auto"/>
              <w:bottom w:val="single" w:sz="4" w:space="0" w:color="000000"/>
              <w:right w:val="single" w:sz="4" w:space="0" w:color="auto"/>
            </w:tcBorders>
            <w:vAlign w:val="center"/>
          </w:tcPr>
          <w:p/>
        </w:tc>
        <w:tc>
          <w:tcPr>
            <w:tcW w:w="567" w:type="dxa"/>
            <w:vMerge/>
            <w:tcBorders>
              <w:top w:val="single" w:sz="4" w:space="0" w:color="000000"/>
              <w:left w:val="single" w:sz="4" w:space="0" w:color="auto"/>
              <w:bottom w:val="single" w:sz="4" w:space="0" w:color="000000"/>
              <w:right w:val="single" w:sz="4" w:space="0" w:color="auto"/>
            </w:tcBorders>
            <w:vAlign w:val="center"/>
          </w:tcPr>
          <w:p/>
        </w:tc>
      </w:tr>
      <w:tr>
        <w:trPr>
          <w:trHeight w:val="467"/>
        </w:trPr>
        <w:tc>
          <w:tcPr>
            <w:tcW w:w="9039" w:type="dxa"/>
            <w:gridSpan w:val="5"/>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center"/>
              <w:rPr>
                <w:rFonts w:ascii="仿宋_GB2312" w:eastAsia="仿宋_GB2312" w:cs="仿宋_GB2312" w:hAnsi="新宋体"/>
                <w:b/>
                <w:kern w:val="0"/>
                <w:sz w:val="24"/>
                <w:szCs w:val="24"/>
              </w:rPr>
            </w:pPr>
            <w:r>
              <w:rPr>
                <w:rFonts w:ascii="仿宋_GB2312" w:eastAsia="仿宋_GB2312" w:cs="仿宋_GB2312" w:hAnsi="新宋体" w:hint="eastAsia"/>
                <w:b/>
                <w:kern w:val="0"/>
                <w:sz w:val="24"/>
                <w:szCs w:val="24"/>
              </w:rPr>
              <w:t>自评总分</w:t>
            </w:r>
          </w:p>
        </w:tc>
        <w:tc>
          <w:tcPr>
            <w:tcW w:w="567"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szCs w:val="21"/>
              </w:rPr>
            </w:pPr>
          </w:p>
        </w:tc>
      </w:tr>
      <w:tr>
        <w:trPr>
          <w:trHeight w:val="112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投入（1</w:t>
            </w:r>
            <w:r>
              <w:rPr>
                <w:rFonts w:ascii="仿宋_GB2312" w:eastAsia="仿宋_GB2312" w:cs="仿宋_GB2312" w:hAnsi="新宋体" w:hint="eastAsia"/>
                <w:kern w:val="0"/>
                <w:szCs w:val="21"/>
              </w:rPr>
              <w:t>0分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绩效</w:t>
            </w:r>
            <w:r>
              <w:rPr>
                <w:rFonts w:ascii="仿宋_GB2312" w:eastAsia="仿宋_GB2312" w:cs="仿宋_GB2312" w:hAnsi="新宋体"/>
                <w:kern w:val="0"/>
                <w:szCs w:val="21"/>
              </w:rPr>
              <w:t>目标设定</w:t>
            </w:r>
            <w:r>
              <w:rPr>
                <w:rFonts w:ascii="仿宋_GB2312" w:eastAsia="仿宋_GB2312" w:cs="仿宋_GB2312" w:hAnsi="新宋体" w:hint="eastAsia"/>
                <w:kern w:val="0"/>
                <w:szCs w:val="21"/>
              </w:rPr>
              <w:t>情</w:t>
            </w:r>
          </w:p>
          <w:p>
            <w:pPr>
              <w:widowControl/>
              <w:spacing w:line="240" w:lineRule="exact"/>
              <w:jc w:val="left"/>
              <w:rPr>
                <w:sz w:val="18"/>
                <w:szCs w:val="18"/>
              </w:rPr>
            </w:pP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职责明确</w:t>
            </w:r>
          </w:p>
          <w:p>
            <w:pPr>
              <w:widowControl/>
              <w:spacing w:line="240" w:lineRule="exact"/>
              <w:jc w:val="left"/>
              <w:rPr>
                <w:szCs w:val="21"/>
              </w:rPr>
            </w:pPr>
            <w:r>
              <w:rPr>
                <w:rFonts w:ascii="仿宋_GB2312" w:eastAsia="仿宋_GB2312" w:cs="仿宋_GB2312" w:hAnsi="新宋体"/>
                <w:kern w:val="0"/>
                <w:szCs w:val="21"/>
              </w:rPr>
              <w:t>（1</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部门的职责设定是否符合“三定”方案中所赋予的职责，用以反映和评价部门工作的目的性与计划性。</w:t>
            </w:r>
          </w:p>
        </w:tc>
        <w:tc>
          <w:tcPr>
            <w:tcW w:w="2552"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符合（1）；</w:t>
            </w:r>
          </w:p>
          <w:p>
            <w:pPr>
              <w:widowControl/>
              <w:spacing w:line="240" w:lineRule="exact"/>
              <w:jc w:val="left"/>
              <w:rPr>
                <w:szCs w:val="21"/>
              </w:rPr>
            </w:pPr>
            <w:r>
              <w:rPr>
                <w:rFonts w:ascii="仿宋_GB2312" w:eastAsia="仿宋_GB2312" w:cs="仿宋_GB2312" w:hAnsi="新宋体"/>
                <w:kern w:val="0"/>
                <w:szCs w:val="21"/>
              </w:rPr>
              <w:t>不符合（0）。</w:t>
            </w:r>
          </w:p>
        </w:tc>
        <w:tc>
          <w:tcPr>
            <w:tcW w:w="567"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1</w:t>
            </w:r>
          </w:p>
        </w:tc>
      </w:tr>
      <w:tr>
        <w:trPr>
          <w:trHeight w:val="2535"/>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活动合规性</w:t>
            </w:r>
          </w:p>
          <w:p>
            <w:pPr>
              <w:widowControl/>
              <w:spacing w:line="240" w:lineRule="exact"/>
              <w:jc w:val="left"/>
              <w:rPr>
                <w:szCs w:val="21"/>
              </w:rPr>
            </w:pPr>
            <w:r>
              <w:rPr>
                <w:rFonts w:ascii="仿宋_GB2312" w:eastAsia="仿宋_GB2312" w:cs="仿宋_GB2312" w:hAnsi="新宋体"/>
                <w:kern w:val="0"/>
                <w:szCs w:val="21"/>
              </w:rPr>
              <w:t>（2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1.部门活动的设定在部门所确定的职责范围之内；</w:t>
            </w:r>
          </w:p>
          <w:p>
            <w:pPr>
              <w:widowControl/>
              <w:spacing w:line="240" w:lineRule="exact"/>
              <w:jc w:val="left"/>
              <w:rPr>
                <w:szCs w:val="21"/>
              </w:rPr>
            </w:pPr>
            <w:r>
              <w:rPr>
                <w:rFonts w:ascii="仿宋_GB2312" w:eastAsia="仿宋_GB2312" w:cs="仿宋_GB2312" w:hAnsi="新宋体"/>
                <w:kern w:val="0"/>
                <w:szCs w:val="21"/>
              </w:rPr>
              <w:t>2.部门活动符合</w:t>
            </w:r>
            <w:r>
              <w:rPr>
                <w:rFonts w:ascii="仿宋_GB2312" w:eastAsia="仿宋_GB2312" w:cs="仿宋_GB2312" w:hAnsi="新宋体" w:hint="eastAsia"/>
                <w:kern w:val="0"/>
                <w:szCs w:val="21"/>
              </w:rPr>
              <w:t>市</w:t>
            </w:r>
            <w:r>
              <w:rPr>
                <w:rFonts w:ascii="仿宋_GB2312" w:eastAsia="仿宋_GB2312" w:cs="仿宋_GB2312" w:hAnsi="新宋体"/>
                <w:kern w:val="0"/>
                <w:szCs w:val="21"/>
              </w:rPr>
              <w:t>委、</w:t>
            </w:r>
            <w:r>
              <w:rPr>
                <w:rFonts w:ascii="仿宋_GB2312" w:eastAsia="仿宋_GB2312" w:cs="仿宋_GB2312" w:hAnsi="新宋体" w:hint="eastAsia"/>
                <w:kern w:val="0"/>
                <w:szCs w:val="21"/>
              </w:rPr>
              <w:t>市</w:t>
            </w:r>
            <w:r>
              <w:rPr>
                <w:rFonts w:ascii="仿宋_GB2312" w:eastAsia="仿宋_GB2312" w:cs="仿宋_GB2312" w:hAnsi="新宋体"/>
                <w:kern w:val="0"/>
                <w:szCs w:val="21"/>
              </w:rPr>
              <w:t>政府的发展规划及本部门的年度工作安排与发展规划。</w:t>
            </w:r>
          </w:p>
        </w:tc>
        <w:tc>
          <w:tcPr>
            <w:tcW w:w="2552"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2</w:t>
            </w:r>
          </w:p>
        </w:tc>
      </w:tr>
      <w:tr>
        <w:trPr>
          <w:trHeight w:val="270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活动合理性</w:t>
            </w:r>
          </w:p>
          <w:p>
            <w:pPr>
              <w:widowControl/>
              <w:spacing w:line="240" w:lineRule="exact"/>
              <w:jc w:val="left"/>
              <w:rPr>
                <w:szCs w:val="21"/>
              </w:rPr>
            </w:pPr>
            <w:r>
              <w:rPr>
                <w:rFonts w:ascii="仿宋_GB2312" w:eastAsia="仿宋_GB2312" w:cs="仿宋_GB2312" w:hAnsi="新宋体"/>
                <w:kern w:val="0"/>
                <w:szCs w:val="21"/>
              </w:rPr>
              <w:t>（2</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1.活动目标的设定是可量化的，可通过清晰、可衡量的关键指标值予以体现；</w:t>
            </w:r>
          </w:p>
          <w:p>
            <w:pPr>
              <w:widowControl/>
              <w:spacing w:line="240" w:lineRule="exact"/>
              <w:jc w:val="left"/>
              <w:rPr>
                <w:szCs w:val="21"/>
              </w:rPr>
            </w:pPr>
            <w:r>
              <w:rPr>
                <w:rFonts w:ascii="仿宋_GB2312" w:eastAsia="仿宋_GB2312" w:cs="仿宋_GB2312" w:hAnsi="新宋体"/>
                <w:kern w:val="0"/>
                <w:szCs w:val="21"/>
              </w:rPr>
              <w:t>2.在活动目标设定时，将关键指标明细分解为具体的达成目标与工作任务。</w:t>
            </w:r>
          </w:p>
        </w:tc>
        <w:tc>
          <w:tcPr>
            <w:tcW w:w="2552"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全部符合（2）；</w:t>
            </w:r>
          </w:p>
          <w:p>
            <w:pPr>
              <w:widowControl/>
              <w:spacing w:line="240" w:lineRule="exact"/>
              <w:jc w:val="left"/>
              <w:rPr>
                <w:szCs w:val="21"/>
              </w:rPr>
            </w:pPr>
            <w:r>
              <w:rPr>
                <w:rFonts w:ascii="仿宋_GB2312" w:eastAsia="仿宋_GB2312" w:cs="仿宋_GB2312" w:hAnsi="新宋体"/>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2</w:t>
            </w:r>
          </w:p>
        </w:tc>
      </w:tr>
      <w:tr>
        <w:trPr>
          <w:trHeight w:val="3251"/>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预算配置</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在职人员控制率（</w:t>
            </w:r>
            <w:r>
              <w:rPr>
                <w:rFonts w:ascii="仿宋_GB2312" w:eastAsia="仿宋_GB2312" w:cs="仿宋_GB2312" w:hAnsi="新宋体" w:hint="eastAsia"/>
                <w:kern w:val="0"/>
                <w:szCs w:val="21"/>
              </w:rPr>
              <w:t>1分</w:t>
            </w:r>
            <w:r>
              <w:rPr>
                <w:rFonts w:ascii="仿宋_GB2312" w:eastAsia="仿宋_GB2312" w:cs="仿宋_GB2312" w:hAnsi="新宋体"/>
                <w:kern w:val="0"/>
                <w:szCs w:val="21"/>
              </w:rPr>
              <w:t>）</w:t>
            </w:r>
          </w:p>
        </w:tc>
        <w:tc>
          <w:tcPr>
            <w:tcW w:w="3260"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部门本年度实际在职人员数与编制数的比率，用以反映和评价部门对人员成本的控制程度。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在职人员控制率=（在职人员数/编制数）×100%。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在职人员数：部门实际在职人数，以财政部确定的部门决算编制口径为准，由编制部门和人劳部门批复同意的临聘人员除外。</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编制数：机构编制部门核定批复的部门人员编制数。</w:t>
            </w:r>
          </w:p>
        </w:tc>
        <w:tc>
          <w:tcPr>
            <w:tcW w:w="2552"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1.在职人员控制率小于或等于100%的，得满分；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2.在职人员控制率大于或等于115%的，得0分；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3.在职人员控制率在100%-115%之间的，在0分和满分之间计算确定：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得分=[max（在职人员控制率）－某部门在职人员控制率]/[max（在职人员控制率）－min（在职人员控制率）]×该指标分值。</w:t>
            </w:r>
          </w:p>
        </w:tc>
        <w:tc>
          <w:tcPr>
            <w:tcW w:w="567"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1</w:t>
            </w:r>
          </w:p>
        </w:tc>
      </w:tr>
      <w:tr>
        <w:trPr>
          <w:trHeight w:val="454"/>
        </w:trPr>
        <w:tc>
          <w:tcPr>
            <w:tcW w:w="817" w:type="dxa"/>
            <w:vMerge w:val="restart"/>
            <w:tcBorders>
              <w:top w:val="single" w:sz="4" w:space="0" w:color="000000"/>
              <w:left w:val="single" w:sz="4" w:space="0" w:color="000000"/>
              <w:right w:val="single" w:sz="4" w:space="0" w:color="000000"/>
            </w:tcBorders>
            <w:vAlign w:val="center"/>
          </w:tcPr>
          <w:p>
            <w:pPr>
              <w:spacing w:line="240" w:lineRule="exact"/>
              <w:rPr>
                <w:rFonts w:ascii="宋体"/>
                <w:szCs w:val="21"/>
              </w:rPr>
            </w:pPr>
          </w:p>
        </w:tc>
        <w:tc>
          <w:tcPr>
            <w:tcW w:w="851" w:type="dxa"/>
            <w:vMerge/>
            <w:tcBorders>
              <w:left w:val="single" w:sz="4" w:space="0" w:color="000000"/>
              <w:right w:val="single" w:sz="4" w:space="0" w:color="000000"/>
            </w:tcBorders>
            <w:vAlign w:val="center"/>
          </w:tcP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“三公”经费变动率（2分）</w:t>
            </w:r>
          </w:p>
        </w:tc>
        <w:tc>
          <w:tcPr>
            <w:tcW w:w="3260"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部门本年度“三公”经费预算数与上年度“三公”经费预算数的变动比率，用以反映和考核部门对控制重点行政成本的努力程度。“三公”经费变动率=[（本年度“三公”经费总额-上年度“三公”经费总额）</w:t>
            </w:r>
            <w:bookmarkStart w:id="0" w:name="_GoBack"/>
            <w:bookmarkEnd w:id="0"/>
            <w:r>
              <w:rPr>
                <w:rFonts w:ascii="仿宋" w:eastAsia="仿宋" w:cs="仿宋" w:hAnsi="仿宋" w:hint="eastAsia"/>
                <w:color w:val="000000"/>
                <w:kern w:val="0"/>
                <w:szCs w:val="21"/>
              </w:rPr>
              <w:t>/上年度“三公”经费总额]×100%。</w:t>
              <w:br/>
              <w:t>“三公”经费：年度预算安排的因公出国（境）费、公务车辆购置及运行费和公务招待费。</w:t>
            </w:r>
          </w:p>
        </w:tc>
        <w:tc>
          <w:tcPr>
            <w:tcW w:w="2552"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小于或等于</w:t>
            </w:r>
            <w:r>
              <w:rPr>
                <w:rFonts w:ascii="仿宋_GB2312" w:eastAsia="仿宋_GB2312" w:cs="仿宋_GB2312" w:hAnsi="新宋体" w:hint="eastAsia"/>
                <w:kern w:val="0"/>
                <w:szCs w:val="21"/>
              </w:rPr>
              <w:t>-5</w:t>
            </w:r>
            <w:r>
              <w:rPr>
                <w:rFonts w:ascii="仿宋_GB2312" w:eastAsia="仿宋_GB2312" w:cs="仿宋_GB2312" w:hAnsi="新宋体"/>
                <w:kern w:val="0"/>
                <w:szCs w:val="21"/>
              </w:rPr>
              <w:t>%的，得满分；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大于或等于1</w:t>
            </w:r>
            <w:r>
              <w:rPr>
                <w:rFonts w:ascii="仿宋_GB2312" w:eastAsia="仿宋_GB2312" w:cs="仿宋_GB2312" w:hAnsi="新宋体" w:hint="eastAsia"/>
                <w:kern w:val="0"/>
                <w:szCs w:val="21"/>
              </w:rPr>
              <w:t>0</w:t>
            </w:r>
            <w:r>
              <w:rPr>
                <w:rFonts w:ascii="仿宋_GB2312" w:eastAsia="仿宋_GB2312" w:cs="仿宋_GB2312" w:hAnsi="新宋体"/>
                <w:kern w:val="0"/>
                <w:szCs w:val="21"/>
              </w:rPr>
              <w:t>%的，得0分；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3.在职人员控制率在</w:t>
            </w:r>
            <w:r>
              <w:rPr>
                <w:rFonts w:ascii="仿宋_GB2312" w:eastAsia="仿宋_GB2312" w:cs="仿宋_GB2312" w:hAnsi="新宋体" w:hint="eastAsia"/>
                <w:kern w:val="0"/>
                <w:szCs w:val="21"/>
              </w:rPr>
              <w:t>-5</w:t>
            </w:r>
            <w:r>
              <w:rPr>
                <w:rFonts w:ascii="仿宋_GB2312" w:eastAsia="仿宋_GB2312" w:cs="仿宋_GB2312" w:hAnsi="新宋体"/>
                <w:kern w:val="0"/>
                <w:szCs w:val="21"/>
              </w:rPr>
              <w:t>%-</w:t>
            </w:r>
            <w:r>
              <w:rPr>
                <w:rFonts w:ascii="仿宋_GB2312" w:eastAsia="仿宋_GB2312" w:cs="仿宋_GB2312" w:hAnsi="新宋体" w:hint="eastAsia"/>
                <w:kern w:val="0"/>
                <w:szCs w:val="21"/>
              </w:rPr>
              <w:t>10</w:t>
            </w:r>
            <w:r>
              <w:rPr>
                <w:rFonts w:ascii="仿宋_GB2312" w:eastAsia="仿宋_GB2312" w:cs="仿宋_GB2312" w:hAnsi="新宋体"/>
                <w:kern w:val="0"/>
                <w:szCs w:val="21"/>
              </w:rPr>
              <w:t>%之间的，在0分和满分之间计算确定：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得分=[max（</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]/[max（</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）－min（</w:t>
            </w:r>
            <w:r>
              <w:rPr>
                <w:rFonts w:ascii="仿宋" w:eastAsia="仿宋" w:cs="仿宋" w:hAnsi="仿宋" w:hint="eastAsia"/>
                <w:color w:val="000000"/>
                <w:kern w:val="0"/>
                <w:szCs w:val="21"/>
              </w:rPr>
              <w:t>“三公”经费变动率</w:t>
            </w:r>
            <w:r>
              <w:rPr>
                <w:rFonts w:ascii="仿宋_GB2312" w:eastAsia="仿宋_GB2312" w:cs="仿宋_GB2312" w:hAnsi="新宋体"/>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0</w:t>
            </w:r>
          </w:p>
        </w:tc>
      </w:tr>
      <w:tr>
        <w:trPr>
          <w:trHeight w:val="454"/>
        </w:trPr>
        <w:tc>
          <w:tcPr>
            <w:tcW w:w="817" w:type="dxa"/>
            <w:vMerge/>
            <w:tcBorders>
              <w:left w:val="single" w:sz="4" w:space="0" w:color="000000"/>
              <w:bottom w:val="single" w:sz="4" w:space="0" w:color="000000"/>
              <w:right w:val="single" w:sz="4" w:space="0" w:color="000000"/>
            </w:tcBorders>
            <w:vAlign w:val="center"/>
          </w:tcPr>
          <w:p/>
        </w:tc>
        <w:tc>
          <w:tcPr>
            <w:tcW w:w="851" w:type="dxa"/>
            <w:vMerge/>
            <w:tcBorders>
              <w:left w:val="single" w:sz="4" w:space="0" w:color="000000"/>
              <w:bottom w:val="single" w:sz="4" w:space="0" w:color="000000"/>
              <w:right w:val="single" w:sz="4" w:space="0" w:color="000000"/>
            </w:tcBorders>
            <w:vAlign w:val="center"/>
          </w:tcPr>
          <w:p/>
        </w:tc>
        <w:tc>
          <w:tcPr>
            <w:tcW w:w="1559" w:type="dxa"/>
            <w:tcBorders>
              <w:top w:val="single" w:sz="4" w:space="0" w:color="auto"/>
              <w:left w:val="single" w:sz="4" w:space="0" w:color="000000"/>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重点支出安排率（2分）</w:t>
            </w:r>
          </w:p>
        </w:tc>
        <w:tc>
          <w:tcPr>
            <w:tcW w:w="3260" w:type="dxa"/>
            <w:tcBorders>
              <w:top w:val="single" w:sz="4" w:space="0" w:color="auto"/>
              <w:left w:val="single" w:sz="4" w:space="0" w:color="auto"/>
              <w:right w:val="single" w:sz="4" w:space="0" w:color="auto"/>
            </w:tcBorders>
            <w:vAlign w:val="center"/>
          </w:tcPr>
          <w:p>
            <w:pPr>
              <w:widowControl/>
              <w:spacing w:line="240" w:lineRule="exact"/>
              <w:jc w:val="left"/>
              <w:textAlignment w:val="center"/>
              <w:rPr>
                <w:rFonts w:ascii="仿宋" w:eastAsia="仿宋" w:cs="仿宋" w:hAnsi="仿宋"/>
                <w:kern w:val="0"/>
                <w:szCs w:val="21"/>
              </w:rPr>
            </w:pPr>
            <w:r>
              <w:rPr>
                <w:rFonts w:ascii="仿宋" w:eastAsia="仿宋" w:cs="仿宋" w:hAnsi="仿宋" w:hint="eastAsia"/>
                <w:color w:val="000000"/>
                <w:kern w:val="0"/>
                <w:szCs w:val="21"/>
              </w:rPr>
              <w:t>部门本年度预算安排的重点项目支出与部门项目总支出的比率，用以反映和考核部门对履行主要职责或完成重点任务的保障程度。重点支出安排率=（重点项目支出/项目总支出）×100%。</w:t>
              <w:br/>
              <w:t>重点项目支出：部门（单位）年度预算安排的，与本部门履职和发展密切相关、具有明显社会和经济影响、党委政府关心或社会比较关注的项目支出总额。</w:t>
              <w:br/>
              <w:t>项目总支出：部门（单位）年度预算安排的项目支出总额。</w:t>
            </w:r>
          </w:p>
        </w:tc>
        <w:tc>
          <w:tcPr>
            <w:tcW w:w="2552" w:type="dxa"/>
            <w:tcBorders>
              <w:top w:val="single" w:sz="4" w:space="0" w:color="auto"/>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在85%-95%之间的，在0分和满分之间计算确定：</w:t>
            </w:r>
          </w:p>
          <w:p>
            <w:pPr>
              <w:widowControl/>
              <w:spacing w:line="240" w:lineRule="exact"/>
              <w:jc w:val="left"/>
              <w:textAlignment w:val="center"/>
              <w:rPr>
                <w:rFonts w:ascii="仿宋" w:eastAsia="仿宋" w:cs="仿宋" w:hAnsi="仿宋"/>
                <w:kern w:val="0"/>
                <w:szCs w:val="21"/>
              </w:rPr>
            </w:pPr>
            <w:r>
              <w:rPr>
                <w:rFonts w:ascii="仿宋_GB2312" w:eastAsia="仿宋_GB2312" w:cs="仿宋_GB2312" w:hAnsi="新宋体"/>
                <w:kern w:val="0"/>
                <w:szCs w:val="21"/>
              </w:rPr>
              <w:t>得分=[某部门</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）]/[max（</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）－min（</w:t>
            </w:r>
            <w:r>
              <w:rPr>
                <w:rFonts w:ascii="仿宋" w:eastAsia="仿宋" w:cs="仿宋" w:hAnsi="仿宋" w:hint="eastAsia"/>
                <w:color w:val="000000"/>
                <w:kern w:val="0"/>
                <w:szCs w:val="21"/>
              </w:rPr>
              <w:t>重点支出安排率</w:t>
            </w:r>
            <w:r>
              <w:rPr>
                <w:rFonts w:ascii="仿宋_GB2312" w:eastAsia="仿宋_GB2312" w:cs="仿宋_GB2312" w:hAnsi="新宋体"/>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2</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过程(</w:t>
            </w:r>
            <w:r>
              <w:rPr>
                <w:rFonts w:ascii="仿宋_GB2312" w:eastAsia="仿宋_GB2312" w:cs="仿宋_GB2312" w:hAnsi="新宋体" w:hint="eastAsia"/>
                <w:kern w:val="0"/>
                <w:szCs w:val="21"/>
              </w:rPr>
              <w:t>45分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预算执行</w:t>
            </w:r>
            <w:r>
              <w:rPr>
                <w:rFonts w:ascii="仿宋_GB2312" w:eastAsia="仿宋_GB2312" w:cs="仿宋_GB2312" w:hAnsi="新宋体" w:hint="eastAsia"/>
                <w:kern w:val="0"/>
                <w:szCs w:val="21"/>
              </w:rPr>
              <w:t>情况</w:t>
            </w:r>
            <w:r>
              <w:rPr>
                <w:rFonts w:ascii="仿宋_GB2312" w:eastAsia="仿宋_GB2312" w:cs="仿宋_GB2312" w:hAnsi="新宋体"/>
                <w:kern w:val="0"/>
                <w:szCs w:val="21"/>
              </w:rPr>
              <w:t>(</w:t>
            </w:r>
            <w:r>
              <w:rPr>
                <w:rFonts w:ascii="仿宋_GB2312" w:eastAsia="仿宋_GB2312" w:cs="仿宋_GB2312" w:hAnsi="新宋体" w:hint="eastAsia"/>
                <w:kern w:val="0"/>
                <w:szCs w:val="21"/>
              </w:rPr>
              <w:t>25分</w:t>
            </w:r>
            <w:r>
              <w:rPr>
                <w:rFonts w:ascii="仿宋_GB2312" w:eastAsia="仿宋_GB2312" w:cs="仿宋_GB2312" w:hAnsi="新宋体"/>
                <w:kern w:val="0"/>
                <w:szCs w:val="21"/>
              </w:rPr>
              <w:t>)</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预算完成率</w:t>
            </w:r>
          </w:p>
          <w:p>
            <w:pPr>
              <w:widowControl/>
              <w:spacing w:line="240" w:lineRule="exact"/>
              <w:jc w:val="left"/>
              <w:rPr>
                <w:szCs w:val="21"/>
              </w:rPr>
            </w:pP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通过对部门本年度预算完成数与预算数的比较，反映和评价部门预算的完成程度。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预算完成率=（预算完成数/预算数）×100%。</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1.预算完成率大于或等于95%的，得满分；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2.预算完成率小于或等于85%的，得0分；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3.预算完成率在85%-95%之间的，在0分和满分之间计算确定：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得分=[某部门预算完成率-min（预算完成率）]/[max（预算完成率）－min（预算完成率）]×该指标分值。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5</w:t>
            </w:r>
          </w:p>
        </w:tc>
      </w:tr>
      <w:tr>
        <w:trPr>
          <w:trHeight w:val="423"/>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预算调整率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部门本年度预算调整数与预算数的比率，用以反映和评价部门预算的调整程度。</w:t>
            </w:r>
          </w:p>
          <w:p>
            <w:pPr>
              <w:widowControl/>
              <w:spacing w:line="240" w:lineRule="exact"/>
              <w:jc w:val="left"/>
              <w:rPr>
                <w:szCs w:val="21"/>
              </w:rPr>
            </w:pPr>
            <w:r>
              <w:rPr>
                <w:rFonts w:ascii="仿宋_GB2312" w:eastAsia="仿宋_GB2312" w:cs="仿宋_GB2312" w:hAnsi="新宋体"/>
                <w:kern w:val="0"/>
                <w:szCs w:val="21"/>
              </w:rPr>
              <w:t>预算调整率=（预算调整数/预算数）×100%。</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 xml:space="preserve">1.预算调整率等于0的，得满分； </w:t>
            </w:r>
          </w:p>
          <w:p>
            <w:pPr>
              <w:widowControl/>
              <w:spacing w:line="240" w:lineRule="exact"/>
              <w:jc w:val="left"/>
              <w:rPr>
                <w:szCs w:val="21"/>
              </w:rPr>
            </w:pPr>
            <w:r>
              <w:rPr>
                <w:rFonts w:ascii="仿宋_GB2312" w:eastAsia="仿宋_GB2312" w:cs="仿宋_GB2312" w:hAnsi="新宋体"/>
                <w:kern w:val="0"/>
                <w:szCs w:val="21"/>
              </w:rPr>
              <w:t>2.预算调整率大于或等于10%的，得0分；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3.预算调整率在0-10%之间的，在0分和满分之间确定：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得分=［max（预算调整率）-某部门预算调整率］/［max（预算调整率）-min（预算调整率）］×该指标分值。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2</w:t>
            </w:r>
          </w:p>
        </w:tc>
      </w:tr>
      <w:tr>
        <w:trPr>
          <w:trHeight w:val="1692"/>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支付进度率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度支付数与</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度任务数的比率，用以反映和评价部门预算执行的及时和均衡程度。</w:t>
            </w:r>
          </w:p>
          <w:p>
            <w:pPr>
              <w:widowControl/>
              <w:spacing w:line="240" w:lineRule="exact"/>
              <w:jc w:val="left"/>
              <w:rPr>
                <w:szCs w:val="21"/>
              </w:rPr>
            </w:pPr>
            <w:r>
              <w:rPr>
                <w:rFonts w:ascii="仿宋_GB2312" w:eastAsia="仿宋_GB2312" w:cs="仿宋_GB2312" w:hAnsi="新宋体"/>
                <w:kern w:val="0"/>
                <w:szCs w:val="21"/>
              </w:rPr>
              <w:t>支付进度率=（</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度任务数）×100%。</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按</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度的执行情况进行打分</w:t>
            </w:r>
            <w:r>
              <w:rPr>
                <w:rFonts w:ascii="仿宋_GB2312" w:eastAsia="仿宋_GB2312" w:cs="仿宋_GB2312" w:hAnsi="新宋体" w:hint="eastAsia"/>
                <w:kern w:val="0"/>
                <w:szCs w:val="21"/>
              </w:rPr>
              <w:t>。</w:t>
            </w:r>
            <w:r>
              <w:rPr>
                <w:rFonts w:ascii="仿宋_GB2312" w:eastAsia="仿宋_GB2312" w:cs="仿宋_GB2312" w:hAnsi="新宋体"/>
                <w:kern w:val="0"/>
                <w:szCs w:val="21"/>
              </w:rPr>
              <w:t>得分=</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度支付数/</w:t>
            </w:r>
            <w:r>
              <w:rPr>
                <w:rFonts w:ascii="仿宋_GB2312" w:eastAsia="仿宋_GB2312" w:cs="仿宋_GB2312" w:hAnsi="新宋体" w:hint="eastAsia"/>
                <w:kern w:val="0"/>
                <w:szCs w:val="21"/>
              </w:rPr>
              <w:t>年</w:t>
            </w:r>
            <w:r>
              <w:rPr>
                <w:rFonts w:ascii="仿宋_GB2312" w:eastAsia="仿宋_GB2312" w:cs="仿宋_GB2312" w:hAnsi="新宋体"/>
                <w:kern w:val="0"/>
                <w:szCs w:val="21"/>
              </w:rPr>
              <w:t>度任务数×该指标分值。</w:t>
            </w:r>
          </w:p>
          <w:p>
            <w:pPr>
              <w:widowControl/>
              <w:pBdr>
                <w:top w:val="none" w:sz="0" w:space="0" w:color="auto"/>
                <w:left w:val="none" w:sz="0" w:space="0" w:color="auto"/>
                <w:bottom w:val="none" w:sz="0" w:space="0" w:color="auto"/>
                <w:right w:val="none" w:sz="0" w:space="0" w:color="auto"/>
              </w:pBdr>
              <w:spacing w:line="240" w:lineRule="exact"/>
              <w:jc w:val="left"/>
              <w:rPr>
                <w:szCs w:val="21"/>
              </w:rPr>
            </w:pP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4.9</w:t>
            </w:r>
          </w:p>
        </w:tc>
      </w:tr>
      <w:tr>
        <w:trPr>
          <w:trHeight w:val="1274"/>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结转</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结余率</w:t>
            </w:r>
          </w:p>
          <w:p>
            <w:pPr>
              <w:widowControl/>
              <w:spacing w:line="240" w:lineRule="exact"/>
              <w:jc w:val="left"/>
              <w:rPr>
                <w:szCs w:val="21"/>
              </w:rPr>
            </w:pPr>
            <w:r>
              <w:rPr>
                <w:rFonts w:ascii="仿宋_GB2312" w:eastAsia="仿宋_GB2312" w:cs="仿宋_GB2312" w:hAnsi="新宋体"/>
                <w:kern w:val="0"/>
                <w:szCs w:val="21"/>
              </w:rPr>
              <w:t>（4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eastAsia="仿宋_GB2312" w:cs="仿宋_GB2312" w:hAnsi="新宋体"/>
                <w:kern w:val="0"/>
                <w:szCs w:val="21"/>
              </w:rPr>
              <w:t>结转结余率=（结转结余总额/支出预算数）×100%。</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1.结转结余率等于0的，得满分；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2.结转结余率大于或等于50%的，得0分；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3.结转结余率在0-50%之间的，在0和满分之间计算确定：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得分=[max（结转结余率）－某部门结转结余率]/[max（结转结余率）－min（结转结余率）]×该指标分值。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3.5</w:t>
            </w:r>
          </w:p>
        </w:tc>
      </w:tr>
      <w:tr>
        <w:trPr>
          <w:trHeight w:val="1610"/>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公用经费</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控制率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通过对部门本年度实际支出的公用经费总额与预算安排的公用经费总额的比率，反映和评价部门对机构运转成本的实际控制程度。</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公用经费控制率=（实际支出公用经费总额/预算安排公用经费总额）×100%。</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1.公用经费控制率小于或等于100%的，得满分；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2.公用经费控制率大于或等于105%的，得0分；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3.公用经费控制率在100%-105%之间的，在0和满分之间计算确定：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得分=［max（公用经费控制率）-某部门公用经费控制率］/［max（公用经费控制率）-min（公用经费控制率）］×该指标分值。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4</w:t>
            </w:r>
          </w:p>
        </w:tc>
      </w:tr>
      <w:tr>
        <w:trPr>
          <w:trHeight w:val="699"/>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政府采购</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执行率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4分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通过对部门本年度实际政府采购预算项目个数与政府采购预算项目个数的比较，反映和评价部门政府采购预算执行情况。</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政府采购执行率=（实际政府采购预算项目个数/政府采购预算项目个数）×100%。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政府采购项目中非预算内安排的项目除外。</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1.政府采购执行率等于100%的，得满分；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2.政府采购执行率小于或等于90%的，0分；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3.政府采购执行率在90%-100%之间的，在0和满分之间计算确定：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得分=［某部门政府采购执行率-min（政府采购执行率）］/［max（政府采购执行率）-min（政府采购执行率）］×该指标分值。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4</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预算管理</w:t>
            </w:r>
            <w:r>
              <w:rPr>
                <w:rFonts w:ascii="仿宋_GB2312" w:eastAsia="仿宋_GB2312" w:cs="仿宋_GB2312" w:hAnsi="新宋体" w:hint="eastAsia"/>
                <w:kern w:val="0"/>
                <w:szCs w:val="21"/>
              </w:rPr>
              <w:t>情况</w:t>
            </w:r>
          </w:p>
          <w:p>
            <w:pPr>
              <w:widowControl/>
              <w:spacing w:line="240" w:lineRule="exact"/>
              <w:jc w:val="left"/>
              <w:rPr>
                <w:szCs w:val="21"/>
              </w:rPr>
            </w:pPr>
            <w:r>
              <w:rPr>
                <w:rFonts w:ascii="仿宋_GB2312" w:eastAsia="仿宋_GB2312" w:cs="仿宋_GB2312" w:hAnsi="新宋体"/>
                <w:kern w:val="0"/>
                <w:szCs w:val="21"/>
              </w:rPr>
              <w:t>（15）</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资金使用</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合规性</w:t>
            </w:r>
          </w:p>
          <w:p>
            <w:pPr>
              <w:widowControl/>
              <w:spacing w:line="240" w:lineRule="exact"/>
              <w:jc w:val="left"/>
              <w:rPr>
                <w:szCs w:val="21"/>
              </w:rPr>
            </w:pPr>
            <w:r>
              <w:rPr>
                <w:rFonts w:ascii="仿宋_GB2312" w:eastAsia="仿宋_GB2312" w:cs="仿宋_GB2312" w:hAnsi="新宋体"/>
                <w:kern w:val="0"/>
                <w:szCs w:val="21"/>
              </w:rPr>
              <w:t>（8</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1.符合国家财经法规和财务管理制度规定以及有关部门资金管理办法的规定；</w:t>
            </w:r>
          </w:p>
          <w:p>
            <w:pPr>
              <w:widowControl/>
              <w:spacing w:line="240" w:lineRule="exact"/>
              <w:jc w:val="left"/>
              <w:rPr>
                <w:szCs w:val="21"/>
              </w:rPr>
            </w:pPr>
            <w:r>
              <w:rPr>
                <w:rFonts w:ascii="仿宋_GB2312" w:eastAsia="仿宋_GB2312" w:cs="仿宋_GB2312" w:hAnsi="新宋体"/>
                <w:kern w:val="0"/>
                <w:szCs w:val="21"/>
              </w:rPr>
              <w:t>2.资金的拨付有完整的审批过程和手续；</w:t>
            </w:r>
          </w:p>
          <w:p>
            <w:pPr>
              <w:widowControl/>
              <w:spacing w:line="240" w:lineRule="exact"/>
              <w:jc w:val="left"/>
              <w:rPr>
                <w:szCs w:val="21"/>
              </w:rPr>
            </w:pPr>
            <w:r>
              <w:rPr>
                <w:rFonts w:ascii="仿宋_GB2312" w:eastAsia="仿宋_GB2312" w:cs="仿宋_GB2312" w:hAnsi="新宋体"/>
                <w:kern w:val="0"/>
                <w:szCs w:val="21"/>
              </w:rPr>
              <w:t>3.项目的重大开支经过评估论证；</w:t>
            </w:r>
          </w:p>
          <w:p>
            <w:pPr>
              <w:widowControl/>
              <w:spacing w:line="240" w:lineRule="exact"/>
              <w:jc w:val="left"/>
              <w:rPr>
                <w:szCs w:val="21"/>
              </w:rPr>
            </w:pPr>
            <w:r>
              <w:rPr>
                <w:rFonts w:ascii="仿宋_GB2312" w:eastAsia="仿宋_GB2312" w:cs="仿宋_GB2312" w:hAnsi="新宋体"/>
                <w:kern w:val="0"/>
                <w:szCs w:val="21"/>
              </w:rPr>
              <w:t>4.符合部门预算批复的用途；</w:t>
            </w:r>
          </w:p>
          <w:p>
            <w:pPr>
              <w:widowControl/>
              <w:spacing w:line="240" w:lineRule="exact"/>
              <w:jc w:val="left"/>
              <w:rPr>
                <w:szCs w:val="21"/>
              </w:rPr>
            </w:pPr>
            <w:r>
              <w:rPr>
                <w:rFonts w:ascii="仿宋_GB2312" w:eastAsia="仿宋_GB2312" w:cs="仿宋_GB2312" w:hAnsi="新宋体"/>
                <w:kern w:val="0"/>
                <w:szCs w:val="21"/>
              </w:rPr>
              <w:t>5.不存在截留情况；</w:t>
            </w:r>
          </w:p>
          <w:p>
            <w:pPr>
              <w:widowControl/>
              <w:spacing w:line="240" w:lineRule="exact"/>
              <w:jc w:val="left"/>
              <w:rPr>
                <w:szCs w:val="21"/>
              </w:rPr>
            </w:pPr>
            <w:r>
              <w:rPr>
                <w:rFonts w:ascii="仿宋_GB2312" w:eastAsia="仿宋_GB2312" w:cs="仿宋_GB2312" w:hAnsi="新宋体"/>
                <w:kern w:val="0"/>
                <w:szCs w:val="21"/>
              </w:rPr>
              <w:t>6.不存在挤占情况；</w:t>
            </w:r>
          </w:p>
          <w:p>
            <w:pPr>
              <w:widowControl/>
              <w:spacing w:line="240" w:lineRule="exact"/>
              <w:jc w:val="left"/>
              <w:rPr>
                <w:szCs w:val="21"/>
              </w:rPr>
            </w:pPr>
            <w:r>
              <w:rPr>
                <w:rFonts w:ascii="仿宋_GB2312" w:eastAsia="仿宋_GB2312" w:cs="仿宋_GB2312" w:hAnsi="新宋体"/>
                <w:kern w:val="0"/>
                <w:szCs w:val="21"/>
              </w:rPr>
              <w:t>7.不存在挪用情况；</w:t>
            </w:r>
          </w:p>
          <w:p>
            <w:pPr>
              <w:widowControl/>
              <w:spacing w:line="240" w:lineRule="exact"/>
              <w:jc w:val="left"/>
              <w:rPr>
                <w:szCs w:val="21"/>
              </w:rPr>
            </w:pPr>
            <w:r>
              <w:rPr>
                <w:rFonts w:ascii="仿宋_GB2312" w:eastAsia="仿宋_GB2312" w:cs="仿宋_GB2312" w:hAnsi="新宋体"/>
                <w:kern w:val="0"/>
                <w:szCs w:val="21"/>
              </w:rPr>
              <w:t>8.不存在虚列支出情况。</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全部符合（8）；</w:t>
            </w:r>
          </w:p>
          <w:p>
            <w:pPr>
              <w:widowControl/>
              <w:spacing w:line="240" w:lineRule="exact"/>
              <w:jc w:val="left"/>
              <w:rPr>
                <w:szCs w:val="21"/>
              </w:rPr>
            </w:pPr>
            <w:r>
              <w:rPr>
                <w:rFonts w:ascii="仿宋_GB2312" w:eastAsia="仿宋_GB2312" w:cs="仿宋_GB2312" w:hAnsi="新宋体"/>
                <w:kern w:val="0"/>
                <w:szCs w:val="21"/>
              </w:rPr>
              <w:t>符合其中七项（6）；</w:t>
            </w:r>
          </w:p>
          <w:p>
            <w:pPr>
              <w:widowControl/>
              <w:spacing w:line="240" w:lineRule="exact"/>
              <w:jc w:val="left"/>
              <w:rPr>
                <w:szCs w:val="21"/>
              </w:rPr>
            </w:pPr>
            <w:r>
              <w:rPr>
                <w:rFonts w:ascii="仿宋_GB2312" w:eastAsia="仿宋_GB2312" w:cs="仿宋_GB2312" w:hAnsi="新宋体"/>
                <w:kern w:val="0"/>
                <w:szCs w:val="21"/>
              </w:rPr>
              <w:t>符合其中六项（4）；</w:t>
            </w:r>
          </w:p>
          <w:p>
            <w:pPr>
              <w:widowControl/>
              <w:spacing w:line="240" w:lineRule="exact"/>
              <w:jc w:val="left"/>
              <w:rPr>
                <w:szCs w:val="21"/>
              </w:rPr>
            </w:pPr>
            <w:r>
              <w:rPr>
                <w:rFonts w:ascii="仿宋_GB2312" w:eastAsia="仿宋_GB2312" w:cs="仿宋_GB2312" w:hAnsi="新宋体"/>
                <w:kern w:val="0"/>
                <w:szCs w:val="21"/>
              </w:rPr>
              <w:t>符合其中五项（2）；</w:t>
            </w:r>
          </w:p>
          <w:p>
            <w:pPr>
              <w:widowControl/>
              <w:spacing w:line="240" w:lineRule="exact"/>
              <w:jc w:val="left"/>
              <w:rPr>
                <w:szCs w:val="21"/>
              </w:rPr>
            </w:pPr>
            <w:r>
              <w:rPr>
                <w:rFonts w:ascii="仿宋_GB2312" w:eastAsia="仿宋_GB2312" w:cs="仿宋_GB2312" w:hAnsi="新宋体"/>
                <w:kern w:val="0"/>
                <w:szCs w:val="21"/>
              </w:rPr>
              <w:t>符合其中四项及以下（0）。</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8</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预决算信息</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公开性</w:t>
            </w:r>
          </w:p>
          <w:p>
            <w:pPr>
              <w:widowControl/>
              <w:spacing w:line="240" w:lineRule="exact"/>
              <w:jc w:val="left"/>
              <w:rPr>
                <w:szCs w:val="21"/>
              </w:rPr>
            </w:pPr>
            <w:r>
              <w:rPr>
                <w:rFonts w:ascii="仿宋_GB2312" w:eastAsia="仿宋_GB2312" w:cs="仿宋_GB2312" w:hAnsi="新宋体"/>
                <w:kern w:val="0"/>
                <w:szCs w:val="21"/>
              </w:rPr>
              <w:t>（3</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eastAsia="仿宋_GB2312" w:cs="仿宋_GB2312" w:hAnsi="新宋体"/>
                <w:kern w:val="0"/>
                <w:szCs w:val="21"/>
              </w:rPr>
              <w:t>预决算信息是指与部门预算、执行、决算、监督、绩效等管理相关的信息。</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1.公开预决算信息；</w:t>
            </w:r>
          </w:p>
          <w:p>
            <w:pPr>
              <w:widowControl/>
              <w:spacing w:line="240" w:lineRule="exact"/>
              <w:jc w:val="left"/>
              <w:rPr>
                <w:szCs w:val="21"/>
              </w:rPr>
            </w:pPr>
            <w:r>
              <w:rPr>
                <w:rFonts w:ascii="仿宋_GB2312" w:eastAsia="仿宋_GB2312" w:cs="仿宋_GB2312" w:hAnsi="新宋体"/>
                <w:kern w:val="0"/>
                <w:szCs w:val="21"/>
              </w:rPr>
              <w:t>2.按规定内容公开预决算信息；</w:t>
            </w:r>
          </w:p>
          <w:p>
            <w:pPr>
              <w:widowControl/>
              <w:spacing w:line="240" w:lineRule="exact"/>
              <w:jc w:val="left"/>
              <w:rPr>
                <w:szCs w:val="21"/>
              </w:rPr>
            </w:pPr>
            <w:r>
              <w:rPr>
                <w:rFonts w:ascii="仿宋_GB2312" w:eastAsia="仿宋_GB2312" w:cs="仿宋_GB2312" w:hAnsi="新宋体"/>
                <w:kern w:val="0"/>
                <w:szCs w:val="21"/>
              </w:rPr>
              <w:t>3.按规定时限公开预决算信息。</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全部符合（3）；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3</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基础信息</w:t>
            </w:r>
          </w:p>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color w:val="000000"/>
                <w:kern w:val="0"/>
                <w:szCs w:val="21"/>
              </w:rPr>
              <w:t>完善性</w:t>
            </w:r>
          </w:p>
          <w:p>
            <w:pPr>
              <w:widowControl/>
              <w:spacing w:line="240" w:lineRule="exact"/>
              <w:jc w:val="left"/>
              <w:rPr>
                <w:szCs w:val="21"/>
              </w:rPr>
            </w:pPr>
            <w:r>
              <w:rPr>
                <w:rFonts w:ascii="仿宋_GB2312" w:eastAsia="仿宋_GB2312" w:cs="仿宋_GB2312" w:hAnsi="新宋体"/>
                <w:kern w:val="0"/>
                <w:szCs w:val="21"/>
              </w:rPr>
              <w:t>（4</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部门基础信息是否完善，用以反映和评价基础信息对预算管理工作的支撑情况。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1.基本财务管理制度健全；</w:t>
            </w:r>
          </w:p>
          <w:p>
            <w:pPr>
              <w:widowControl/>
              <w:spacing w:line="240" w:lineRule="exact"/>
              <w:jc w:val="left"/>
              <w:rPr>
                <w:szCs w:val="21"/>
              </w:rPr>
            </w:pPr>
            <w:r>
              <w:rPr>
                <w:rFonts w:ascii="仿宋_GB2312" w:eastAsia="仿宋_GB2312" w:cs="仿宋_GB2312" w:hAnsi="新宋体"/>
                <w:kern w:val="0"/>
                <w:szCs w:val="21"/>
              </w:rPr>
              <w:t>2.基础数据信息和会计信息资料真实；</w:t>
            </w:r>
          </w:p>
          <w:p>
            <w:pPr>
              <w:widowControl/>
              <w:spacing w:line="240" w:lineRule="exact"/>
              <w:jc w:val="left"/>
              <w:rPr>
                <w:szCs w:val="21"/>
              </w:rPr>
            </w:pPr>
            <w:r>
              <w:rPr>
                <w:rFonts w:ascii="仿宋_GB2312" w:eastAsia="仿宋_GB2312" w:cs="仿宋_GB2312" w:hAnsi="新宋体"/>
                <w:kern w:val="0"/>
                <w:szCs w:val="21"/>
              </w:rPr>
              <w:t>3.基础数据信息和会计信息资料完整；</w:t>
            </w:r>
          </w:p>
          <w:p>
            <w:pPr>
              <w:widowControl/>
              <w:spacing w:line="240" w:lineRule="exact"/>
              <w:jc w:val="left"/>
              <w:rPr>
                <w:szCs w:val="21"/>
              </w:rPr>
            </w:pPr>
            <w:r>
              <w:rPr>
                <w:rFonts w:ascii="仿宋_GB2312" w:eastAsia="仿宋_GB2312" w:cs="仿宋_GB2312" w:hAnsi="新宋体"/>
                <w:kern w:val="0"/>
                <w:szCs w:val="21"/>
              </w:rPr>
              <w:t>4.基础数据信息和会计信息资料准确。</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符合全部四项（4）；</w:t>
            </w:r>
          </w:p>
          <w:p>
            <w:pPr>
              <w:widowControl/>
              <w:spacing w:line="240" w:lineRule="exact"/>
              <w:jc w:val="left"/>
              <w:rPr>
                <w:szCs w:val="21"/>
              </w:rPr>
            </w:pPr>
            <w:r>
              <w:rPr>
                <w:rFonts w:ascii="仿宋_GB2312" w:eastAsia="仿宋_GB2312" w:cs="仿宋_GB2312" w:hAnsi="新宋体"/>
                <w:kern w:val="0"/>
                <w:szCs w:val="21"/>
              </w:rPr>
              <w:t>符合其中三项（2）；</w:t>
            </w:r>
          </w:p>
          <w:p>
            <w:pPr>
              <w:widowControl/>
              <w:spacing w:line="240" w:lineRule="exact"/>
              <w:jc w:val="left"/>
              <w:rPr>
                <w:szCs w:val="21"/>
              </w:rPr>
            </w:pPr>
            <w:r>
              <w:rPr>
                <w:rFonts w:ascii="仿宋_GB2312" w:eastAsia="仿宋_GB2312" w:cs="仿宋_GB2312" w:hAnsi="新宋体"/>
                <w:kern w:val="0"/>
                <w:szCs w:val="21"/>
              </w:rPr>
              <w:t>符合其中两项（1）；</w:t>
            </w:r>
          </w:p>
          <w:p>
            <w:pPr>
              <w:widowControl/>
              <w:spacing w:line="240" w:lineRule="exact"/>
              <w:jc w:val="left"/>
              <w:rPr>
                <w:szCs w:val="21"/>
              </w:rPr>
            </w:pPr>
            <w:r>
              <w:rPr>
                <w:rFonts w:ascii="仿宋_GB2312" w:eastAsia="仿宋_GB2312" w:cs="仿宋_GB2312" w:hAnsi="新宋体"/>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4</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资产管理</w:t>
            </w:r>
            <w:r>
              <w:rPr>
                <w:rFonts w:ascii="仿宋_GB2312" w:eastAsia="仿宋_GB2312" w:cs="仿宋_GB2312" w:hAnsi="新宋体" w:hint="eastAsia"/>
                <w:kern w:val="0"/>
                <w:szCs w:val="21"/>
              </w:rPr>
              <w:t>情况</w:t>
            </w: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资产管理</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完整性</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2分</w:t>
            </w:r>
            <w:r>
              <w:rPr>
                <w:rFonts w:ascii="仿宋_GB2312" w:eastAsia="仿宋_GB2312" w:cs="仿宋_GB2312" w:hAnsi="新宋体"/>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eastAsia="仿宋_GB2312" w:cs="仿宋_GB2312" w:hAnsi="新宋体"/>
                <w:kern w:val="0"/>
                <w:szCs w:val="21"/>
              </w:rPr>
              <w:t>评价要点：</w:t>
            </w:r>
          </w:p>
          <w:p>
            <w:pPr>
              <w:widowControl/>
              <w:spacing w:line="240" w:lineRule="exact"/>
              <w:jc w:val="left"/>
              <w:rPr>
                <w:szCs w:val="21"/>
              </w:rPr>
            </w:pPr>
            <w:r>
              <w:rPr>
                <w:rFonts w:ascii="仿宋_GB2312" w:eastAsia="仿宋_GB2312" w:cs="仿宋_GB2312" w:hAnsi="新宋体"/>
                <w:kern w:val="0"/>
                <w:szCs w:val="21"/>
              </w:rPr>
              <w:t>1.资产保存完整；</w:t>
            </w:r>
          </w:p>
          <w:p>
            <w:pPr>
              <w:widowControl/>
              <w:spacing w:line="240" w:lineRule="exact"/>
              <w:jc w:val="left"/>
              <w:rPr>
                <w:szCs w:val="21"/>
              </w:rPr>
            </w:pPr>
            <w:r>
              <w:rPr>
                <w:rFonts w:ascii="仿宋_GB2312" w:eastAsia="仿宋_GB2312" w:cs="仿宋_GB2312" w:hAnsi="新宋体"/>
                <w:kern w:val="0"/>
                <w:szCs w:val="21"/>
              </w:rPr>
              <w:t>2.资产账务管理是否合规，账实相符；</w:t>
            </w:r>
          </w:p>
          <w:p>
            <w:pPr>
              <w:widowControl/>
              <w:spacing w:line="240" w:lineRule="exact"/>
              <w:jc w:val="left"/>
              <w:rPr>
                <w:szCs w:val="21"/>
              </w:rPr>
            </w:pPr>
            <w:r>
              <w:rPr>
                <w:rFonts w:ascii="仿宋_GB2312" w:eastAsia="仿宋_GB2312" w:cs="仿宋_GB2312" w:hAnsi="新宋体"/>
                <w:kern w:val="0"/>
                <w:szCs w:val="21"/>
              </w:rPr>
              <w:t>3.资产有偿使用及处置收入及时足额上缴。</w:t>
            </w:r>
          </w:p>
        </w:tc>
        <w:tc>
          <w:tcPr>
            <w:tcW w:w="2552"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符合全部三项（3）；</w:t>
            </w:r>
          </w:p>
          <w:p>
            <w:pPr>
              <w:widowControl/>
              <w:spacing w:line="240" w:lineRule="exact"/>
              <w:jc w:val="left"/>
              <w:rPr>
                <w:szCs w:val="21"/>
              </w:rPr>
            </w:pPr>
            <w:r>
              <w:rPr>
                <w:rFonts w:ascii="仿宋_GB2312" w:eastAsia="仿宋_GB2312" w:cs="仿宋_GB2312" w:hAnsi="新宋体"/>
                <w:kern w:val="0"/>
                <w:szCs w:val="21"/>
              </w:rPr>
              <w:t>符合其中两项（2）；</w:t>
            </w:r>
          </w:p>
          <w:p>
            <w:pPr>
              <w:widowControl/>
              <w:spacing w:line="240" w:lineRule="exact"/>
              <w:jc w:val="left"/>
              <w:rPr>
                <w:szCs w:val="21"/>
              </w:rPr>
            </w:pPr>
            <w:r>
              <w:rPr>
                <w:rFonts w:ascii="仿宋_GB2312" w:eastAsia="仿宋_GB2312" w:cs="仿宋_GB2312" w:hAnsi="新宋体"/>
                <w:kern w:val="0"/>
                <w:szCs w:val="21"/>
              </w:rPr>
              <w:t>符合其中一项（1）；</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符合零项（0）。</w:t>
            </w:r>
          </w:p>
        </w:tc>
        <w:tc>
          <w:tcPr>
            <w:tcW w:w="567"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2</w:t>
            </w:r>
          </w:p>
        </w:tc>
      </w:tr>
      <w:tr>
        <w:trPr>
          <w:trHeight w:val="3689"/>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auto"/>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固定资产</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利用率</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3分</w:t>
            </w:r>
            <w:r>
              <w:rPr>
                <w:rFonts w:ascii="仿宋_GB2312" w:eastAsia="仿宋_GB2312" w:cs="仿宋_GB2312" w:hAnsi="新宋体"/>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eastAsia="仿宋_GB2312" w:cs="仿宋_GB2312" w:hAnsi="新宋体"/>
                <w:kern w:val="0"/>
                <w:szCs w:val="21"/>
              </w:rPr>
              <w:t>固定资产利用率=（实际在用固定资产总额/所有固定资产总额）×100%。</w:t>
            </w:r>
          </w:p>
        </w:tc>
        <w:tc>
          <w:tcPr>
            <w:tcW w:w="2552" w:type="dxa"/>
            <w:tcBorders>
              <w:top w:val="single" w:sz="4" w:space="0" w:color="auto"/>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1.固定资产利用率大于或等于95%的，得满分；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2.固定资产利用率小于或等于85%的，得0分；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3.固定资产利用率在85%-95%之间的，在0和满分之间计算确定：</w:t>
            </w:r>
          </w:p>
          <w:p>
            <w:pPr>
              <w:widowControl/>
              <w:pBdr>
                <w:top w:val="none" w:sz="0" w:space="0" w:color="auto"/>
                <w:left w:val="none" w:sz="0" w:space="0" w:color="auto"/>
                <w:bottom w:val="none" w:sz="0" w:space="0" w:color="auto"/>
                <w:right w:val="none" w:sz="0" w:space="0" w:color="auto"/>
              </w:pBdr>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得分=［某部门固定资产利用率-min（固定资产利用率）］/［max（固定资产利用率）-min（固定资产利用率）］×该指标分值。</w:t>
            </w:r>
          </w:p>
          <w:p>
            <w:pPr>
              <w:widowControl/>
              <w:pBdr>
                <w:top w:val="none" w:sz="0" w:space="0" w:color="auto"/>
                <w:left w:val="none" w:sz="0" w:space="0" w:color="auto"/>
                <w:bottom w:val="none" w:sz="0" w:space="0" w:color="auto"/>
                <w:right w:val="none" w:sz="0" w:space="0" w:color="auto"/>
              </w:pBdr>
              <w:spacing w:line="240" w:lineRule="exact"/>
              <w:jc w:val="left"/>
              <w:rPr>
                <w:szCs w:val="21"/>
              </w:rPr>
            </w:pPr>
          </w:p>
        </w:tc>
        <w:tc>
          <w:tcPr>
            <w:tcW w:w="567" w:type="dxa"/>
            <w:tcBorders>
              <w:top w:val="single" w:sz="4" w:space="0" w:color="auto"/>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3</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产出(2</w:t>
            </w:r>
            <w:r>
              <w:rPr>
                <w:rFonts w:ascii="仿宋_GB2312" w:eastAsia="仿宋_GB2312" w:cs="仿宋_GB2312" w:hAnsi="新宋体" w:hint="eastAsia"/>
                <w:kern w:val="0"/>
                <w:szCs w:val="21"/>
              </w:rPr>
              <w:t>5分</w:t>
            </w:r>
            <w:r>
              <w:rPr>
                <w:rFonts w:ascii="仿宋_GB2312" w:eastAsia="仿宋_GB2312" w:cs="仿宋_GB2312" w:hAnsi="新宋体"/>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职责履行</w:t>
            </w:r>
            <w:r>
              <w:rPr>
                <w:rFonts w:ascii="仿宋_GB2312" w:eastAsia="仿宋_GB2312" w:cs="仿宋_GB2312" w:hAnsi="新宋体" w:hint="eastAsia"/>
                <w:kern w:val="0"/>
                <w:szCs w:val="21"/>
              </w:rPr>
              <w:t>情况</w:t>
            </w:r>
            <w:r>
              <w:rPr>
                <w:rFonts w:ascii="仿宋_GB2312" w:eastAsia="仿宋_GB2312" w:cs="仿宋_GB2312" w:hAnsi="新宋体"/>
                <w:kern w:val="0"/>
                <w:sz w:val="18"/>
                <w:szCs w:val="18"/>
              </w:rPr>
              <w:t>（2</w:t>
            </w:r>
            <w:r>
              <w:rPr>
                <w:rFonts w:ascii="仿宋_GB2312" w:eastAsia="仿宋_GB2312" w:cs="仿宋_GB2312" w:hAnsi="新宋体" w:hint="eastAsia"/>
                <w:kern w:val="0"/>
                <w:sz w:val="18"/>
                <w:szCs w:val="18"/>
              </w:rPr>
              <w:t>5分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履职</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完成</w:t>
            </w: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情况</w:t>
            </w:r>
          </w:p>
          <w:p>
            <w:pPr>
              <w:widowControl/>
              <w:spacing w:line="240" w:lineRule="exact"/>
              <w:jc w:val="left"/>
              <w:rPr>
                <w:szCs w:val="21"/>
              </w:rPr>
            </w:pPr>
            <w:r>
              <w:rPr>
                <w:rFonts w:ascii="仿宋_GB2312" w:eastAsia="仿宋_GB2312" w:cs="仿宋_GB2312" w:hAnsi="新宋体"/>
                <w:kern w:val="0"/>
                <w:szCs w:val="21"/>
              </w:rPr>
              <w:t>（</w:t>
            </w:r>
            <w:r>
              <w:rPr>
                <w:rFonts w:ascii="仿宋_GB2312" w:eastAsia="仿宋_GB2312" w:cs="仿宋_GB2312" w:hAnsi="新宋体" w:hint="eastAsia"/>
                <w:kern w:val="0"/>
                <w:szCs w:val="21"/>
              </w:rPr>
              <w:t>10分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根据年度主要任务分解表的具体任务，逐项评价任务量化指标完成情况、实施效果和责任制建立情况。用以反映和考核部门（单位）履职工作任务目标的完成情况。评价要点：</w:t>
              <w:br/>
              <w:t xml:space="preserve">1.每项任务是否已制定了明确、具体、可量化、可衡量的绩效指标；           </w:t>
              <w:br/>
              <w:t>2.每项任务绩效指标的完成情况，是全部完成、基本完成、未完成，还是未实施；</w:t>
              <w:br/>
              <w:t>3.每项任务实施效果情况，是优秀、良好、一般，还是无效果；</w:t>
              <w:br/>
              <w:t>4.每项任务是否建立了目标责任制，是否落实到具体部门和人员负责。</w:t>
            </w:r>
          </w:p>
        </w:tc>
        <w:tc>
          <w:tcPr>
            <w:tcW w:w="2552" w:type="dxa"/>
            <w:tcBorders>
              <w:top w:val="single" w:sz="4" w:space="0" w:color="000000"/>
              <w:left w:val="single" w:sz="4" w:space="0" w:color="auto"/>
              <w:bottom w:val="single" w:sz="4" w:space="0" w:color="auto"/>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根据不同部门履职的内容和特点，具体测算部门履职工作任务目标的完成情况。</w:t>
            </w:r>
          </w:p>
        </w:tc>
        <w:tc>
          <w:tcPr>
            <w:tcW w:w="567"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10</w:t>
            </w:r>
          </w:p>
        </w:tc>
      </w:tr>
      <w:tr>
        <w:trPr>
          <w:trHeight w:val="3090"/>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top w:val="single" w:sz="4" w:space="0" w:color="000000"/>
              <w:left w:val="single" w:sz="4" w:space="0" w:color="000000"/>
              <w:bottom w:val="single" w:sz="4" w:space="0" w:color="000000"/>
              <w:right w:val="single" w:sz="4" w:space="0" w:color="000000"/>
            </w:tcBorders>
            <w:vAlign w:val="center"/>
          </w:tcPr>
          <w:p/>
        </w:tc>
        <w:tc>
          <w:tcPr>
            <w:tcW w:w="1559" w:type="dxa"/>
            <w:tcBorders>
              <w:top w:val="single" w:sz="4" w:space="0" w:color="000000"/>
              <w:left w:val="single" w:sz="4" w:space="0" w:color="000000"/>
              <w:right w:val="single" w:sz="4" w:space="0" w:color="auto"/>
            </w:tcBorders>
            <w:vAlign w:val="center"/>
          </w:tcPr>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kern w:val="0"/>
                <w:szCs w:val="21"/>
              </w:rPr>
              <w:t>项目</w:t>
            </w:r>
            <w:r>
              <w:rPr>
                <w:rFonts w:ascii="仿宋_GB2312" w:eastAsia="仿宋_GB2312" w:cs="仿宋_GB2312" w:hAnsi="新宋体" w:hint="eastAsia"/>
                <w:kern w:val="0"/>
                <w:szCs w:val="21"/>
              </w:rPr>
              <w:t>完成</w:t>
            </w:r>
          </w:p>
          <w:p>
            <w:pPr>
              <w:widowControl/>
              <w:spacing w:line="240" w:lineRule="exact"/>
              <w:jc w:val="left"/>
              <w:rPr>
                <w:szCs w:val="21"/>
              </w:rPr>
            </w:pPr>
            <w:r>
              <w:rPr>
                <w:rFonts w:ascii="仿宋_GB2312" w:eastAsia="仿宋_GB2312" w:cs="仿宋_GB2312" w:hAnsi="新宋体"/>
                <w:kern w:val="0"/>
                <w:szCs w:val="21"/>
              </w:rPr>
              <w:t>质量达标率（</w:t>
            </w:r>
            <w:r>
              <w:rPr>
                <w:rFonts w:ascii="仿宋_GB2312" w:eastAsia="仿宋_GB2312" w:cs="仿宋_GB2312" w:hAnsi="新宋体" w:hint="eastAsia"/>
                <w:kern w:val="0"/>
                <w:szCs w:val="21"/>
              </w:rPr>
              <w:t>15</w:t>
            </w:r>
            <w:r>
              <w:rPr>
                <w:rFonts w:ascii="仿宋_GB2312" w:eastAsia="仿宋_GB2312" w:cs="仿宋_GB2312" w:hAnsi="新宋体"/>
                <w:kern w:val="0"/>
                <w:szCs w:val="21"/>
              </w:rPr>
              <w:t>）</w:t>
            </w:r>
          </w:p>
        </w:tc>
        <w:tc>
          <w:tcPr>
            <w:tcW w:w="3260"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eastAsia="仿宋_GB2312" w:cs="仿宋_GB2312" w:hAnsi="新宋体"/>
                <w:kern w:val="0"/>
                <w:szCs w:val="21"/>
              </w:rPr>
              <w:t>项目质量达标率=（已完成项目中质量达标项目个数/已完成项目个数）×100%。</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项目质量达标是指项目决算验收合格。</w:t>
            </w:r>
          </w:p>
        </w:tc>
        <w:tc>
          <w:tcPr>
            <w:tcW w:w="2552" w:type="dxa"/>
            <w:tcBorders>
              <w:top w:val="single" w:sz="4" w:space="0" w:color="000000"/>
              <w:left w:val="single" w:sz="4" w:space="0" w:color="auto"/>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1.项目质量达标率等于100%的，得满分；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2.项目质量达标率小于或等于99%的，得0分；</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 xml:space="preserve">3.项目质量达标率在99%-100%之间的，在0和满分之间计算确定： </w:t>
            </w:r>
          </w:p>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kern w:val="0"/>
                <w:szCs w:val="21"/>
              </w:rPr>
              <w:t>得分=［某部门项目质量达标率-min（项目质量达标率）］/［max（项目质量达标率）-min（项目质量达标率）］×该指标分值。</w:t>
            </w:r>
          </w:p>
        </w:tc>
        <w:tc>
          <w:tcPr>
            <w:tcW w:w="567" w:type="dxa"/>
            <w:tcBorders>
              <w:top w:val="single" w:sz="4" w:space="0" w:color="000000"/>
              <w:left w:val="single" w:sz="4" w:space="0" w:color="auto"/>
              <w:bottom w:val="single" w:sz="4" w:space="0" w:color="auto"/>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15</w:t>
            </w:r>
          </w:p>
        </w:tc>
      </w:tr>
      <w:tr>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pPr>
              <w:widowControl/>
              <w:spacing w:line="240" w:lineRule="exact"/>
              <w:jc w:val="left"/>
              <w:rPr>
                <w:szCs w:val="21"/>
              </w:rPr>
            </w:pPr>
            <w:r>
              <w:rPr>
                <w:rFonts w:ascii="仿宋_GB2312" w:eastAsia="仿宋_GB2312" w:cs="仿宋_GB2312" w:hAnsi="新宋体"/>
                <w:kern w:val="0"/>
                <w:szCs w:val="21"/>
              </w:rPr>
              <w:t>效果（</w:t>
            </w:r>
            <w:r>
              <w:rPr>
                <w:rFonts w:ascii="仿宋_GB2312" w:eastAsia="仿宋_GB2312" w:cs="仿宋_GB2312" w:hAnsi="新宋体" w:hint="eastAsia"/>
                <w:kern w:val="0"/>
                <w:szCs w:val="21"/>
              </w:rPr>
              <w:t>2</w:t>
            </w:r>
            <w:r>
              <w:rPr>
                <w:rFonts w:ascii="仿宋_GB2312" w:eastAsia="仿宋_GB2312" w:cs="仿宋_GB2312" w:hAnsi="新宋体"/>
                <w:kern w:val="0"/>
                <w:szCs w:val="21"/>
              </w:rPr>
              <w:t>0</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851" w:type="dxa"/>
            <w:vMerge w:val="restart"/>
            <w:tcBorders>
              <w:top w:val="single" w:sz="4" w:space="0" w:color="auto"/>
              <w:left w:val="single" w:sz="4" w:space="0" w:color="000000"/>
              <w:right w:val="single" w:sz="4" w:space="0" w:color="000000"/>
            </w:tcBorders>
            <w:vAlign w:val="center"/>
          </w:tcPr>
          <w:p>
            <w:pPr>
              <w:widowControl/>
              <w:spacing w:line="240" w:lineRule="exact"/>
              <w:jc w:val="left"/>
              <w:rPr>
                <w:rFonts w:ascii="仿宋_GB2312" w:eastAsia="仿宋_GB2312" w:cs="仿宋_GB2312" w:hAnsi="新宋体"/>
                <w:kern w:val="0"/>
                <w:szCs w:val="21"/>
              </w:rPr>
            </w:pPr>
          </w:p>
          <w:p>
            <w:pPr>
              <w:widowControl/>
              <w:spacing w:line="240" w:lineRule="exact"/>
              <w:jc w:val="left"/>
              <w:rPr>
                <w:rFonts w:ascii="仿宋_GB2312" w:eastAsia="仿宋_GB2312" w:cs="仿宋_GB2312" w:hAnsi="新宋体"/>
                <w:kern w:val="0"/>
                <w:szCs w:val="21"/>
              </w:rPr>
            </w:pPr>
            <w:r>
              <w:rPr>
                <w:rFonts w:ascii="仿宋_GB2312" w:eastAsia="仿宋_GB2312" w:cs="仿宋_GB2312" w:hAnsi="新宋体" w:hint="eastAsia"/>
                <w:kern w:val="0"/>
                <w:szCs w:val="21"/>
              </w:rPr>
              <w:t>履职效益情况</w:t>
            </w:r>
          </w:p>
          <w:p>
            <w:pPr>
              <w:widowControl/>
              <w:spacing w:line="240" w:lineRule="exact"/>
              <w:jc w:val="left"/>
              <w:rPr>
                <w:rFonts w:ascii="仿宋_GB2312" w:eastAsia="仿宋_GB2312" w:cs="仿宋_GB2312" w:hAnsi="新宋体"/>
                <w:kern w:val="0"/>
                <w:sz w:val="18"/>
                <w:szCs w:val="18"/>
              </w:rPr>
            </w:pPr>
            <w:r>
              <w:rPr>
                <w:rFonts w:ascii="仿宋_GB2312" w:eastAsia="仿宋_GB2312" w:cs="仿宋_GB2312" w:hAnsi="新宋体"/>
                <w:kern w:val="0"/>
                <w:sz w:val="18"/>
                <w:szCs w:val="18"/>
              </w:rPr>
              <w:t>（</w:t>
            </w:r>
            <w:r>
              <w:rPr>
                <w:rFonts w:ascii="仿宋_GB2312" w:eastAsia="仿宋_GB2312" w:cs="仿宋_GB2312" w:hAnsi="新宋体" w:hint="eastAsia"/>
                <w:kern w:val="0"/>
                <w:sz w:val="18"/>
                <w:szCs w:val="18"/>
              </w:rPr>
              <w:t>20分</w:t>
            </w:r>
            <w:r>
              <w:rPr>
                <w:rFonts w:ascii="仿宋_GB2312" w:eastAsia="仿宋_GB2312" w:cs="仿宋_GB2312" w:hAnsi="新宋体"/>
                <w:kern w:val="0"/>
                <w:sz w:val="18"/>
                <w:szCs w:val="18"/>
              </w:rPr>
              <w:t>）</w:t>
            </w: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经济效益</w:t>
            </w:r>
          </w:p>
          <w:p>
            <w:pPr>
              <w:widowControl/>
              <w:spacing w:line="240" w:lineRule="exact"/>
              <w:jc w:val="left"/>
              <w:rPr>
                <w:szCs w:val="21"/>
              </w:rPr>
            </w:pPr>
            <w:r>
              <w:rPr>
                <w:rFonts w:ascii="仿宋_GB2312" w:eastAsia="仿宋_GB2312" w:cs="仿宋_GB2312" w:hAnsi="新宋体"/>
                <w:kern w:val="0"/>
                <w:szCs w:val="21"/>
              </w:rPr>
              <w:t>（5</w:t>
            </w:r>
            <w:r>
              <w:rPr>
                <w:rFonts w:ascii="仿宋_GB2312" w:eastAsia="仿宋_GB2312" w:cs="仿宋_GB2312" w:hAnsi="新宋体" w:hint="eastAsia"/>
                <w:kern w:val="0"/>
                <w:szCs w:val="21"/>
              </w:rPr>
              <w:t>分</w:t>
            </w:r>
            <w:r>
              <w:rPr>
                <w:rFonts w:ascii="仿宋_GB2312" w:eastAsia="仿宋_GB2312" w:cs="仿宋_GB2312" w:hAnsi="新宋体"/>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评价要点：</w:t>
              <w:br/>
              <w:t xml:space="preserve">1.通过部门所属企事业单位改革，促进了企事业单位效益增长情况；          </w:t>
              <w:br/>
              <w:t>2.通过预算支出项目的实施，促进了行业生产能力增长，从而带动行业经济效益增长；</w:t>
              <w:br/>
              <w:t>3.通过预算支出项目的实施，有效提高劳动效率，节约成本费用；</w:t>
              <w:br/>
              <w:t>4.通过预算支出项目的实施，降低了损耗，从而提高了生产效益；</w:t>
              <w:br/>
              <w:t>5.通过预算支出项目的实施，完善了突发情况的监测预警，保障了生产安全，降低了生产损失。</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根据不同部门履职的内容和特点，具体测算部门履职产生的经济效益。</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5</w:t>
            </w:r>
          </w:p>
        </w:tc>
      </w:tr>
      <w:tr>
        <w:trPr>
          <w:trHeight w:val="68"/>
        </w:trPr>
        <w:tc>
          <w:tcPr>
            <w:tcW w:w="817" w:type="dxa"/>
            <w:vMerge/>
            <w:tcBorders>
              <w:left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社会效益</w:t>
            </w:r>
          </w:p>
          <w:p>
            <w:pPr>
              <w:widowControl/>
              <w:spacing w:line="240" w:lineRule="exac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部门及所属二级单位履行职责对社会发展所带来的直接或间接影响。</w:t>
            </w:r>
          </w:p>
          <w:p>
            <w:pPr>
              <w:widowControl/>
              <w:spacing w:line="240" w:lineRule="exac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 xml:space="preserve">1.通过部门所属企事业单位的改革，促进了企事业单位可持续发展，带动就业增长情况；          </w:t>
              <w:br/>
              <w:t>2.通过预算支出项目的实施，是否明显促进了行业精神文明建设；</w:t>
              <w:br/>
              <w:t>3.通过部门履职是否明显提高城乡居民生活水平，满足了人们日益增长的物质与文化生活需求；</w:t>
              <w:br/>
              <w:t>4.通过预算项目的实施，是否提高了劳动生产率，降低了劳动强度，促进了劳动人民的身心健康；</w:t>
              <w:br/>
              <w:t>5.通过部门履职行业形象是否得到了大大提升了，增强了部门影响力。</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textAlignment w:val="center"/>
              <w:rPr>
                <w:rFonts w:ascii="仿宋" w:eastAsia="仿宋" w:cs="仿宋" w:hAnsi="仿宋"/>
                <w:szCs w:val="21"/>
              </w:rPr>
            </w:pPr>
            <w:r>
              <w:rPr>
                <w:rFonts w:ascii="仿宋" w:eastAsia="仿宋" w:cs="仿宋" w:hAnsi="仿宋" w:hint="eastAsia"/>
                <w:color w:val="000000"/>
                <w:kern w:val="0"/>
                <w:szCs w:val="21"/>
              </w:rPr>
              <w:t>根据不同部门履职的内容和特点，具体测算部门履职产生的社会效益。</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5</w:t>
            </w:r>
          </w:p>
        </w:tc>
      </w:tr>
      <w:tr>
        <w:trPr>
          <w:trHeight w:val="68"/>
        </w:trPr>
        <w:tc>
          <w:tcPr>
            <w:tcW w:w="817" w:type="dxa"/>
            <w:vMerge/>
            <w:tcBorders>
              <w:left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生态效益</w:t>
            </w:r>
          </w:p>
          <w:p>
            <w:pPr>
              <w:widowControl/>
              <w:spacing w:line="240" w:lineRule="exact"/>
              <w:jc w:val="left"/>
              <w:rPr>
                <w:rFonts w:ascii="仿宋_GB2312" w:eastAsia="仿宋_GB2312" w:cs="仿宋_GB2312" w:hAnsi="新宋体"/>
                <w:color w:val="000000"/>
                <w:kern w:val="0"/>
                <w:szCs w:val="21"/>
              </w:rPr>
            </w:pPr>
            <w:r>
              <w:rPr>
                <w:rFonts w:ascii="仿宋_GB2312" w:eastAsia="仿宋_GB2312" w:cs="仿宋_GB2312" w:hAnsi="新宋体"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部门及所属二级单位履行职责对生态环境所带来的直接或间接影响。</w:t>
            </w:r>
          </w:p>
          <w:p>
            <w:pPr>
              <w:widowControl/>
              <w:spacing w:line="240" w:lineRule="exact"/>
              <w:jc w:val="left"/>
              <w:textAlignment w:val="center"/>
              <w:rPr>
                <w:rFonts w:ascii="仿宋" w:eastAsia="仿宋" w:cs="仿宋" w:hAnsi="仿宋"/>
                <w:color w:val="000000"/>
                <w:kern w:val="0"/>
                <w:szCs w:val="21"/>
              </w:rPr>
            </w:pPr>
            <w:r>
              <w:rPr>
                <w:rFonts w:ascii="仿宋" w:eastAsia="仿宋" w:cs="仿宋" w:hAnsi="仿宋" w:hint="eastAsia"/>
                <w:color w:val="000000"/>
                <w:kern w:val="0"/>
                <w:szCs w:val="21"/>
              </w:rPr>
              <w:t>评价要点：</w:t>
              <w:br/>
              <w:t>1.通过预算支出项目的实施，绿色、节能环保新技术的应用和推广，明显带动各环节的节能减排，也具有一定的环境效益；</w:t>
              <w:br/>
              <w:t>2.通过履职有效地控制虚假、伪劣、霉变等劣质产品进入市场，影响了人民生活质量，净化地市场环境；</w:t>
              <w:br/>
              <w:t>3.通过预算支出项目的实施，是否达到减少污染物排放；</w:t>
              <w:br/>
              <w:t>4.通过预算支出项目的实施，周围环境得到了整治，面貌得到了改善。</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jc w:val="left"/>
              <w:textAlignment w:val="center"/>
              <w:rPr>
                <w:szCs w:val="21"/>
              </w:rPr>
            </w:pPr>
            <w:r>
              <w:rPr>
                <w:rFonts w:ascii="仿宋" w:eastAsia="仿宋" w:cs="仿宋" w:hAnsi="仿宋" w:hint="eastAsia"/>
                <w:color w:val="000000"/>
                <w:kern w:val="0"/>
                <w:szCs w:val="21"/>
              </w:rPr>
              <w:t>根据不同部门履职的内容和特点，具体测算部门履职产生的生态效益。</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5</w:t>
            </w:r>
          </w:p>
        </w:tc>
      </w:tr>
      <w:tr>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tc>
        <w:tc>
          <w:tcPr>
            <w:tcW w:w="851" w:type="dxa"/>
            <w:vMerge/>
            <w:tcBorders>
              <w:left w:val="single" w:sz="4" w:space="0" w:color="000000"/>
              <w:right w:val="single" w:sz="4" w:space="0" w:color="000000"/>
            </w:tcBorders>
            <w:vAlign w:val="center"/>
          </w:tcPr>
          <w:p/>
        </w:tc>
        <w:tc>
          <w:tcPr>
            <w:tcW w:w="1559" w:type="dxa"/>
            <w:tcBorders>
              <w:top w:val="single" w:sz="4" w:space="0" w:color="000000"/>
              <w:left w:val="single" w:sz="4" w:space="0" w:color="000000"/>
              <w:bottom w:val="single" w:sz="4" w:space="0" w:color="000000"/>
              <w:right w:val="single" w:sz="4" w:space="0" w:color="auto"/>
            </w:tcBorders>
            <w:vAlign w:val="center"/>
          </w:tcPr>
          <w:p>
            <w:pPr>
              <w:widowControl/>
              <w:spacing w:line="240" w:lineRule="exact"/>
              <w:jc w:val="left"/>
              <w:rPr>
                <w:szCs w:val="21"/>
              </w:rPr>
            </w:pPr>
            <w:r>
              <w:rPr>
                <w:rFonts w:ascii="仿宋_GB2312" w:eastAsia="仿宋_GB2312" w:cs="仿宋_GB2312" w:hAnsi="新宋体" w:hint="eastAsia"/>
                <w:kern w:val="0"/>
                <w:szCs w:val="21"/>
              </w:rPr>
              <w:t>服务对象</w:t>
            </w:r>
            <w:r>
              <w:rPr>
                <w:rFonts w:ascii="仿宋_GB2312" w:eastAsia="仿宋_GB2312" w:cs="仿宋_GB2312" w:hAnsi="新宋体"/>
                <w:kern w:val="0"/>
                <w:szCs w:val="21"/>
              </w:rPr>
              <w:t>满意度（5）</w:t>
            </w:r>
          </w:p>
        </w:tc>
        <w:tc>
          <w:tcPr>
            <w:tcW w:w="3260" w:type="dxa"/>
            <w:tcBorders>
              <w:top w:val="single" w:sz="4" w:space="0" w:color="000000"/>
              <w:left w:val="single" w:sz="4" w:space="0" w:color="auto"/>
              <w:bottom w:val="single" w:sz="4" w:space="0" w:color="000000"/>
              <w:right w:val="single" w:sz="4" w:space="0" w:color="auto"/>
            </w:tcBorders>
            <w:vAlign w:val="center"/>
          </w:tcPr>
          <w:p>
            <w:pPr>
              <w:widowControl/>
              <w:pBdr>
                <w:top w:val="none" w:sz="0" w:space="0" w:color="auto"/>
                <w:left w:val="none" w:sz="0" w:space="0" w:color="auto"/>
                <w:bottom w:val="none" w:sz="0" w:space="0" w:color="auto"/>
                <w:right w:val="none" w:sz="0" w:space="0" w:color="auto"/>
              </w:pBdr>
              <w:spacing w:line="240" w:lineRule="exact"/>
              <w:jc w:val="left"/>
              <w:rPr>
                <w:szCs w:val="21"/>
              </w:rPr>
            </w:pPr>
            <w:r>
              <w:rPr>
                <w:rFonts w:ascii="仿宋_GB2312" w:eastAsia="仿宋_GB2312" w:cs="仿宋_GB2312" w:hAnsi="新宋体" w:hint="eastAsia"/>
                <w:kern w:val="0"/>
                <w:szCs w:val="21"/>
              </w:rPr>
              <w:t>通过对部门（单位）的服务对象对部门履职效果的满意程度调查，反映和考核社会公众或服务对象对部门履职的满意度。</w:t>
            </w:r>
          </w:p>
        </w:tc>
        <w:tc>
          <w:tcPr>
            <w:tcW w:w="2552" w:type="dxa"/>
            <w:tcBorders>
              <w:top w:val="single" w:sz="4" w:space="0" w:color="000000"/>
              <w:left w:val="single" w:sz="4" w:space="0" w:color="auto"/>
              <w:bottom w:val="single" w:sz="4" w:space="0" w:color="000000"/>
              <w:right w:val="single" w:sz="4" w:space="0" w:color="auto"/>
            </w:tcBorders>
            <w:vAlign w:val="center"/>
          </w:tcPr>
          <w:p>
            <w:pPr>
              <w:widowControl/>
              <w:spacing w:line="240" w:lineRule="exact"/>
              <w:rPr>
                <w:rFonts w:ascii="仿宋" w:eastAsia="仿宋" w:cs="宋体" w:hAnsi="仿宋"/>
                <w:kern w:val="0"/>
                <w:szCs w:val="21"/>
              </w:rPr>
            </w:pPr>
            <w:r>
              <w:rPr>
                <w:rFonts w:ascii="仿宋" w:eastAsia="仿宋" w:cs="Arial" w:hAnsi="仿宋"/>
                <w:kern w:val="0"/>
                <w:szCs w:val="21"/>
              </w:rPr>
              <w:t>按照满意度调查的优秀、良好、合格、不合格给予该项指标打分：</w:t>
            </w:r>
          </w:p>
          <w:p>
            <w:pPr>
              <w:widowControl/>
              <w:spacing w:line="240" w:lineRule="exact"/>
              <w:rPr>
                <w:szCs w:val="21"/>
              </w:rPr>
            </w:pPr>
            <w:r>
              <w:rPr>
                <w:rFonts w:ascii="仿宋" w:eastAsia="仿宋" w:cs="Arial" w:hAnsi="仿宋"/>
                <w:kern w:val="0"/>
                <w:szCs w:val="21"/>
              </w:rPr>
              <w:t>优秀（</w:t>
            </w:r>
            <w:r>
              <w:rPr>
                <w:rFonts w:ascii="仿宋" w:eastAsia="仿宋" w:cs="Arial" w:hAnsi="仿宋" w:hint="eastAsia"/>
                <w:kern w:val="0"/>
                <w:szCs w:val="21"/>
              </w:rPr>
              <w:t>5</w:t>
            </w:r>
            <w:r>
              <w:rPr>
                <w:rFonts w:ascii="仿宋" w:eastAsia="仿宋" w:cs="Arial" w:hAnsi="仿宋"/>
                <w:kern w:val="0"/>
                <w:szCs w:val="21"/>
              </w:rPr>
              <w:t>）；良好（</w:t>
            </w:r>
            <w:r>
              <w:rPr>
                <w:rFonts w:ascii="仿宋" w:eastAsia="仿宋" w:cs="Arial" w:hAnsi="仿宋" w:hint="eastAsia"/>
                <w:kern w:val="0"/>
                <w:szCs w:val="21"/>
              </w:rPr>
              <w:t>3</w:t>
            </w:r>
            <w:r>
              <w:rPr>
                <w:rFonts w:ascii="仿宋" w:eastAsia="仿宋" w:cs="Arial" w:hAnsi="仿宋"/>
                <w:kern w:val="0"/>
                <w:szCs w:val="21"/>
              </w:rPr>
              <w:t>）；合格（</w:t>
            </w:r>
            <w:r>
              <w:rPr>
                <w:rFonts w:ascii="仿宋" w:eastAsia="仿宋" w:cs="Arial" w:hAnsi="仿宋" w:hint="eastAsia"/>
                <w:kern w:val="0"/>
                <w:szCs w:val="21"/>
              </w:rPr>
              <w:t>1</w:t>
            </w:r>
            <w:r>
              <w:rPr>
                <w:rFonts w:ascii="仿宋" w:eastAsia="仿宋" w:cs="Arial" w:hAnsi="仿宋"/>
                <w:kern w:val="0"/>
                <w:szCs w:val="21"/>
              </w:rPr>
              <w:t>）；不合格（</w:t>
            </w:r>
            <w:r>
              <w:rPr>
                <w:rFonts w:ascii="仿宋" w:eastAsia="仿宋" w:cs="Arial" w:hAnsi="仿宋" w:hint="eastAsia"/>
                <w:kern w:val="0"/>
                <w:szCs w:val="21"/>
              </w:rPr>
              <w:t>0</w:t>
            </w:r>
            <w:r>
              <w:rPr>
                <w:rFonts w:ascii="仿宋" w:eastAsia="仿宋" w:cs="Arial" w:hAnsi="仿宋"/>
                <w:kern w:val="0"/>
                <w:szCs w:val="21"/>
              </w:rPr>
              <w:t>）。</w:t>
            </w:r>
          </w:p>
        </w:tc>
        <w:tc>
          <w:tcPr>
            <w:tcW w:w="567" w:type="dxa"/>
            <w:tcBorders>
              <w:top w:val="single" w:sz="4" w:space="0" w:color="000000"/>
              <w:left w:val="single" w:sz="4" w:space="0" w:color="auto"/>
              <w:bottom w:val="single" w:sz="4" w:space="0" w:color="000000"/>
              <w:right w:val="single" w:sz="4" w:space="0" w:color="000000"/>
            </w:tcBorders>
            <w:vAlign w:val="center"/>
          </w:tcPr>
          <w:p>
            <w:pPr>
              <w:widowControl/>
              <w:spacing w:line="240" w:lineRule="exact"/>
              <w:jc w:val="left"/>
              <w:rPr>
                <w:rFonts w:eastAsia="宋体" w:hint="eastAsia"/>
                <w:szCs w:val="21"/>
                <w:lang w:val="en-US" w:eastAsia="zh-CN"/>
              </w:rPr>
            </w:pPr>
            <w:r>
              <w:rPr>
                <w:rFonts w:hint="eastAsia"/>
                <w:szCs w:val="21"/>
                <w:lang w:val="en-US" w:eastAsia="zh-CN"/>
              </w:rPr>
              <w:t>5</w:t>
            </w:r>
          </w:p>
        </w:tc>
      </w:tr>
    </w:tbl>
    <w:p>
      <w:pPr>
        <w:widowControl/>
        <w:spacing w:line="480" w:lineRule="exact"/>
        <w:jc w:val="left"/>
        <w:rPr>
          <w:rFonts w:ascii="仿宋" w:eastAsia="仿宋" w:cs="仿宋" w:hAnsi="仿宋"/>
          <w:kern w:val="0"/>
          <w:sz w:val="32"/>
          <w:szCs w:val="32"/>
          <w:shd w:val="clear" w:color="auto" w:fill="FFFFFF"/>
        </w:rPr>
      </w:pPr>
    </w:p>
    <w:p>
      <w:pPr>
        <w:rPr>
          <w:rFonts w:ascii="黑体" w:eastAsia="黑体" w:cs="黑体" w:hAnsi="黑体" w:hint="eastAsia"/>
          <w:b/>
          <w:bCs/>
          <w:sz w:val="30"/>
          <w:szCs w:val="30"/>
        </w:rPr>
      </w:pPr>
      <w:r>
        <w:rPr>
          <w:rFonts w:ascii="黑体" w:eastAsia="黑体" w:cs="黑体" w:hAnsi="黑体" w:hint="eastAsia"/>
          <w:b/>
          <w:bCs/>
          <w:sz w:val="30"/>
          <w:szCs w:val="30"/>
        </w:rPr>
        <w:t>(后附部门整体自评报告)</w:t>
      </w:r>
    </w:p>
    <w:p>
      <w:pPr>
        <w:rPr>
          <w:rFonts w:ascii="黑体" w:eastAsia="黑体" w:cs="黑体" w:hAnsi="黑体" w:hint="eastAsia"/>
          <w:b/>
          <w:bCs/>
          <w:sz w:val="30"/>
          <w:szCs w:val="30"/>
        </w:rPr>
      </w:pPr>
    </w:p>
    <w:p>
      <w:pPr>
        <w:ind w:firstLine="780"/>
        <w:jc w:val="center"/>
        <w:rPr>
          <w:rFonts w:ascii="宋体" w:cs="黑体" w:hAnsi="宋体"/>
          <w:b/>
          <w:bCs/>
          <w:sz w:val="44"/>
          <w:szCs w:val="44"/>
        </w:rPr>
      </w:pPr>
      <w:r>
        <w:rPr>
          <w:rFonts w:ascii="宋体" w:cs="黑体" w:hAnsi="宋体" w:hint="eastAsia"/>
          <w:b/>
          <w:bCs/>
          <w:sz w:val="44"/>
          <w:szCs w:val="44"/>
        </w:rPr>
        <w:t>隆尧县</w:t>
      </w:r>
      <w:r>
        <w:rPr>
          <w:rFonts w:ascii="宋体" w:cs="黑体" w:hAnsi="宋体" w:hint="eastAsia"/>
          <w:b/>
          <w:bCs/>
          <w:sz w:val="44"/>
          <w:szCs w:val="44"/>
          <w:lang w:eastAsia="zh-CN"/>
        </w:rPr>
        <w:t>纪委</w:t>
      </w:r>
    </w:p>
    <w:p>
      <w:pPr>
        <w:ind w:firstLine="780"/>
        <w:jc w:val="center"/>
        <w:rPr>
          <w:rFonts w:ascii="宋体" w:cs="黑体" w:hAnsi="宋体"/>
          <w:b/>
          <w:bCs/>
          <w:sz w:val="44"/>
          <w:szCs w:val="44"/>
        </w:rPr>
      </w:pPr>
      <w:r>
        <w:rPr>
          <w:rFonts w:ascii="宋体" w:cs="黑体" w:hAnsi="宋体" w:hint="eastAsia"/>
          <w:b/>
          <w:bCs/>
          <w:sz w:val="44"/>
          <w:szCs w:val="44"/>
        </w:rPr>
        <w:t>2021年部门整体支出绩效评价报告</w:t>
      </w:r>
    </w:p>
    <w:p>
      <w:pPr>
        <w:ind w:firstLineChars="200" w:firstLine="640"/>
        <w:rPr>
          <w:rFonts w:ascii="黑体" w:eastAsia="黑体" w:cs="仿宋" w:hAnsi="黑体"/>
          <w:sz w:val="32"/>
          <w:szCs w:val="32"/>
        </w:rPr>
      </w:pPr>
      <w:r>
        <w:rPr>
          <w:rFonts w:ascii="黑体" w:eastAsia="黑体" w:cs="仿宋" w:hAnsi="黑体" w:hint="eastAsia"/>
          <w:sz w:val="32"/>
          <w:szCs w:val="32"/>
        </w:rPr>
        <w:t>一、基本概况。</w:t>
      </w:r>
    </w:p>
    <w:p>
      <w:pPr>
        <w:adjustRightInd w:val="0"/>
        <w:ind w:firstLineChars="200" w:firstLine="640"/>
        <w:rPr>
          <w:rFonts w:ascii="仿宋" w:eastAsia="仿宋" w:cs="仿宋" w:hAnsi="仿宋" w:hint="eastAsia"/>
          <w:sz w:val="32"/>
          <w:szCs w:val="32"/>
        </w:rPr>
      </w:pPr>
      <w:r>
        <w:rPr>
          <w:rFonts w:ascii="仿宋" w:eastAsia="仿宋" w:cs="仿宋" w:hAnsi="仿宋" w:hint="eastAsia"/>
          <w:sz w:val="32"/>
          <w:szCs w:val="32"/>
        </w:rPr>
        <w:t>(一)部门主要职责职能和部门组织架构</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1、</w:t>
      </w:r>
      <w:r>
        <w:rPr>
          <w:rFonts w:ascii="Times New Roman" w:eastAsia="仿宋" w:cs="仿宋" w:hAnsi="Times New Roman" w:hint="eastAsia"/>
          <w:sz w:val="32"/>
          <w:szCs w:val="32"/>
        </w:rPr>
        <w:t>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2、</w:t>
      </w:r>
      <w:r>
        <w:rPr>
          <w:rFonts w:ascii="Times New Roman" w:eastAsia="仿宋" w:cs="仿宋" w:hAnsi="Times New Roman" w:hint="eastAsia"/>
          <w:sz w:val="32"/>
          <w:szCs w:val="32"/>
        </w:rPr>
        <w:t>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3、</w:t>
      </w:r>
      <w:r>
        <w:rPr>
          <w:rFonts w:ascii="Times New Roman" w:eastAsia="仿宋" w:cs="仿宋" w:hAnsi="Times New Roman" w:hint="eastAsia"/>
          <w:sz w:val="32"/>
          <w:szCs w:val="32"/>
        </w:rPr>
        <w:t>支持配合巡视、巡察工作。承担巡视、巡察整改日常监督责任，做好巡视、巡察整改督查督办工作，依规依纪依法处置巡视、巡察移交的反映领导干部问题线索。</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4、</w:t>
      </w:r>
      <w:r>
        <w:rPr>
          <w:rFonts w:ascii="Times New Roman" w:eastAsia="仿宋" w:cs="仿宋" w:hAnsi="Times New Roman" w:hint="eastAsia"/>
          <w:sz w:val="32"/>
          <w:szCs w:val="32"/>
        </w:rPr>
        <w:t>负责全县监察工作。贯彻落实党中央和省委、市委、县委关于监察工作的决策部署，维护宪法法律，依法对县委管理的行使公权力的公职人员进行监察，调查职务违法和职务犯罪，开展廉政建设和反腐败工作。</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5、</w:t>
      </w:r>
      <w:r>
        <w:rPr>
          <w:rFonts w:ascii="Times New Roman" w:eastAsia="仿宋" w:cs="仿宋" w:hAnsi="Times New Roman" w:hint="eastAsia"/>
          <w:sz w:val="32"/>
          <w:szCs w:val="32"/>
        </w:rPr>
        <w:t>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6、</w:t>
      </w:r>
      <w:r>
        <w:rPr>
          <w:rFonts w:ascii="Times New Roman" w:eastAsia="仿宋" w:cs="仿宋" w:hAnsi="Times New Roman" w:hint="eastAsia"/>
          <w:sz w:val="32"/>
          <w:szCs w:val="32"/>
        </w:rPr>
        <w:t>负责组织协调全面从严治党、党风廉政建设和反腐败宣传教育工作。</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7、</w:t>
      </w:r>
      <w:r>
        <w:rPr>
          <w:rFonts w:ascii="Times New Roman" w:eastAsia="仿宋" w:cs="仿宋" w:hAnsi="Times New Roman" w:hint="eastAsia"/>
          <w:sz w:val="32"/>
          <w:szCs w:val="32"/>
        </w:rPr>
        <w:t>负责综合分析全面从严治党、党风廉政建设和反腐败工作情况，对纪检监察工作重要理论及实践问题进行调查研究；制定或者修改全县纪检监察法规制度，参与起草有关法规和规范性文件。</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8、</w:t>
      </w:r>
      <w:r>
        <w:rPr>
          <w:rFonts w:ascii="Times New Roman" w:eastAsia="仿宋" w:cs="仿宋" w:hAnsi="Times New Roman" w:hint="eastAsia"/>
          <w:sz w:val="32"/>
          <w:szCs w:val="32"/>
        </w:rPr>
        <w:t>负责组织协调全县反腐败追逃追赃和防逃工作，督促有关单位做好相关工作。</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9、</w:t>
      </w:r>
      <w:r>
        <w:rPr>
          <w:rFonts w:ascii="Times New Roman" w:eastAsia="仿宋" w:cs="仿宋" w:hAnsi="Times New Roman" w:hint="eastAsia"/>
          <w:sz w:val="32"/>
          <w:szCs w:val="32"/>
        </w:rPr>
        <w:t>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Times New Roman" w:eastAsia="仿宋" w:cs="仿宋" w:hAnsi="Times New Roman" w:hint="eastAsia"/>
          <w:sz w:val="32"/>
          <w:szCs w:val="32"/>
        </w:rPr>
      </w:pPr>
      <w:r>
        <w:rPr>
          <w:rFonts w:ascii="Times New Roman" w:eastAsia="仿宋" w:cs="仿宋" w:hAnsi="Times New Roman" w:hint="eastAsia"/>
          <w:sz w:val="32"/>
          <w:szCs w:val="32"/>
          <w:lang w:val="en-US" w:eastAsia="zh-CN"/>
        </w:rPr>
        <w:t>10、</w:t>
      </w:r>
      <w:r>
        <w:rPr>
          <w:rFonts w:ascii="Times New Roman" w:eastAsia="仿宋" w:cs="仿宋" w:hAnsi="Times New Roman" w:hint="eastAsia"/>
          <w:sz w:val="32"/>
          <w:szCs w:val="32"/>
        </w:rPr>
        <w:t>完成市纪委、市监委、县委交办的其他任务。</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 w:eastAsia="仿宋" w:cs="仿宋" w:hAnsi="仿宋" w:hint="eastAsia"/>
          <w:sz w:val="32"/>
          <w:szCs w:val="32"/>
          <w:lang w:eastAsia="zh-CN"/>
        </w:rPr>
      </w:pPr>
      <w:r>
        <w:rPr>
          <w:rFonts w:ascii="仿宋" w:eastAsia="仿宋" w:cs="仿宋" w:hAnsi="仿宋" w:hint="eastAsia"/>
          <w:sz w:val="32"/>
          <w:szCs w:val="32"/>
        </w:rPr>
        <w:t>（二）人员及资产情况。</w:t>
      </w:r>
    </w:p>
    <w:p>
      <w:pPr>
        <w:keepNext w:val="0"/>
        <w:keepLines w:val="0"/>
        <w:pageBreakBefore w:val="0"/>
        <w:widowControl w:val="0"/>
        <w:kinsoku/>
        <w:wordWrap/>
        <w:overflowPunct/>
        <w:topLinePunct w:val="0"/>
        <w:autoSpaceDE/>
        <w:autoSpaceDN/>
        <w:bidi w:val="0"/>
        <w:adjustRightInd w:val="0"/>
        <w:snapToGrid/>
        <w:spacing w:line="240" w:lineRule="auto"/>
        <w:ind w:left="0" w:right="0" w:firstLineChars="200" w:firstLine="640"/>
        <w:jc w:val="both"/>
        <w:textAlignment w:val="auto"/>
        <w:outlineLvl w:val="9"/>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根据三定方案，行政编制83个，事业编制13个。</w:t>
      </w:r>
    </w:p>
    <w:p>
      <w:pPr>
        <w:keepNext w:val="0"/>
        <w:keepLines w:val="0"/>
        <w:pageBreakBefore w:val="0"/>
        <w:widowControl w:val="0"/>
        <w:kinsoku/>
        <w:wordWrap/>
        <w:overflowPunct/>
        <w:topLinePunct w:val="0"/>
        <w:autoSpaceDE/>
        <w:autoSpaceDN/>
        <w:bidi w:val="0"/>
        <w:adjustRightInd w:val="0"/>
        <w:snapToGrid/>
        <w:spacing w:line="240" w:lineRule="auto"/>
        <w:ind w:left="0" w:right="0" w:firstLineChars="200" w:firstLine="640"/>
        <w:jc w:val="both"/>
        <w:textAlignment w:val="auto"/>
        <w:outlineLvl w:val="9"/>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年末固定资产原值523.98万元，累计折旧211.35万元，净值312.63万元。</w:t>
      </w:r>
    </w:p>
    <w:p>
      <w:pPr>
        <w:adjustRightInd w:val="0"/>
        <w:rPr>
          <w:rFonts w:ascii="仿宋" w:eastAsia="仿宋" w:cs="仿宋" w:hAnsi="仿宋" w:hint="eastAsia"/>
          <w:sz w:val="32"/>
          <w:szCs w:val="32"/>
        </w:rPr>
      </w:pPr>
      <w:r>
        <w:rPr>
          <w:rFonts w:ascii="仿宋" w:eastAsia="仿宋" w:cs="仿宋" w:hAnsi="仿宋" w:hint="eastAsia"/>
          <w:sz w:val="32"/>
          <w:szCs w:val="32"/>
        </w:rPr>
        <w:t xml:space="preserve">   （三）部门履职总体目标。</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仿宋" w:eastAsia="仿宋" w:cs="仿宋" w:hAnsi="仿宋" w:hint="eastAsia"/>
          <w:sz w:val="32"/>
          <w:szCs w:val="32"/>
        </w:rPr>
      </w:pPr>
      <w:r>
        <w:rPr>
          <w:rFonts w:ascii="仿宋" w:eastAsia="仿宋" w:cs="仿宋" w:hAnsi="仿宋" w:hint="eastAsia"/>
          <w:b w:val="0"/>
          <w:bCs w:val="0"/>
          <w:sz w:val="32"/>
          <w:szCs w:val="32"/>
          <w:lang w:val="en-US" w:eastAsia="zh-CN"/>
        </w:rPr>
        <w:t>中共隆尧县纪律检查委</w:t>
      </w:r>
      <w:r>
        <w:rPr>
          <w:rFonts w:ascii="仿宋" w:eastAsia="仿宋" w:cs="仿宋" w:hAnsi="仿宋" w:hint="eastAsia"/>
          <w:b w:val="0"/>
          <w:bCs w:val="0"/>
          <w:sz w:val="32"/>
          <w:szCs w:val="32"/>
        </w:rPr>
        <w:t>员</w:t>
      </w:r>
      <w:r>
        <w:rPr>
          <w:rFonts w:ascii="仿宋_GB2312" w:eastAsia="仿宋_GB2312" w:hAnsi="黑体" w:hint="eastAsia"/>
          <w:sz w:val="32"/>
          <w:szCs w:val="32"/>
        </w:rPr>
        <w:t>会（简称县纪委）由中国共产党隆尧县代表大会选举产生，隆尧县监察委员会（简称县监委）由隆尧县人民代表大会选举产生，负责本行政区域内的纪检监察工作。县纪委与县监委合署办公，实行一套工作机构、两个机关名称，履行党的纪律检查和国家监察两项职责。县纪委在同级党的委员会和上级纪律检查委员会双重领导下进行工作，县监委对本级人民代表大会及其常务委员会和邢台市监察委员会负责，并接受其监督。在邢台市纪委监委和县委领导下，县纪委监委加强对下级纪委的领导。县委巡察工作领导小组办公室为县委工作机关，设在县纪委。</w:t>
      </w:r>
    </w:p>
    <w:p>
      <w:pPr>
        <w:adjustRightInd w:val="0"/>
        <w:rPr>
          <w:rFonts w:ascii="仿宋" w:eastAsia="仿宋" w:cs="仿宋" w:hAnsi="仿宋" w:hint="eastAsia"/>
          <w:sz w:val="32"/>
          <w:szCs w:val="32"/>
        </w:rPr>
      </w:pPr>
      <w:r>
        <w:rPr>
          <w:rFonts w:ascii="仿宋" w:eastAsia="仿宋" w:cs="仿宋" w:hAnsi="仿宋" w:hint="eastAsia"/>
          <w:sz w:val="32"/>
          <w:szCs w:val="32"/>
        </w:rPr>
        <w:t xml:space="preserve">   （四）年度整体绩效目标和工作任务。</w:t>
      </w:r>
    </w:p>
    <w:p>
      <w:pPr>
        <w:keepNext w:val="0"/>
        <w:keepLines w:val="0"/>
        <w:pageBreakBefore w:val="0"/>
        <w:kinsoku/>
        <w:wordWrap/>
        <w:overflowPunct/>
        <w:topLinePunct w:val="0"/>
        <w:autoSpaceDE/>
        <w:autoSpaceDN/>
        <w:bidi w:val="0"/>
        <w:adjustRightInd/>
        <w:snapToGrid/>
        <w:spacing w:line="240" w:lineRule="auto"/>
        <w:ind w:right="0" w:firstLineChars="200" w:firstLine="640"/>
        <w:jc w:val="left"/>
        <w:textAlignment w:val="auto"/>
        <w:outlineLvl w:val="9"/>
        <w:rPr>
          <w:rFonts w:ascii="仿宋" w:eastAsia="仿宋" w:cs="仿宋" w:hAnsi="仿宋" w:hint="eastAsia"/>
          <w:b w:val="0"/>
          <w:sz w:val="32"/>
          <w:szCs w:val="32"/>
          <w:u w:val="none"/>
        </w:rPr>
      </w:pPr>
      <w:r>
        <w:rPr>
          <w:rFonts w:ascii="仿宋" w:eastAsia="仿宋" w:cs="仿宋" w:hAnsi="仿宋" w:hint="eastAsia"/>
          <w:b w:val="0"/>
          <w:sz w:val="32"/>
          <w:szCs w:val="32"/>
          <w:u w:val="none"/>
        </w:rPr>
        <w:t>按照中央、省、市纪委全会统一安排部署，县纪委监委领导班子带领全县纪检监察干部忠实履行党章和宪法赋予的职责，树牢“四个意识”,坚定“四个自信”,做到“两个维护”，协助县委推进全面从严治党，坚持纪严于法、纪在法前，纪法贯通、法法衔接，巩固发展反腐败斗争压倒性胜利，为建设经济强县、幸福隆尧提供了纪律保障。</w:t>
      </w:r>
    </w:p>
    <w:p>
      <w:pPr>
        <w:keepNext w:val="0"/>
        <w:keepLines w:val="0"/>
        <w:pageBreakBefore w:val="0"/>
        <w:kinsoku/>
        <w:wordWrap/>
        <w:overflowPunct/>
        <w:topLinePunct w:val="0"/>
        <w:autoSpaceDE/>
        <w:autoSpaceDN/>
        <w:bidi w:val="0"/>
        <w:adjustRightInd/>
        <w:snapToGrid/>
        <w:spacing w:line="240" w:lineRule="auto"/>
        <w:ind w:right="0" w:firstLineChars="200" w:firstLine="640"/>
        <w:textAlignment w:val="auto"/>
        <w:rPr>
          <w:rFonts w:ascii="仿宋" w:eastAsia="仿宋" w:cs="仿宋" w:hAnsi="仿宋" w:hint="eastAsia"/>
          <w:b w:val="0"/>
          <w:bCs w:val="0"/>
          <w:sz w:val="32"/>
          <w:szCs w:val="32"/>
          <w:lang w:val="en-US" w:eastAsia="zh-CN"/>
        </w:rPr>
      </w:pPr>
      <w:r>
        <w:rPr>
          <w:rFonts w:ascii="仿宋" w:eastAsia="仿宋" w:cs="仿宋" w:hAnsi="仿宋" w:hint="eastAsia"/>
          <w:b w:val="0"/>
          <w:bCs w:val="0"/>
          <w:sz w:val="32"/>
          <w:szCs w:val="32"/>
          <w:lang w:val="en-US" w:eastAsia="zh-CN"/>
        </w:rPr>
        <w:t>主要任务和目标规划:</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_GB2312" w:eastAsia="仿宋_GB2312" w:hAnsi="黑体" w:hint="eastAsia"/>
          <w:sz w:val="32"/>
          <w:szCs w:val="32"/>
        </w:rPr>
      </w:pPr>
      <w:r>
        <w:rPr>
          <w:rFonts w:ascii="仿宋_GB2312" w:eastAsia="仿宋_GB2312" w:hAnsi="黑体" w:hint="eastAsia"/>
          <w:sz w:val="32"/>
          <w:szCs w:val="32"/>
          <w:lang w:val="en-US" w:eastAsia="zh-CN"/>
        </w:rPr>
        <w:t>1、</w:t>
      </w:r>
      <w:r>
        <w:rPr>
          <w:rFonts w:ascii="仿宋_GB2312" w:eastAsia="仿宋_GB2312" w:hAnsi="黑体" w:hint="eastAsia"/>
          <w:sz w:val="32"/>
          <w:szCs w:val="32"/>
        </w:rPr>
        <w:t>负责全县党的纪律检查工作。</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_GB2312" w:eastAsia="仿宋_GB2312" w:hAnsi="黑体" w:hint="eastAsia"/>
          <w:sz w:val="32"/>
          <w:szCs w:val="32"/>
        </w:rPr>
      </w:pPr>
      <w:r>
        <w:rPr>
          <w:rFonts w:ascii="仿宋_GB2312" w:eastAsia="仿宋_GB2312" w:hAnsi="黑体" w:hint="eastAsia"/>
          <w:sz w:val="32"/>
          <w:szCs w:val="32"/>
          <w:lang w:val="en-US" w:eastAsia="zh-CN"/>
        </w:rPr>
        <w:t>2、</w:t>
      </w:r>
      <w:r>
        <w:rPr>
          <w:rFonts w:ascii="仿宋_GB2312" w:eastAsia="仿宋_GB2312" w:hAnsi="黑体" w:hint="eastAsia"/>
          <w:sz w:val="32"/>
          <w:szCs w:val="32"/>
        </w:rPr>
        <w:t>依照党的章程和其他党内法规履行监督、执纪、问责职责。</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_GB2312" w:eastAsia="仿宋_GB2312" w:hAnsi="黑体" w:hint="eastAsia"/>
          <w:sz w:val="32"/>
          <w:szCs w:val="32"/>
        </w:rPr>
      </w:pPr>
      <w:r>
        <w:rPr>
          <w:rFonts w:ascii="仿宋_GB2312" w:eastAsia="仿宋_GB2312" w:cs="仿宋_GB2312" w:hAnsi="仿宋_GB2312" w:hint="eastAsia"/>
          <w:sz w:val="32"/>
          <w:szCs w:val="32"/>
          <w:lang w:val="en-US" w:eastAsia="zh-CN"/>
        </w:rPr>
        <w:t>3、</w:t>
      </w:r>
      <w:r>
        <w:rPr>
          <w:rFonts w:ascii="仿宋_GB2312" w:eastAsia="仿宋_GB2312" w:hAnsi="黑体" w:hint="eastAsia"/>
          <w:sz w:val="32"/>
          <w:szCs w:val="32"/>
        </w:rPr>
        <w:t>支持配合巡视、巡察工作。</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4、负责全县监察工作。</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5、依照法律规定履行监督、调查、处置职责。</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_GB2312" w:eastAsia="仿宋_GB2312" w:hAnsi="黑体" w:hint="eastAsia"/>
          <w:sz w:val="32"/>
          <w:szCs w:val="32"/>
        </w:rPr>
      </w:pPr>
      <w:r>
        <w:rPr>
          <w:rFonts w:ascii="仿宋_GB2312" w:eastAsia="仿宋_GB2312" w:cs="仿宋_GB2312" w:hAnsi="仿宋_GB2312" w:hint="eastAsia"/>
          <w:sz w:val="32"/>
          <w:szCs w:val="32"/>
          <w:lang w:val="en-US" w:eastAsia="zh-CN"/>
        </w:rPr>
        <w:t>6、</w:t>
      </w:r>
      <w:r>
        <w:rPr>
          <w:rFonts w:ascii="仿宋_GB2312" w:eastAsia="仿宋_GB2312" w:hAnsi="黑体" w:hint="eastAsia"/>
          <w:sz w:val="32"/>
          <w:szCs w:val="32"/>
        </w:rPr>
        <w:t>负责组织协调全面从严治党、党风廉政建设和反腐败宣传教育工作。</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 w:eastAsia="仿宋" w:cs="仿宋" w:hAnsi="仿宋" w:hint="eastAsia"/>
          <w:sz w:val="32"/>
          <w:szCs w:val="32"/>
        </w:rPr>
      </w:pPr>
      <w:r>
        <w:rPr>
          <w:rFonts w:ascii="仿宋_GB2312" w:eastAsia="仿宋_GB2312" w:cs="仿宋_GB2312" w:hAnsi="仿宋_GB2312" w:hint="eastAsia"/>
          <w:sz w:val="32"/>
          <w:szCs w:val="32"/>
          <w:lang w:val="en-US" w:eastAsia="zh-CN"/>
        </w:rPr>
        <w:t>7、</w:t>
      </w:r>
      <w:r>
        <w:rPr>
          <w:rFonts w:ascii="仿宋_GB2312" w:eastAsia="仿宋_GB2312" w:hAnsi="黑体" w:hint="eastAsia"/>
          <w:sz w:val="32"/>
          <w:szCs w:val="32"/>
        </w:rPr>
        <w:t>负责组织协调全县反腐败追逃追赃和防逃工作，督促有关单位做好相关工作。</w:t>
      </w:r>
    </w:p>
    <w:p>
      <w:pPr>
        <w:adjustRightInd w:val="0"/>
        <w:rPr>
          <w:rFonts w:ascii="楷体" w:eastAsia="楷体" w:cs="仿宋" w:hAnsi="楷体" w:hint="eastAsia"/>
          <w:sz w:val="32"/>
          <w:szCs w:val="32"/>
        </w:rPr>
      </w:pPr>
      <w:r>
        <w:rPr>
          <w:rFonts w:ascii="仿宋" w:eastAsia="仿宋" w:cs="仿宋" w:hAnsi="仿宋" w:hint="eastAsia"/>
          <w:sz w:val="32"/>
          <w:szCs w:val="32"/>
        </w:rPr>
        <w:t xml:space="preserve">   （五）预算资金安排及资金支出</w:t>
      </w:r>
      <w:r>
        <w:rPr>
          <w:rFonts w:ascii="楷体" w:eastAsia="楷体" w:cs="仿宋" w:hAnsi="楷体" w:hint="eastAsia"/>
          <w:sz w:val="32"/>
          <w:szCs w:val="32"/>
        </w:rPr>
        <w:t>情况。</w:t>
      </w:r>
    </w:p>
    <w:p>
      <w:pPr>
        <w:keepNext w:val="0"/>
        <w:keepLines w:val="0"/>
        <w:pageBreakBefore w:val="0"/>
        <w:widowControl/>
        <w:kinsoku/>
        <w:wordWrap/>
        <w:overflowPunct/>
        <w:topLinePunct w:val="0"/>
        <w:autoSpaceDE/>
        <w:autoSpaceDN/>
        <w:bidi w:val="0"/>
        <w:adjustRightInd/>
        <w:snapToGrid/>
        <w:spacing w:line="240" w:lineRule="auto"/>
        <w:ind w:right="0" w:firstLineChars="200" w:firstLine="640"/>
        <w:textAlignment w:val="auto"/>
        <w:rPr>
          <w:rFonts w:ascii="楷体" w:eastAsia="楷体" w:cs="仿宋" w:hAnsi="楷体" w:hint="eastAsia"/>
          <w:sz w:val="32"/>
          <w:szCs w:val="32"/>
        </w:rPr>
      </w:pPr>
      <w:r>
        <w:rPr>
          <w:rFonts w:ascii="仿宋_GB2312" w:eastAsia="仿宋_GB2312" w:cs="仿宋_GB2312" w:hAnsi="仿宋_GB2312" w:hint="eastAsia"/>
          <w:spacing w:val="0"/>
          <w:kern w:val="2"/>
          <w:sz w:val="32"/>
          <w:szCs w:val="32"/>
          <w:lang w:val="en-US" w:eastAsia="zh-CN" w:bidi="ar-SA"/>
        </w:rPr>
        <w:t>2021年部门收入年初预算数</w:t>
      </w:r>
      <w:r>
        <w:rPr>
          <w:rFonts w:ascii="仿宋_GB2312" w:cs="仿宋_GB2312" w:hAnsi="仿宋_GB2312" w:hint="eastAsia"/>
          <w:color w:val="000000"/>
          <w:spacing w:val="0"/>
          <w:kern w:val="2"/>
          <w:sz w:val="32"/>
          <w:szCs w:val="32"/>
          <w14:textFill>
            <w14:solidFill>
              <w14:srgbClr w14:val="000000"/>
            </w14:solidFill>
          </w14:textFill>
          <w:lang w:val="en-US" w:eastAsia="zh-CN" w:bidi="ar-SA"/>
        </w:rPr>
        <w:t>1452.73</w:t>
      </w:r>
      <w:r>
        <w:rPr>
          <w:rFonts w:ascii="仿宋_GB2312" w:eastAsia="仿宋_GB2312" w:cs="仿宋_GB2312" w:hAnsi="仿宋_GB2312" w:hint="eastAsia"/>
          <w:spacing w:val="0"/>
          <w:kern w:val="2"/>
          <w:sz w:val="32"/>
          <w:szCs w:val="32"/>
          <w:lang w:val="en-US" w:eastAsia="zh-CN" w:bidi="ar-SA"/>
        </w:rPr>
        <w:t>万元，支出年初预算数</w:t>
      </w:r>
      <w:r>
        <w:rPr>
          <w:rFonts w:ascii="仿宋_GB2312" w:cs="仿宋_GB2312" w:hAnsi="仿宋_GB2312" w:hint="eastAsia"/>
          <w:spacing w:val="0"/>
          <w:kern w:val="2"/>
          <w:sz w:val="32"/>
          <w:szCs w:val="32"/>
          <w:lang w:val="en-US" w:eastAsia="zh-CN" w:bidi="ar-SA"/>
        </w:rPr>
        <w:t>1452.73</w:t>
      </w:r>
      <w:r>
        <w:rPr>
          <w:rFonts w:ascii="仿宋_GB2312" w:eastAsia="仿宋_GB2312" w:cs="仿宋_GB2312" w:hAnsi="仿宋_GB2312" w:hint="eastAsia"/>
          <w:spacing w:val="0"/>
          <w:kern w:val="2"/>
          <w:sz w:val="32"/>
          <w:szCs w:val="32"/>
          <w:lang w:val="en-US" w:eastAsia="zh-CN" w:bidi="ar-SA"/>
        </w:rPr>
        <w:t>万元。调整预算收入为</w:t>
      </w:r>
      <w:r>
        <w:rPr>
          <w:rFonts w:ascii="仿宋_GB2312" w:cs="仿宋_GB2312" w:hAnsi="仿宋_GB2312" w:hint="eastAsia"/>
          <w:spacing w:val="0"/>
          <w:kern w:val="2"/>
          <w:sz w:val="32"/>
          <w:szCs w:val="32"/>
          <w:lang w:val="en-US" w:eastAsia="zh-CN" w:bidi="ar-SA"/>
        </w:rPr>
        <w:t>1516.59</w:t>
      </w:r>
      <w:r>
        <w:rPr>
          <w:rFonts w:ascii="仿宋_GB2312" w:eastAsia="仿宋_GB2312" w:cs="仿宋_GB2312" w:hAnsi="仿宋_GB2312" w:hint="eastAsia"/>
          <w:spacing w:val="0"/>
          <w:kern w:val="2"/>
          <w:sz w:val="32"/>
          <w:szCs w:val="32"/>
          <w:lang w:val="en-US" w:eastAsia="zh-CN" w:bidi="ar-SA"/>
        </w:rPr>
        <w:t>万元，</w:t>
      </w:r>
      <w:r>
        <w:rPr>
          <w:rFonts w:ascii="仿宋" w:eastAsia="仿宋" w:cs="宋体" w:hAnsi="仿宋" w:hint="eastAsia"/>
          <w:color w:val="3D3D3D"/>
          <w:kern w:val="0"/>
          <w:sz w:val="32"/>
          <w:szCs w:val="32"/>
          <w:lang w:eastAsia="zh-CN"/>
        </w:rPr>
        <w:t>支出</w:t>
      </w:r>
      <w:r>
        <w:rPr>
          <w:rFonts w:ascii="仿宋" w:eastAsia="仿宋" w:cs="宋体" w:hAnsi="仿宋" w:hint="eastAsia"/>
          <w:color w:val="3D3D3D"/>
          <w:kern w:val="0"/>
          <w:sz w:val="32"/>
          <w:szCs w:val="32"/>
          <w:lang w:val="en-US" w:eastAsia="zh-CN"/>
        </w:rPr>
        <w:t>1503.16万元</w:t>
      </w:r>
      <w:r>
        <w:rPr>
          <w:rFonts w:ascii="仿宋" w:eastAsia="仿宋" w:cs="宋体" w:hAnsi="仿宋" w:hint="eastAsia"/>
          <w:color w:val="3D3D3D"/>
          <w:kern w:val="0"/>
          <w:sz w:val="32"/>
          <w:szCs w:val="32"/>
        </w:rPr>
        <w:t>。</w:t>
      </w:r>
    </w:p>
    <w:p>
      <w:pPr>
        <w:pStyle w:val="25"/>
        <w:ind w:left="709"/>
        <w:rPr>
          <w:rFonts w:ascii="黑体" w:eastAsia="黑体" w:cs="仿宋" w:hAnsi="黑体"/>
          <w:sz w:val="32"/>
          <w:szCs w:val="32"/>
        </w:rPr>
      </w:pPr>
      <w:r>
        <w:rPr>
          <w:rFonts w:ascii="黑体" w:eastAsia="黑体" w:cs="仿宋" w:hAnsi="黑体" w:hint="eastAsia"/>
          <w:sz w:val="32"/>
          <w:szCs w:val="32"/>
          <w:lang w:eastAsia="zh-CN"/>
        </w:rPr>
        <w:t>二、</w:t>
      </w:r>
      <w:r>
        <w:rPr>
          <w:rFonts w:ascii="黑体" w:eastAsia="黑体" w:cs="仿宋" w:hAnsi="黑体" w:hint="eastAsia"/>
          <w:sz w:val="32"/>
          <w:szCs w:val="32"/>
        </w:rPr>
        <w:t>预算绩效管理开展及整体绩效实现情况。</w:t>
      </w:r>
    </w:p>
    <w:p>
      <w:pPr>
        <w:adjustRightInd w:val="0"/>
        <w:ind w:firstLineChars="150" w:firstLine="480"/>
        <w:rPr>
          <w:rFonts w:ascii="仿宋" w:eastAsia="仿宋" w:cs="仿宋" w:hAnsi="仿宋" w:hint="eastAsia"/>
          <w:sz w:val="32"/>
          <w:szCs w:val="32"/>
        </w:rPr>
      </w:pPr>
      <w:r>
        <w:rPr>
          <w:rFonts w:ascii="仿宋" w:eastAsia="仿宋" w:cs="仿宋" w:hAnsi="仿宋" w:hint="eastAsia"/>
          <w:sz w:val="32"/>
          <w:szCs w:val="32"/>
        </w:rPr>
        <w:t>（一）部门开展预算绩效管理情况。</w:t>
      </w:r>
    </w:p>
    <w:p>
      <w:pPr>
        <w:adjustRightInd w:val="0"/>
        <w:ind w:firstLineChars="150" w:firstLine="480"/>
        <w:rPr>
          <w:rFonts w:ascii="仿宋" w:eastAsia="仿宋" w:cs="仿宋" w:hAnsi="仿宋" w:hint="eastAsia"/>
          <w:sz w:val="32"/>
          <w:szCs w:val="32"/>
        </w:rPr>
      </w:pPr>
      <w:r>
        <w:rPr>
          <w:rFonts w:ascii="仿宋" w:eastAsia="仿宋" w:cs="仿宋" w:hAnsi="仿宋" w:hint="eastAsia"/>
          <w:color w:val="000000"/>
          <w:sz w:val="32"/>
          <w:szCs w:val="32"/>
        </w:rPr>
        <w:t>为加强财政支出管理，提高财政资金使用绩效</w:t>
      </w:r>
      <w:r>
        <w:rPr>
          <w:rFonts w:ascii="仿宋" w:eastAsia="仿宋" w:cs="仿宋" w:hAnsi="仿宋" w:hint="eastAsia"/>
          <w:color w:val="000000"/>
          <w:sz w:val="32"/>
          <w:szCs w:val="32"/>
          <w:lang w:eastAsia="zh-CN"/>
        </w:rPr>
        <w:t>。本单位严格</w:t>
      </w:r>
      <w:r>
        <w:rPr>
          <w:rFonts w:ascii="仿宋" w:eastAsia="仿宋" w:cs="仿宋" w:hAnsi="仿宋" w:hint="eastAsia"/>
          <w:color w:val="000000"/>
          <w:sz w:val="32"/>
          <w:szCs w:val="32"/>
        </w:rPr>
        <w:t>按照</w:t>
      </w:r>
      <w:r>
        <w:rPr>
          <w:rFonts w:ascii="仿宋" w:eastAsia="仿宋" w:cs="仿宋" w:hAnsi="仿宋" w:hint="eastAsia"/>
          <w:color w:val="000000"/>
          <w:sz w:val="32"/>
          <w:szCs w:val="32"/>
          <w:lang w:val="zh-CN"/>
        </w:rPr>
        <w:t>《隆尧县部门预算绩效管理办法》、</w:t>
      </w:r>
      <w:r>
        <w:rPr>
          <w:rFonts w:ascii="仿宋" w:eastAsia="仿宋" w:cs="仿宋" w:hAnsi="仿宋" w:hint="eastAsia"/>
          <w:color w:val="000000"/>
          <w:sz w:val="32"/>
          <w:szCs w:val="32"/>
        </w:rPr>
        <w:t>《隆尧县全面实施预算绩效管理推进工作方案》</w:t>
      </w:r>
      <w:r>
        <w:rPr>
          <w:rFonts w:ascii="仿宋" w:eastAsia="仿宋" w:cs="仿宋" w:hAnsi="仿宋" w:hint="eastAsia"/>
          <w:color w:val="000000"/>
          <w:sz w:val="32"/>
          <w:szCs w:val="32"/>
          <w:lang w:val="zh-CN"/>
        </w:rPr>
        <w:t>、《隆尧县县级部门绩效自评办法》</w:t>
      </w:r>
      <w:r>
        <w:rPr>
          <w:rFonts w:ascii="仿宋" w:eastAsia="仿宋" w:cs="仿宋" w:hAnsi="仿宋" w:hint="eastAsia"/>
          <w:color w:val="000000"/>
          <w:sz w:val="32"/>
          <w:szCs w:val="32"/>
        </w:rPr>
        <w:t>《财政部关于印发〈金融企业绩效评价办法〉的通知》相关要求</w:t>
      </w:r>
      <w:r>
        <w:rPr>
          <w:rFonts w:ascii="仿宋" w:eastAsia="仿宋" w:cs="仿宋" w:hAnsi="仿宋" w:hint="eastAsia"/>
          <w:color w:val="000000"/>
          <w:sz w:val="32"/>
          <w:szCs w:val="32"/>
          <w:lang w:eastAsia="zh-CN"/>
        </w:rPr>
        <w:t>进行绩效管理。</w:t>
      </w:r>
    </w:p>
    <w:p>
      <w:pPr>
        <w:numPr>
          <w:ilvl w:val="0"/>
          <w:numId w:val="1"/>
        </w:numPr>
        <w:adjustRightInd w:val="0"/>
        <w:ind w:left="0" w:firstLineChars="150" w:firstLine="480"/>
        <w:rPr>
          <w:rFonts w:ascii="仿宋" w:eastAsia="仿宋" w:cs="仿宋" w:hAnsi="仿宋" w:hint="eastAsia"/>
          <w:sz w:val="32"/>
          <w:szCs w:val="32"/>
        </w:rPr>
      </w:pPr>
      <w:r>
        <w:rPr>
          <w:rFonts w:ascii="仿宋" w:eastAsia="仿宋" w:cs="仿宋" w:hAnsi="仿宋" w:hint="eastAsia"/>
          <w:sz w:val="32"/>
          <w:szCs w:val="32"/>
        </w:rPr>
        <w:t>工作履行活动完成情况。</w:t>
      </w:r>
    </w:p>
    <w:p>
      <w:pPr>
        <w:keepNext w:val="0"/>
        <w:keepLines w:val="0"/>
        <w:pageBreakBefore w:val="0"/>
        <w:widowControl w:val="0"/>
        <w:kinsoku/>
        <w:wordWrap/>
        <w:overflowPunct/>
        <w:topLinePunct w:val="0"/>
        <w:autoSpaceDE/>
        <w:autoSpaceDN/>
        <w:bidi w:val="0"/>
        <w:adjustRightInd w:val="0"/>
        <w:snapToGrid/>
        <w:spacing w:line="240" w:lineRule="auto"/>
        <w:ind w:left="0" w:right="0" w:firstLineChars="200" w:firstLine="640"/>
        <w:jc w:val="both"/>
        <w:textAlignment w:val="auto"/>
        <w:outlineLvl w:val="9"/>
        <w:rPr>
          <w:rFonts w:ascii="仿宋" w:eastAsia="仿宋" w:cs="仿宋" w:hAnsi="仿宋" w:hint="eastAsia"/>
          <w:sz w:val="32"/>
          <w:szCs w:val="32"/>
        </w:rPr>
      </w:pPr>
      <w:r>
        <w:rPr>
          <w:rFonts w:ascii="仿宋" w:eastAsia="仿宋" w:cs="仿宋" w:hAnsi="仿宋" w:hint="eastAsia"/>
          <w:color w:val="000000"/>
          <w:sz w:val="32"/>
          <w:szCs w:val="32"/>
          <w:lang w:eastAsia="zh-CN"/>
        </w:rPr>
        <w:t>各项目基本完成，并达到预期效果。</w:t>
      </w:r>
    </w:p>
    <w:p>
      <w:pPr>
        <w:numPr>
          <w:ilvl w:val="0"/>
          <w:numId w:val="1"/>
        </w:numPr>
        <w:adjustRightInd w:val="0"/>
        <w:ind w:left="0" w:firstLineChars="150" w:firstLine="480"/>
        <w:rPr>
          <w:rFonts w:ascii="仿宋" w:eastAsia="仿宋" w:cs="仿宋" w:hAnsi="仿宋" w:hint="eastAsia"/>
          <w:sz w:val="32"/>
          <w:szCs w:val="32"/>
        </w:rPr>
      </w:pPr>
      <w:r>
        <w:rPr>
          <w:rFonts w:ascii="仿宋" w:eastAsia="仿宋" w:cs="仿宋" w:hAnsi="仿宋" w:hint="eastAsia"/>
          <w:sz w:val="32"/>
          <w:szCs w:val="32"/>
        </w:rPr>
        <w:t>实施履职活动产生的效果或服务对象满意程度。</w:t>
      </w:r>
    </w:p>
    <w:p>
      <w:pPr>
        <w:keepNext w:val="0"/>
        <w:keepLines w:val="0"/>
        <w:pageBreakBefore w:val="0"/>
        <w:widowControl w:val="0"/>
        <w:kinsoku/>
        <w:wordWrap/>
        <w:overflowPunct/>
        <w:topLinePunct w:val="0"/>
        <w:autoSpaceDE/>
        <w:autoSpaceDN/>
        <w:bidi w:val="0"/>
        <w:adjustRightInd w:val="0"/>
        <w:snapToGrid/>
        <w:spacing w:line="240" w:lineRule="auto"/>
        <w:ind w:left="0" w:right="0" w:firstLineChars="200" w:firstLine="640"/>
        <w:jc w:val="both"/>
        <w:textAlignment w:val="auto"/>
        <w:outlineLvl w:val="9"/>
        <w:rPr>
          <w:rFonts w:ascii="仿宋" w:eastAsia="仿宋" w:cs="仿宋" w:hAnsi="仿宋" w:hint="eastAsia"/>
          <w:sz w:val="32"/>
          <w:szCs w:val="32"/>
        </w:rPr>
      </w:pPr>
      <w:r>
        <w:rPr>
          <w:rFonts w:ascii="仿宋" w:eastAsia="仿宋" w:cs="仿宋" w:hAnsi="仿宋" w:hint="eastAsia"/>
          <w:sz w:val="32"/>
          <w:szCs w:val="32"/>
          <w:lang w:val="en-US" w:eastAsia="zh-CN"/>
        </w:rPr>
        <w:t>服务对象满意程度高。</w:t>
      </w:r>
    </w:p>
    <w:p>
      <w:pPr>
        <w:pStyle w:val="25"/>
        <w:ind w:left="709"/>
        <w:rPr>
          <w:rFonts w:ascii="黑体" w:eastAsia="黑体" w:cs="仿宋" w:hAnsi="黑体"/>
          <w:sz w:val="32"/>
          <w:szCs w:val="32"/>
        </w:rPr>
      </w:pPr>
      <w:r>
        <w:rPr>
          <w:rFonts w:ascii="黑体" w:eastAsia="黑体" w:cs="仿宋" w:hAnsi="黑体" w:hint="eastAsia"/>
          <w:sz w:val="32"/>
          <w:szCs w:val="32"/>
          <w:lang w:eastAsia="zh-CN"/>
        </w:rPr>
        <w:t>三、</w:t>
      </w:r>
      <w:r>
        <w:rPr>
          <w:rFonts w:ascii="黑体" w:eastAsia="黑体" w:cs="仿宋" w:hAnsi="黑体" w:hint="eastAsia"/>
          <w:sz w:val="32"/>
          <w:szCs w:val="32"/>
        </w:rPr>
        <w:t>绩效评价的组织实施情况</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 w:eastAsia="仿宋" w:cs="仿宋" w:hAnsi="仿宋" w:hint="eastAsia"/>
          <w:sz w:val="32"/>
          <w:szCs w:val="32"/>
        </w:rPr>
      </w:pPr>
      <w:r>
        <w:rPr>
          <w:rFonts w:ascii="仿宋_GB2312" w:eastAsia="仿宋_GB2312" w:cs="仿宋_GB2312" w:hAnsi="仿宋_GB2312" w:hint="eastAsia"/>
          <w:kern w:val="2"/>
          <w:sz w:val="32"/>
          <w:szCs w:val="32"/>
          <w:lang w:val="en-US" w:eastAsia="zh-CN" w:bidi="ar-SA"/>
        </w:rPr>
        <w:t>在开展绩效评价工作中，我单位主要采取单位自评的办法，逐步推进项目评价工作的实施。按照要求成立了评价工作组，较好地完成了自评工作。通过自评工作的开展，逐步扭转了单位“重预算轻管理，重分配轻监督，重使用轻效益”的现象，为财政资金的配置运用更加合理提供了依据，有效地推动了源头防腐和廉政建设，促进了项目实施发挥应有的经济效益和社会效益。</w:t>
      </w:r>
    </w:p>
    <w:p>
      <w:pPr>
        <w:pStyle w:val="25"/>
        <w:numPr>
          <w:ilvl w:val="0"/>
          <w:numId w:val="2"/>
        </w:numPr>
        <w:ind w:firstLineChars="0"/>
        <w:rPr>
          <w:rFonts w:ascii="黑体" w:eastAsia="黑体" w:cs="仿宋" w:hAnsi="黑体" w:hint="eastAsia"/>
          <w:sz w:val="32"/>
          <w:szCs w:val="32"/>
        </w:rPr>
      </w:pPr>
      <w:r>
        <w:rPr>
          <w:rFonts w:ascii="黑体" w:eastAsia="黑体" w:cs="仿宋" w:hAnsi="黑体" w:hint="eastAsia"/>
          <w:sz w:val="32"/>
          <w:szCs w:val="32"/>
        </w:rPr>
        <w:t>各项绩效目标的实现程度及差异性原因分析。</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黑体" w:eastAsia="黑体" w:cs="仿宋" w:hAnsi="黑体" w:hint="eastAsia"/>
          <w:sz w:val="32"/>
          <w:szCs w:val="32"/>
        </w:rPr>
      </w:pPr>
      <w:r>
        <w:rPr>
          <w:rFonts w:ascii="仿宋_GB2312" w:eastAsia="仿宋_GB2312" w:cs="仿宋_GB2312" w:hAnsi="仿宋_GB2312" w:hint="eastAsia"/>
          <w:sz w:val="32"/>
          <w:szCs w:val="32"/>
          <w:lang w:val="en-US" w:eastAsia="zh-CN"/>
        </w:rPr>
        <w:t>通过自评，我单位各项绩效目标基本实现。</w:t>
      </w:r>
    </w:p>
    <w:p>
      <w:pPr>
        <w:pStyle w:val="25"/>
        <w:numPr>
          <w:ilvl w:val="0"/>
          <w:numId w:val="2"/>
        </w:numPr>
        <w:ind w:left="0" w:firstLineChars="200" w:firstLine="640"/>
        <w:rPr>
          <w:rFonts w:ascii="黑体" w:eastAsia="黑体" w:cs="仿宋" w:hAnsi="黑体" w:hint="eastAsia"/>
          <w:sz w:val="32"/>
          <w:szCs w:val="32"/>
        </w:rPr>
      </w:pPr>
      <w:r>
        <w:rPr>
          <w:rFonts w:ascii="黑体" w:eastAsia="黑体" w:cs="仿宋" w:hAnsi="黑体" w:hint="eastAsia"/>
          <w:sz w:val="32"/>
          <w:szCs w:val="32"/>
        </w:rPr>
        <w:t>存在问题</w:t>
      </w:r>
    </w:p>
    <w:p>
      <w:pPr>
        <w:pStyle w:val="25"/>
        <w:keepNext w:val="0"/>
        <w:keepLines w:val="0"/>
        <w:pageBreakBefore w:val="0"/>
        <w:widowControl w:val="0"/>
        <w:kinsoku/>
        <w:wordWrap/>
        <w:overflowPunct/>
        <w:topLinePunct w:val="0"/>
        <w:autoSpaceDE/>
        <w:autoSpaceDN/>
        <w:bidi w:val="0"/>
        <w:adjustRightInd/>
        <w:snapToGrid/>
        <w:spacing w:line="240" w:lineRule="auto"/>
        <w:ind w:left="0" w:right="0" w:firstLineChars="200" w:firstLine="640"/>
        <w:jc w:val="both"/>
        <w:textAlignment w:val="auto"/>
        <w:outlineLvl w:val="9"/>
        <w:rPr>
          <w:rFonts w:ascii="仿宋_GB2312" w:eastAsia="仿宋_GB2312" w:cs="仿宋_GB2312" w:hAnsi="仿宋_GB2312" w:hint="eastAsia"/>
          <w:kern w:val="2"/>
          <w:sz w:val="32"/>
          <w:szCs w:val="32"/>
          <w:lang w:val="en-US" w:eastAsia="zh-CN" w:bidi="ar-SA"/>
        </w:rPr>
      </w:pPr>
      <w:r>
        <w:rPr>
          <w:rFonts w:ascii="仿宋_GB2312" w:eastAsia="仿宋_GB2312" w:cs="仿宋_GB2312" w:hAnsi="仿宋_GB2312" w:hint="eastAsia"/>
          <w:kern w:val="2"/>
          <w:sz w:val="32"/>
          <w:szCs w:val="32"/>
          <w:lang w:val="en-US" w:eastAsia="zh-CN" w:bidi="ar-SA"/>
        </w:rPr>
        <w:t>年初预算安排不够合理，有些项目支出进度较为缓慢，跟不上序时进度。</w:t>
      </w:r>
    </w:p>
    <w:p>
      <w:pPr>
        <w:pStyle w:val="25"/>
        <w:numPr>
          <w:ilvl w:val="0"/>
          <w:numId w:val="3"/>
        </w:numPr>
        <w:ind w:firstLineChars="0"/>
        <w:rPr>
          <w:rFonts w:ascii="黑体" w:eastAsia="黑体" w:cs="仿宋" w:hAnsi="黑体" w:hint="eastAsia"/>
          <w:sz w:val="32"/>
          <w:szCs w:val="32"/>
        </w:rPr>
      </w:pPr>
      <w:r>
        <w:rPr>
          <w:rFonts w:ascii="黑体" w:eastAsia="黑体" w:cs="仿宋" w:hAnsi="黑体" w:hint="eastAsia"/>
          <w:sz w:val="32"/>
          <w:szCs w:val="32"/>
        </w:rPr>
        <w:t>采取的纠偏措施及改进绩效管理建议</w:t>
      </w:r>
    </w:p>
    <w:p>
      <w:pPr>
        <w:keepNext w:val="0"/>
        <w:keepLines w:val="0"/>
        <w:pageBreakBefore w:val="0"/>
        <w:kinsoku/>
        <w:wordWrap/>
        <w:overflowPunct/>
        <w:topLinePunct w:val="0"/>
        <w:autoSpaceDE/>
        <w:autoSpaceDN/>
        <w:bidi w:val="0"/>
        <w:adjustRightInd/>
        <w:snapToGrid/>
        <w:spacing w:line="240" w:lineRule="auto"/>
        <w:ind w:left="0" w:right="0" w:firstLineChars="200" w:firstLine="640"/>
        <w:textAlignment w:val="auto"/>
        <w:rPr>
          <w:rFonts w:ascii="仿宋" w:eastAsia="仿宋" w:cs="仿宋" w:hAnsi="仿宋" w:hint="eastAsia"/>
          <w:color w:val="000000"/>
          <w:kern w:val="2"/>
          <w:sz w:val="32"/>
          <w:szCs w:val="32"/>
          <w:lang w:val="en-US" w:eastAsia="zh-CN" w:bidi="ar-SA"/>
        </w:rPr>
      </w:pPr>
      <w:r>
        <w:rPr>
          <w:rFonts w:ascii="仿宋" w:eastAsia="仿宋" w:cs="仿宋" w:hAnsi="仿宋" w:hint="eastAsia"/>
          <w:color w:val="000000"/>
          <w:sz w:val="32"/>
          <w:szCs w:val="32"/>
          <w:lang w:eastAsia="zh-CN"/>
        </w:rPr>
        <w:t>今后将加强项目谋划，充分考虑实际情况进行认真分析研究，按照有关规定要求精准测算预算资金，保障工程顺利实施，提高财政资金使用效益。进一步结合实际建立健全有关项目管理制度，落实专人负责制，规范项目工程和资金管理，加强督促协调，保障项目及时实施完成，发挥预期效益。</w:t>
      </w:r>
    </w:p>
    <w:sectPr>
      <w:footerReference w:type="default" r:id="rId2"/>
      <w:footerReference w:type="even" r:id="rId3"/>
      <w:pgSz w:w="11906" w:h="16838"/>
      <w:pgMar w:top="1985" w:right="1418" w:bottom="1985" w:left="1418" w:header="851" w:footer="1701" w:gutter="0"/>
      <w:cols w:num="1" w:space="425"/>
      <w:docGrid w:type="lines" w:linePitch="313" w:charSpace="0"/>
    </w:sectPr>
  </w:body>
</w:document>
</file>

<file path=word/fontTable.xml><?xml version="1.0" encoding="utf-8"?>
<w:fonts xmlns:w="http://schemas.openxmlformats.org/wordprocessingml/2006/main" xmlns:r="http://schemas.openxmlformats.org/officeDocument/2006/relationships">
  <w:font w:name="宋体">
    <w:panose1 w:val="02010600030101010101"/>
    <w:charset w:val="86"/>
    <w:family w:val="auto"/>
    <w:pitch w:val="variable"/>
    <w:sig w:usb0="00000003" w:usb1="288F0000" w:usb2="00000006" w:usb3="00000000" w:csb0="00040001" w:csb1="00000000"/>
  </w:font>
  <w:font w:name="仿宋">
    <w:panose1 w:val="02010609060101010101"/>
    <w:charset w:val="86"/>
    <w:family w:val="modern"/>
    <w:pitch w:val="variable"/>
    <w:sig w:usb0="800002BF" w:usb1="38CF7CFA" w:usb2="00000016" w:usb3="00000000" w:csb0="00040001" w:csb1="00000000"/>
  </w:font>
  <w:font w:name="仿宋_GB2312">
    <w:altName w:val="仿宋"/>
    <w:panose1 w:val="00000000000000000000"/>
    <w:charset w:val="86"/>
    <w:family w:val="modern"/>
    <w:pitch w:val="variable"/>
    <w:sig w:usb0="00000000" w:usb1="00000000" w:usb2="00000000" w:usb3="00000000" w:csb0="00040000" w:csb1="00000000"/>
  </w:font>
  <w:font w:name="新宋体">
    <w:panose1 w:val="02010609030101010101"/>
    <w:charset w:val="86"/>
    <w:family w:val="auto"/>
    <w:pitch w:val="variable"/>
    <w:sig w:usb0="000002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 w:name="黑体">
    <w:panose1 w:val="02010609060101010101"/>
    <w:charset w:val="86"/>
    <w:family w:val="auto"/>
    <w:pitch w:val="variable"/>
    <w:sig w:usb0="800002BF" w:usb1="38CF7CFA" w:usb2="00000016" w:usb3="00000000" w:csb0="00040001" w:csb1="00000000"/>
  </w:font>
  <w:font w:name="Times New Roman">
    <w:panose1 w:val="02020603050405020304"/>
    <w:charset w:val="01"/>
    <w:family w:val="roman"/>
    <w:pitch w:val="variable"/>
    <w:sig w:usb0="E0002AFF" w:usb1="C0007841" w:usb2="00000009" w:usb3="00000000" w:csb0="400001FF" w:csb1="FFFF0000"/>
  </w:font>
  <w:font w:name="楷体">
    <w:panose1 w:val="02010609060101010101"/>
    <w:charset w:val="86"/>
    <w:family w:val="modern"/>
    <w:pitch w:val="variable"/>
    <w:sig w:usb0="800002BF" w:usb1="38CF7CFA" w:usb2="00000016" w:usb3="00000000" w:csb0="00040001" w:csb1="00000000"/>
  </w:font>
  <w:font w:name="Calibri">
    <w:panose1 w:val="020F0502020204030204"/>
    <w:charset w:val="00"/>
    <w:family w:val="swiss"/>
    <w:pitch w:val="variable"/>
    <w:sig w:usb0="E00002FF" w:usb1="4000ACFF" w:usb2="00000001" w:usb3="00000000" w:csb0="2000019F" w:csb1="00000000"/>
  </w:font>
  <w:font w:name="Courier New">
    <w:panose1 w:val="02070309020205020404"/>
    <w:charset w:val="01"/>
    <w:family w:val="modern"/>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framePr w:w="0" w:hRule="auto" w:wrap="around" w:vAnchor="text" w:hAnchor="margin" w:xAlign="outside" w:y="1" w:anchorLock="0"/>
      <w:tabs>
        <w:tab w:val="center" w:pos="4153"/>
        <w:tab w:val="right" w:pos="8306"/>
      </w:tabs>
      <w:rPr>
        <w:rStyle w:val="23"/>
        <w:rFonts w:ascii="宋体" w:eastAsia="宋体" w:hAnsi="宋体"/>
        <w:sz w:val="28"/>
        <w:szCs w:val="28"/>
      </w:rPr>
    </w:pPr>
    <w:r>
      <w:rPr>
        <w:rStyle w:val="23"/>
        <w:rFonts w:ascii="宋体" w:eastAsia="宋体" w:hAnsi="宋体" w:hint="eastAsia"/>
        <w:sz w:val="28"/>
        <w:szCs w:val="28"/>
      </w:rPr>
      <w:t>-</w:t>
    </w:r>
    <w:r>
      <w:rPr>
        <w:rStyle w:val="23"/>
        <w:rFonts w:ascii="宋体" w:eastAsia="宋体" w:hAnsi="宋体"/>
        <w:sz w:val="28"/>
        <w:szCs w:val="28"/>
      </w:rPr>
      <w:fldChar w:fldCharType="begin"/>
    </w:r>
    <w:r>
      <w:rPr>
        <w:rStyle w:val="23"/>
        <w:rFonts w:ascii="宋体" w:eastAsia="宋体" w:hAnsi="宋体"/>
        <w:sz w:val="28"/>
        <w:szCs w:val="28"/>
      </w:rPr>
      <w:instrText xml:space="preserve">PAGE  </w:instrText>
    </w:r>
    <w:r>
      <w:rPr>
        <w:rStyle w:val="23"/>
        <w:rFonts w:ascii="宋体" w:eastAsia="宋体" w:hAnsi="宋体"/>
        <w:sz w:val="28"/>
        <w:szCs w:val="28"/>
      </w:rPr>
      <w:fldChar w:fldCharType="separate"/>
    </w:r>
    <w:r>
      <w:rPr>
        <w:rStyle w:val="23"/>
        <w:rFonts w:ascii="宋体" w:eastAsia="宋体" w:hAnsi="宋体"/>
        <w:sz w:val="28"/>
        <w:szCs w:val="28"/>
      </w:rPr>
      <w:t>7</w:t>
    </w:r>
    <w:r>
      <w:rPr>
        <w:rStyle w:val="23"/>
        <w:rFonts w:ascii="宋体" w:eastAsia="宋体" w:hAnsi="宋体"/>
        <w:sz w:val="28"/>
        <w:szCs w:val="28"/>
      </w:rPr>
      <w:fldChar w:fldCharType="end"/>
    </w:r>
    <w:r>
      <w:rPr>
        <w:rStyle w:val="23"/>
        <w:rFonts w:ascii="宋体" w:eastAsia="宋体" w:hAnsi="宋体" w:hint="eastAsia"/>
        <w:sz w:val="28"/>
        <w:szCs w:val="28"/>
      </w:rPr>
      <w:t>-</w:t>
    </w:r>
  </w:p>
  <w:p>
    <w:pPr>
      <w:pStyle w:val="18"/>
      <w:tabs>
        <w:tab w:val="center" w:pos="4153"/>
        <w:tab w:val="right" w:pos="8306"/>
      </w:tabs>
      <w:ind w:right="360" w:firstLine="360"/>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framePr w:w="0" w:hRule="auto" w:wrap="around" w:vAnchor="text" w:hAnchor="margin" w:xAlign="outside" w:y="1" w:anchorLock="0"/>
      <w:tabs>
        <w:tab w:val="center" w:pos="4153"/>
        <w:tab w:val="right" w:pos="8306"/>
      </w:tabs>
      <w:rPr>
        <w:rStyle w:val="23"/>
      </w:rPr>
    </w:pPr>
    <w:r>
      <w:rPr>
        <w:rStyle w:val="23"/>
      </w:rPr>
      <w:fldChar w:fldCharType="begin"/>
    </w:r>
    <w:r>
      <w:rPr>
        <w:rStyle w:val="23"/>
      </w:rPr>
      <w:instrText xml:space="preserve">PAGE  </w:instrText>
    </w:r>
    <w:r>
      <w:rPr>
        <w:rStyle w:val="23"/>
      </w:rPr>
      <w:fldChar w:fldCharType="separate"/>
    </w:r>
    <w:r>
      <w:rPr>
        <w:rStyle w:val="23"/>
      </w:rPr>
      <w:t xml:space="preserve"> </w:t>
    </w:r>
    <w:r>
      <w:rPr>
        <w:rStyle w:val="23"/>
      </w:rPr>
      <w:fldChar w:fldCharType="end"/>
    </w:r>
  </w:p>
  <w:p>
    <w:pPr>
      <w:pStyle w:val="18"/>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6232EC77"/>
    <w:multiLevelType w:val="singleLevel"/>
    <w:tmpl w:val="6232EC77"/>
    <w:lvl w:ilvl="0">
      <w:start w:val="2"/>
      <w:numFmt w:val="chineseCounting"/>
      <w:lvlRestart w:val="0"/>
      <w:suff w:val="nothing"/>
      <w:lvlText w:val="（%1）"/>
      <w:lvlJc w:val="left"/>
      <w:pPr/>
    </w:lvl>
  </w:abstractNum>
  <w:abstractNum w:abstractNumId="1">
    <w:nsid w:val="6232F245"/>
    <w:multiLevelType w:val="singleLevel"/>
    <w:tmpl w:val="6232F245"/>
    <w:lvl w:ilvl="0">
      <w:start w:val="4"/>
      <w:numFmt w:val="chineseCounting"/>
      <w:lvlRestart w:val="0"/>
      <w:suff w:val="nothing"/>
      <w:lvlText w:val="%1、"/>
      <w:lvlJc w:val="left"/>
      <w:pPr/>
    </w:lvl>
  </w:abstractNum>
  <w:abstractNum w:abstractNumId="2">
    <w:nsid w:val="6232F2AC"/>
    <w:multiLevelType w:val="singleLevel"/>
    <w:tmpl w:val="6232F2AC"/>
    <w:lvl w:ilvl="0">
      <w:start w:val="6"/>
      <w:numFmt w:val="chineseCounting"/>
      <w:lvlRestart w:val="0"/>
      <w:suff w:val="nothing"/>
      <w:lvlText w:val="%1、"/>
      <w:lvlJc w:val="left"/>
      <w:pPr/>
    </w:lvl>
  </w:abstractNum>
  <w:num w:numId="1">
    <w:abstractNumId w:val="0"/>
  </w:num>
  <w:num w:numId="2">
    <w:abstractNumId w:val="1"/>
  </w:num>
  <w:num w:numId="3">
    <w:abstractNumId w:val="2"/>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4"/>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2"/>
      <w:lang w:val="en-US" w:eastAsia="zh-CN" w:bidi="ar-SA"/>
    </w:rPr>
  </w:style>
  <w:style w:type="paragraph" w:styleId="1">
    <w:name w:val="heading 1"/>
    <w:qFormat/>
    <w:basedOn w:val="0"/>
    <w:next w:val="0"/>
    <w:link w:val="1Char"/>
    <w:pPr>
      <w:spacing w:before="100" w:beforeAutospacing="1" w:after="100" w:afterAutospacing="1"/>
      <w:jc w:val="left"/>
      <w:outlineLvl w:val="0"/>
    </w:pPr>
    <w:rPr>
      <w:rFonts w:ascii="宋体" w:eastAsia="宋体" w:cs="宋体" w:hAnsi="宋体"/>
      <w:b/>
      <w:kern w:val="44"/>
      <w:sz w:val="48"/>
      <w:szCs w:val="48"/>
    </w:rPr>
  </w:style>
  <w:style w:type="character" w:customStyle="1" w:styleId="1Char">
    <w:name w:val="heading 1 Char"/>
    <w:basedOn w:val="10"/>
    <w:link w:val="1"/>
    <w:rPr>
      <w:rFonts w:ascii="宋体" w:eastAsia="宋体" w:cs="宋体" w:hAnsi="宋体"/>
      <w:b/>
      <w:kern w:val="44"/>
      <w:sz w:val="48"/>
      <w:szCs w:val="48"/>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Body Text"/>
    <w:qFormat/>
    <w:basedOn w:val="0"/>
    <w:pPr>
      <w:autoSpaceDE w:val="0"/>
      <w:autoSpaceDN w:val="0"/>
      <w:adjustRightInd w:val="0"/>
      <w:snapToGrid w:val="0"/>
      <w:spacing w:line="588" w:lineRule="atLeast"/>
    </w:pPr>
    <w:rPr>
      <w:rFonts w:ascii="宋体" w:eastAsia="仿宋_GB2312" w:hAnsi="宋体"/>
      <w:spacing w:val="-2"/>
      <w:sz w:val="32"/>
      <w:szCs w:val="24"/>
    </w:rPr>
  </w:style>
  <w:style w:type="paragraph" w:styleId="16">
    <w:name w:val="Body Text Indent"/>
    <w:qFormat/>
    <w:basedOn w:val="0"/>
    <w:pPr>
      <w:spacing w:after="120"/>
      <w:ind w:leftChars="200" w:left="200"/>
    </w:pPr>
  </w:style>
  <w:style w:type="paragraph" w:styleId="17">
    <w:name w:val="Plain Text"/>
    <w:qFormat/>
    <w:basedOn w:val="0"/>
    <w:rPr>
      <w:rFonts w:ascii="宋体" w:eastAsia="宋体" w:cs="Courier New" w:hAnsi="Courier New"/>
      <w:szCs w:val="21"/>
    </w:rPr>
  </w:style>
  <w:style w:type="paragraph" w:styleId="18">
    <w:name w:val="footer"/>
    <w:qFormat/>
    <w:basedOn w:val="0"/>
    <w:pPr>
      <w:tabs>
        <w:tab w:val="center" w:pos="4153"/>
        <w:tab w:val="right" w:pos="8306"/>
      </w:tabs>
      <w:snapToGrid w:val="0"/>
      <w:jc w:val="left"/>
    </w:pPr>
    <w:rPr>
      <w:sz w:val="18"/>
      <w:szCs w:val="18"/>
    </w:rPr>
  </w:style>
  <w:style w:type="paragraph" w:styleId="19">
    <w:name w:val="Body Text First Indent 2"/>
    <w:qFormat/>
    <w:basedOn w:val="16"/>
    <w:pPr>
      <w:ind w:firstLineChars="200" w:firstLine="200"/>
    </w:pPr>
  </w:style>
  <w:style w:type="paragraph" w:styleId="20">
    <w:name w:val="header"/>
    <w:qFormat/>
    <w:basedOn w:val="0"/>
    <w:pPr>
      <w:pBdr>
        <w:bottom w:val="single" w:sz="6" w:space="1" w:color="auto"/>
      </w:pBdr>
      <w:tabs>
        <w:tab w:val="center" w:pos="4153"/>
        <w:tab w:val="right" w:pos="8306"/>
      </w:tabs>
      <w:snapToGrid w:val="0"/>
      <w:jc w:val="center"/>
    </w:pPr>
    <w:rPr>
      <w:sz w:val="18"/>
      <w:szCs w:val="18"/>
    </w:rPr>
  </w:style>
  <w:style w:type="paragraph" w:styleId="21">
    <w:name w:val="Normal (Web)"/>
    <w:qFormat/>
    <w:basedOn w:val="0"/>
    <w:pPr>
      <w:widowControl/>
      <w:spacing w:before="100" w:beforeAutospacing="1" w:after="100" w:afterAutospacing="1"/>
      <w:jc w:val="left"/>
    </w:pPr>
    <w:rPr>
      <w:rFonts w:ascii="宋体" w:eastAsia="宋体" w:cs="宋体" w:hAnsi="宋体"/>
      <w:kern w:val="0"/>
      <w:sz w:val="24"/>
      <w:szCs w:val="24"/>
    </w:rPr>
  </w:style>
  <w:style w:type="character" w:styleId="22">
    <w:name w:val="Strong"/>
    <w:qFormat/>
    <w:basedOn w:val="10"/>
    <w:rPr>
      <w:b/>
      <w:bCs/>
    </w:rPr>
  </w:style>
  <w:style w:type="character" w:styleId="23">
    <w:name w:val="page number"/>
    <w:qFormat/>
    <w:basedOn w:val="10"/>
  </w:style>
  <w:style w:type="character" w:customStyle="1" w:styleId="24">
    <w:name w:val="font31"/>
    <w:qFormat/>
    <w:basedOn w:val="10"/>
    <w:rPr>
      <w:rFonts w:ascii="宋体" w:eastAsia="宋体" w:cs="宋体" w:hAnsi="宋体"/>
      <w:b/>
      <w:color w:val="000000"/>
      <w:sz w:val="36"/>
      <w:szCs w:val="36"/>
      <w:u w:val="none"/>
    </w:rPr>
  </w:style>
  <w:style w:type="paragraph" w:customStyle="1" w:styleId="25">
    <w:name w:val="List Paragraph"/>
    <w:qFormat/>
    <w:basedOn w:val="0"/>
    <w:pPr>
      <w:ind w:firstLineChars="200" w:firstLine="20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 Id="rId8"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E78CCD7E-2E83-4192-B38D-8650339F56E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TotalTime>
  <Application>Yozo_Office27021597764231189</Application>
  <Pages>12</Pages>
  <Words>0</Words>
  <Characters>5988</Characters>
  <Lines>0</Lines>
  <Paragraphs>54</Paragraphs>
  <CharactersWithSpaces>7985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79</cp:revision>
  <cp:lastPrinted>2018-11-29T03:23:00Z</cp:lastPrinted>
  <dcterms:created xsi:type="dcterms:W3CDTF">2016-02-22T07:07:00Z</dcterms:created>
  <dcterms:modified xsi:type="dcterms:W3CDTF">2025-05-28T01:33:32Z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2052-10.1.0.6554</vt:lpwstr>
  </property>
</Properties>
</file>