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B7ACA" w14:textId="77777777" w:rsidR="00507105" w:rsidRDefault="00507105">
      <w:pPr>
        <w:widowControl/>
        <w:spacing w:line="400" w:lineRule="exact"/>
        <w:jc w:val="left"/>
        <w:rPr>
          <w:rFonts w:ascii="仿宋" w:eastAsia="仿宋" w:hAnsi="仿宋" w:cs="仿宋" w:hint="eastAsia"/>
          <w:kern w:val="0"/>
          <w:sz w:val="32"/>
          <w:szCs w:val="32"/>
          <w:shd w:val="clear" w:color="auto" w:fill="FFFFFF"/>
        </w:rPr>
      </w:pPr>
    </w:p>
    <w:p w14:paraId="62827711" w14:textId="77777777" w:rsidR="00507105" w:rsidRDefault="00000000">
      <w:pPr>
        <w:widowControl/>
        <w:spacing w:line="480" w:lineRule="exact"/>
        <w:jc w:val="left"/>
        <w:rPr>
          <w:rFonts w:ascii="宋体" w:eastAsia="宋体" w:hAnsi="宋体" w:cs="宋体" w:hint="eastAsia"/>
          <w:b/>
          <w:color w:val="000000"/>
          <w:kern w:val="0"/>
          <w:sz w:val="44"/>
          <w:szCs w:val="44"/>
          <w:shd w:val="clear" w:color="auto" w:fill="FFFFFF"/>
        </w:rPr>
      </w:pPr>
      <w:r>
        <w:rPr>
          <w:rFonts w:ascii="仿宋" w:eastAsia="仿宋" w:hAnsi="仿宋" w:cs="仿宋" w:hint="eastAsia"/>
          <w:kern w:val="0"/>
          <w:sz w:val="32"/>
          <w:szCs w:val="32"/>
          <w:shd w:val="clear" w:color="auto" w:fill="FFFFFF"/>
        </w:rPr>
        <w:t>附件7：</w:t>
      </w:r>
    </w:p>
    <w:p w14:paraId="421E9F4B" w14:textId="77777777" w:rsidR="00507105" w:rsidRDefault="00000000">
      <w:pPr>
        <w:spacing w:line="480" w:lineRule="exact"/>
        <w:jc w:val="center"/>
        <w:rPr>
          <w:rFonts w:ascii="仿宋" w:eastAsia="仿宋" w:hAnsi="仿宋" w:cs="仿宋" w:hint="eastAsia"/>
          <w:sz w:val="32"/>
          <w:szCs w:val="32"/>
        </w:rPr>
      </w:pPr>
      <w:r>
        <w:rPr>
          <w:rFonts w:ascii="宋体" w:hAnsi="宋体" w:hint="eastAsia"/>
          <w:b/>
          <w:sz w:val="44"/>
          <w:szCs w:val="44"/>
        </w:rPr>
        <w:t>部门整体支出绩效评价</w:t>
      </w:r>
      <w:r>
        <w:rPr>
          <w:rFonts w:ascii="宋体" w:eastAsia="宋体" w:hAnsi="宋体" w:cs="宋体" w:hint="eastAsia"/>
          <w:b/>
          <w:color w:val="000000"/>
          <w:kern w:val="0"/>
          <w:sz w:val="44"/>
          <w:szCs w:val="44"/>
          <w:shd w:val="clear" w:color="auto" w:fill="FFFFFF"/>
        </w:rPr>
        <w:t>指标体系评分表</w:t>
      </w:r>
    </w:p>
    <w:tbl>
      <w:tblPr>
        <w:tblW w:w="9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9"/>
        <w:gridCol w:w="743"/>
        <w:gridCol w:w="1275"/>
        <w:gridCol w:w="3436"/>
        <w:gridCol w:w="2373"/>
        <w:gridCol w:w="764"/>
      </w:tblGrid>
      <w:tr w:rsidR="00507105" w14:paraId="4BDABE15" w14:textId="77777777">
        <w:trPr>
          <w:trHeight w:val="339"/>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14:paraId="2BD1CB1A" w14:textId="77777777" w:rsidR="00507105" w:rsidRDefault="00000000">
            <w:pPr>
              <w:widowControl/>
              <w:spacing w:line="240" w:lineRule="exact"/>
              <w:jc w:val="center"/>
              <w:rPr>
                <w:b/>
              </w:rPr>
            </w:pPr>
            <w:r>
              <w:rPr>
                <w:rFonts w:ascii="仿宋_GB2312" w:eastAsia="仿宋_GB2312" w:hAnsi="新宋体" w:cs="仿宋_GB2312"/>
                <w:b/>
                <w:kern w:val="0"/>
                <w:sz w:val="24"/>
                <w:szCs w:val="24"/>
              </w:rPr>
              <w:t>一级指标</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2A696988" w14:textId="77777777" w:rsidR="00507105" w:rsidRDefault="00000000">
            <w:pPr>
              <w:widowControl/>
              <w:spacing w:line="240" w:lineRule="exact"/>
              <w:jc w:val="center"/>
              <w:rPr>
                <w:b/>
              </w:rPr>
            </w:pPr>
            <w:r>
              <w:rPr>
                <w:rFonts w:ascii="仿宋_GB2312" w:eastAsia="仿宋_GB2312" w:hAnsi="新宋体" w:cs="仿宋_GB2312"/>
                <w:b/>
                <w:kern w:val="0"/>
                <w:sz w:val="24"/>
                <w:szCs w:val="24"/>
              </w:rPr>
              <w:t>二级指标</w:t>
            </w:r>
          </w:p>
        </w:tc>
        <w:tc>
          <w:tcPr>
            <w:tcW w:w="4711" w:type="dxa"/>
            <w:gridSpan w:val="2"/>
            <w:tcBorders>
              <w:top w:val="single" w:sz="4" w:space="0" w:color="000000"/>
              <w:left w:val="single" w:sz="4" w:space="0" w:color="000000"/>
              <w:bottom w:val="single" w:sz="4" w:space="0" w:color="000000"/>
              <w:right w:val="single" w:sz="4" w:space="0" w:color="auto"/>
            </w:tcBorders>
            <w:vAlign w:val="center"/>
          </w:tcPr>
          <w:p w14:paraId="29024C04" w14:textId="77777777" w:rsidR="00507105" w:rsidRDefault="00000000">
            <w:pPr>
              <w:widowControl/>
              <w:spacing w:line="240" w:lineRule="exact"/>
              <w:jc w:val="center"/>
              <w:rPr>
                <w:b/>
              </w:rPr>
            </w:pPr>
            <w:r>
              <w:rPr>
                <w:rFonts w:ascii="仿宋_GB2312" w:eastAsia="仿宋_GB2312" w:hAnsi="新宋体" w:cs="仿宋_GB2312"/>
                <w:b/>
                <w:kern w:val="0"/>
                <w:sz w:val="24"/>
                <w:szCs w:val="24"/>
              </w:rPr>
              <w:t>三级指标</w:t>
            </w:r>
          </w:p>
        </w:tc>
        <w:tc>
          <w:tcPr>
            <w:tcW w:w="2373" w:type="dxa"/>
            <w:vMerge w:val="restart"/>
            <w:tcBorders>
              <w:top w:val="single" w:sz="4" w:space="0" w:color="000000"/>
              <w:left w:val="single" w:sz="4" w:space="0" w:color="auto"/>
              <w:bottom w:val="single" w:sz="4" w:space="0" w:color="000000"/>
              <w:right w:val="single" w:sz="4" w:space="0" w:color="auto"/>
            </w:tcBorders>
            <w:vAlign w:val="center"/>
          </w:tcPr>
          <w:p w14:paraId="582B057A" w14:textId="77777777" w:rsidR="00507105" w:rsidRDefault="00000000">
            <w:pPr>
              <w:widowControl/>
              <w:spacing w:line="240" w:lineRule="exact"/>
              <w:jc w:val="center"/>
              <w:rPr>
                <w:b/>
              </w:rPr>
            </w:pPr>
            <w:r>
              <w:rPr>
                <w:rFonts w:ascii="仿宋_GB2312" w:eastAsia="仿宋_GB2312" w:hAnsi="新宋体" w:cs="仿宋_GB2312"/>
                <w:b/>
                <w:kern w:val="0"/>
                <w:sz w:val="24"/>
                <w:szCs w:val="24"/>
              </w:rPr>
              <w:t>评分标准</w:t>
            </w:r>
          </w:p>
        </w:tc>
        <w:tc>
          <w:tcPr>
            <w:tcW w:w="764" w:type="dxa"/>
            <w:vMerge w:val="restart"/>
            <w:tcBorders>
              <w:top w:val="single" w:sz="4" w:space="0" w:color="000000"/>
              <w:left w:val="single" w:sz="4" w:space="0" w:color="auto"/>
              <w:bottom w:val="single" w:sz="4" w:space="0" w:color="000000"/>
              <w:right w:val="single" w:sz="4" w:space="0" w:color="auto"/>
            </w:tcBorders>
            <w:vAlign w:val="center"/>
          </w:tcPr>
          <w:p w14:paraId="057DF2DD" w14:textId="77777777" w:rsidR="00507105" w:rsidRDefault="00000000">
            <w:pPr>
              <w:widowControl/>
              <w:spacing w:line="240" w:lineRule="exact"/>
              <w:jc w:val="left"/>
              <w:rPr>
                <w:b/>
              </w:rPr>
            </w:pPr>
            <w:r>
              <w:rPr>
                <w:rFonts w:ascii="仿宋_GB2312" w:eastAsia="仿宋_GB2312" w:hAnsi="新宋体" w:cs="仿宋_GB2312"/>
                <w:b/>
                <w:kern w:val="0"/>
                <w:sz w:val="24"/>
                <w:szCs w:val="24"/>
              </w:rPr>
              <w:t>得分</w:t>
            </w:r>
          </w:p>
        </w:tc>
      </w:tr>
      <w:tr w:rsidR="00507105" w14:paraId="4846BA5A" w14:textId="77777777">
        <w:trPr>
          <w:trHeight w:val="434"/>
        </w:trPr>
        <w:tc>
          <w:tcPr>
            <w:tcW w:w="779" w:type="dxa"/>
            <w:vMerge/>
            <w:tcBorders>
              <w:top w:val="single" w:sz="4" w:space="0" w:color="000000"/>
              <w:left w:val="single" w:sz="4" w:space="0" w:color="000000"/>
              <w:bottom w:val="single" w:sz="4" w:space="0" w:color="000000"/>
              <w:right w:val="single" w:sz="4" w:space="0" w:color="000000"/>
            </w:tcBorders>
            <w:vAlign w:val="center"/>
          </w:tcPr>
          <w:p w14:paraId="21BB1581" w14:textId="77777777" w:rsidR="00507105" w:rsidRDefault="00507105">
            <w:pPr>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2134C298" w14:textId="77777777" w:rsidR="00507105" w:rsidRDefault="00507105">
            <w:pPr>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0019F4B3" w14:textId="77777777" w:rsidR="00507105" w:rsidRDefault="00000000">
            <w:pPr>
              <w:widowControl/>
              <w:spacing w:line="240" w:lineRule="exact"/>
              <w:jc w:val="center"/>
              <w:rPr>
                <w:b/>
              </w:rPr>
            </w:pPr>
            <w:r>
              <w:rPr>
                <w:rFonts w:ascii="仿宋_GB2312" w:eastAsia="仿宋_GB2312" w:hAnsi="新宋体" w:cs="仿宋_GB2312"/>
                <w:b/>
                <w:kern w:val="0"/>
                <w:sz w:val="24"/>
                <w:szCs w:val="24"/>
              </w:rPr>
              <w:t>指标名称</w:t>
            </w:r>
          </w:p>
        </w:tc>
        <w:tc>
          <w:tcPr>
            <w:tcW w:w="3436" w:type="dxa"/>
            <w:tcBorders>
              <w:top w:val="single" w:sz="4" w:space="0" w:color="000000"/>
              <w:left w:val="single" w:sz="4" w:space="0" w:color="auto"/>
              <w:bottom w:val="single" w:sz="4" w:space="0" w:color="000000"/>
              <w:right w:val="single" w:sz="4" w:space="0" w:color="auto"/>
            </w:tcBorders>
            <w:vAlign w:val="center"/>
          </w:tcPr>
          <w:p w14:paraId="7ECD2255" w14:textId="77777777" w:rsidR="00507105" w:rsidRDefault="00000000">
            <w:pPr>
              <w:widowControl/>
              <w:spacing w:line="240" w:lineRule="exact"/>
              <w:jc w:val="center"/>
              <w:rPr>
                <w:b/>
              </w:rPr>
            </w:pPr>
            <w:r>
              <w:rPr>
                <w:rFonts w:ascii="仿宋_GB2312" w:eastAsia="仿宋_GB2312" w:hAnsi="新宋体" w:cs="仿宋_GB2312"/>
                <w:b/>
                <w:kern w:val="0"/>
                <w:sz w:val="24"/>
                <w:szCs w:val="24"/>
              </w:rPr>
              <w:t>指标解释说明</w:t>
            </w:r>
          </w:p>
        </w:tc>
        <w:tc>
          <w:tcPr>
            <w:tcW w:w="2373" w:type="dxa"/>
            <w:vMerge/>
            <w:tcBorders>
              <w:top w:val="single" w:sz="4" w:space="0" w:color="000000"/>
              <w:left w:val="single" w:sz="4" w:space="0" w:color="auto"/>
              <w:bottom w:val="single" w:sz="4" w:space="0" w:color="000000"/>
              <w:right w:val="single" w:sz="4" w:space="0" w:color="auto"/>
            </w:tcBorders>
            <w:vAlign w:val="center"/>
          </w:tcPr>
          <w:p w14:paraId="1EAB16A3" w14:textId="77777777" w:rsidR="00507105" w:rsidRDefault="00507105">
            <w:pPr>
              <w:rPr>
                <w:rFonts w:ascii="宋体"/>
                <w:szCs w:val="21"/>
              </w:rPr>
            </w:pPr>
          </w:p>
        </w:tc>
        <w:tc>
          <w:tcPr>
            <w:tcW w:w="764" w:type="dxa"/>
            <w:vMerge/>
            <w:tcBorders>
              <w:top w:val="single" w:sz="4" w:space="0" w:color="000000"/>
              <w:left w:val="single" w:sz="4" w:space="0" w:color="auto"/>
              <w:bottom w:val="single" w:sz="4" w:space="0" w:color="000000"/>
              <w:right w:val="single" w:sz="4" w:space="0" w:color="auto"/>
            </w:tcBorders>
            <w:vAlign w:val="center"/>
          </w:tcPr>
          <w:p w14:paraId="249020CA" w14:textId="77777777" w:rsidR="00507105" w:rsidRDefault="00507105">
            <w:pPr>
              <w:rPr>
                <w:rFonts w:ascii="宋体"/>
                <w:szCs w:val="21"/>
              </w:rPr>
            </w:pPr>
          </w:p>
        </w:tc>
      </w:tr>
      <w:tr w:rsidR="00507105" w14:paraId="0EC5C0A2" w14:textId="77777777">
        <w:trPr>
          <w:trHeight w:val="68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14:paraId="5C67E7C9" w14:textId="77777777" w:rsidR="00507105" w:rsidRDefault="00000000">
            <w:pPr>
              <w:widowControl/>
              <w:spacing w:line="240" w:lineRule="exact"/>
              <w:jc w:val="left"/>
              <w:rPr>
                <w:szCs w:val="21"/>
              </w:rPr>
            </w:pPr>
            <w:r>
              <w:rPr>
                <w:rFonts w:ascii="仿宋_GB2312" w:eastAsia="仿宋_GB2312" w:hAnsi="新宋体" w:cs="仿宋_GB2312"/>
                <w:kern w:val="0"/>
                <w:szCs w:val="21"/>
              </w:rPr>
              <w:t>投入（1</w:t>
            </w:r>
            <w:r>
              <w:rPr>
                <w:rFonts w:ascii="仿宋_GB2312" w:eastAsia="仿宋_GB2312" w:hAnsi="新宋体" w:cs="仿宋_GB2312" w:hint="eastAsia"/>
                <w:kern w:val="0"/>
                <w:szCs w:val="21"/>
              </w:rPr>
              <w:t>0</w:t>
            </w:r>
            <w:r>
              <w:rPr>
                <w:rFonts w:ascii="仿宋_GB2312" w:eastAsia="仿宋_GB2312" w:hAnsi="新宋体" w:cs="仿宋_GB2312"/>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1933E2BD" w14:textId="77777777" w:rsidR="00507105" w:rsidRDefault="00000000">
            <w:pPr>
              <w:widowControl/>
              <w:spacing w:line="240" w:lineRule="exact"/>
              <w:jc w:val="left"/>
              <w:rPr>
                <w:szCs w:val="21"/>
              </w:rPr>
            </w:pPr>
            <w:r>
              <w:rPr>
                <w:rFonts w:ascii="仿宋_GB2312" w:eastAsia="仿宋_GB2312" w:hAnsi="新宋体" w:cs="仿宋_GB2312" w:hint="eastAsia"/>
                <w:kern w:val="0"/>
                <w:szCs w:val="21"/>
              </w:rPr>
              <w:t>绩效</w:t>
            </w:r>
            <w:r>
              <w:rPr>
                <w:rFonts w:ascii="仿宋_GB2312" w:eastAsia="仿宋_GB2312" w:hAnsi="新宋体" w:cs="仿宋_GB2312"/>
                <w:kern w:val="0"/>
                <w:szCs w:val="21"/>
              </w:rPr>
              <w:t>目标设定</w:t>
            </w:r>
            <w:r>
              <w:rPr>
                <w:rFonts w:ascii="仿宋_GB2312" w:eastAsia="仿宋_GB2312" w:hAnsi="新宋体" w:cs="仿宋_GB2312" w:hint="eastAsia"/>
                <w:kern w:val="0"/>
                <w:szCs w:val="21"/>
              </w:rPr>
              <w:t>情况</w:t>
            </w:r>
          </w:p>
          <w:p w14:paraId="768E2288" w14:textId="77777777" w:rsidR="00507105" w:rsidRDefault="00000000">
            <w:pPr>
              <w:widowControl/>
              <w:spacing w:line="240" w:lineRule="exact"/>
              <w:jc w:val="left"/>
              <w:rPr>
                <w:color w:val="FF0000"/>
                <w:szCs w:val="21"/>
              </w:rPr>
            </w:pP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1275" w:type="dxa"/>
            <w:tcBorders>
              <w:top w:val="single" w:sz="4" w:space="0" w:color="000000"/>
              <w:left w:val="single" w:sz="4" w:space="0" w:color="000000"/>
              <w:bottom w:val="single" w:sz="4" w:space="0" w:color="auto"/>
              <w:right w:val="single" w:sz="4" w:space="0" w:color="auto"/>
            </w:tcBorders>
            <w:vAlign w:val="center"/>
          </w:tcPr>
          <w:p w14:paraId="45CFAC40" w14:textId="77777777" w:rsidR="00507105" w:rsidRDefault="00000000">
            <w:pPr>
              <w:widowControl/>
              <w:spacing w:line="240" w:lineRule="exact"/>
              <w:jc w:val="left"/>
              <w:rPr>
                <w:szCs w:val="21"/>
              </w:rPr>
            </w:pPr>
            <w:r>
              <w:rPr>
                <w:rFonts w:ascii="仿宋_GB2312" w:eastAsia="仿宋_GB2312" w:hAnsi="新宋体" w:cs="仿宋_GB2312"/>
                <w:kern w:val="0"/>
                <w:szCs w:val="21"/>
              </w:rPr>
              <w:t>职责明确</w:t>
            </w:r>
            <w:r>
              <w:rPr>
                <w:rFonts w:ascii="仿宋_GB2312" w:eastAsia="仿宋_GB2312" w:hAnsi="新宋体" w:cs="仿宋_GB2312" w:hint="eastAsia"/>
                <w:kern w:val="0"/>
                <w:szCs w:val="21"/>
              </w:rPr>
              <w:t xml:space="preserve"> </w:t>
            </w:r>
            <w:r>
              <w:rPr>
                <w:rFonts w:ascii="仿宋_GB2312" w:eastAsia="仿宋_GB2312" w:hAnsi="新宋体" w:cs="仿宋_GB2312"/>
                <w:kern w:val="0"/>
                <w:szCs w:val="21"/>
              </w:rPr>
              <w:t>（1</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14:paraId="4B0FDC01" w14:textId="77777777" w:rsidR="00507105" w:rsidRDefault="00000000">
            <w:pPr>
              <w:widowControl/>
              <w:spacing w:line="240" w:lineRule="exact"/>
              <w:jc w:val="left"/>
              <w:rPr>
                <w:szCs w:val="21"/>
              </w:rPr>
            </w:pPr>
            <w:r>
              <w:rPr>
                <w:rFonts w:ascii="仿宋_GB2312" w:eastAsia="仿宋_GB2312" w:hAnsi="新宋体" w:cs="仿宋_GB2312"/>
                <w:kern w:val="0"/>
                <w:szCs w:val="21"/>
              </w:rPr>
              <w:t>部门的职责设定是否符合</w:t>
            </w:r>
            <w:r>
              <w:rPr>
                <w:rFonts w:ascii="仿宋_GB2312" w:eastAsia="仿宋_GB2312" w:hAnsi="新宋体" w:cs="仿宋_GB2312"/>
                <w:kern w:val="0"/>
                <w:szCs w:val="21"/>
              </w:rPr>
              <w:t>“</w:t>
            </w:r>
            <w:r>
              <w:rPr>
                <w:rFonts w:ascii="仿宋_GB2312" w:eastAsia="仿宋_GB2312" w:hAnsi="新宋体" w:cs="仿宋_GB2312"/>
                <w:kern w:val="0"/>
                <w:szCs w:val="21"/>
              </w:rPr>
              <w:t>三定</w:t>
            </w:r>
            <w:r>
              <w:rPr>
                <w:rFonts w:ascii="仿宋_GB2312" w:eastAsia="仿宋_GB2312" w:hAnsi="新宋体" w:cs="仿宋_GB2312"/>
                <w:kern w:val="0"/>
                <w:szCs w:val="21"/>
              </w:rPr>
              <w:t>”</w:t>
            </w:r>
            <w:r>
              <w:rPr>
                <w:rFonts w:ascii="仿宋_GB2312" w:eastAsia="仿宋_GB2312" w:hAnsi="新宋体" w:cs="仿宋_GB2312"/>
                <w:kern w:val="0"/>
                <w:szCs w:val="21"/>
              </w:rPr>
              <w:t>方案中所赋予的职责，用以反映和评价部门工作的目的性与计划性。</w:t>
            </w:r>
          </w:p>
        </w:tc>
        <w:tc>
          <w:tcPr>
            <w:tcW w:w="2373" w:type="dxa"/>
            <w:tcBorders>
              <w:top w:val="single" w:sz="4" w:space="0" w:color="000000"/>
              <w:left w:val="single" w:sz="4" w:space="0" w:color="auto"/>
              <w:bottom w:val="single" w:sz="4" w:space="0" w:color="auto"/>
              <w:right w:val="single" w:sz="4" w:space="0" w:color="auto"/>
            </w:tcBorders>
            <w:vAlign w:val="center"/>
          </w:tcPr>
          <w:p w14:paraId="3A77FA84" w14:textId="77777777" w:rsidR="00507105" w:rsidRDefault="00000000">
            <w:pPr>
              <w:widowControl/>
              <w:spacing w:line="240" w:lineRule="exact"/>
              <w:jc w:val="left"/>
              <w:rPr>
                <w:szCs w:val="21"/>
              </w:rPr>
            </w:pPr>
            <w:r>
              <w:rPr>
                <w:rFonts w:ascii="仿宋_GB2312" w:eastAsia="仿宋_GB2312" w:hAnsi="新宋体" w:cs="仿宋_GB2312"/>
                <w:kern w:val="0"/>
                <w:szCs w:val="21"/>
              </w:rPr>
              <w:t>符合（1）；</w:t>
            </w:r>
          </w:p>
          <w:p w14:paraId="27D25FDD" w14:textId="77777777" w:rsidR="00507105" w:rsidRDefault="00000000">
            <w:pPr>
              <w:widowControl/>
              <w:spacing w:line="240" w:lineRule="exact"/>
              <w:jc w:val="left"/>
              <w:rPr>
                <w:szCs w:val="21"/>
              </w:rPr>
            </w:pPr>
            <w:r>
              <w:rPr>
                <w:rFonts w:ascii="仿宋_GB2312" w:eastAsia="仿宋_GB2312" w:hAnsi="新宋体" w:cs="仿宋_GB2312"/>
                <w:kern w:val="0"/>
                <w:szCs w:val="21"/>
              </w:rPr>
              <w:t>不符合（0）。</w:t>
            </w:r>
          </w:p>
        </w:tc>
        <w:tc>
          <w:tcPr>
            <w:tcW w:w="764" w:type="dxa"/>
            <w:tcBorders>
              <w:top w:val="single" w:sz="4" w:space="0" w:color="000000"/>
              <w:left w:val="single" w:sz="4" w:space="0" w:color="auto"/>
              <w:bottom w:val="single" w:sz="4" w:space="0" w:color="auto"/>
              <w:right w:val="single" w:sz="4" w:space="0" w:color="000000"/>
            </w:tcBorders>
            <w:vAlign w:val="center"/>
          </w:tcPr>
          <w:p w14:paraId="4CB466D1" w14:textId="77777777" w:rsidR="00507105" w:rsidRDefault="00000000">
            <w:pPr>
              <w:widowControl/>
              <w:spacing w:line="240" w:lineRule="exact"/>
              <w:jc w:val="left"/>
              <w:rPr>
                <w:szCs w:val="21"/>
              </w:rPr>
            </w:pPr>
            <w:r>
              <w:rPr>
                <w:rFonts w:hint="eastAsia"/>
                <w:szCs w:val="21"/>
              </w:rPr>
              <w:t>1</w:t>
            </w:r>
          </w:p>
          <w:p w14:paraId="3FD94F58" w14:textId="77777777" w:rsidR="00507105" w:rsidRDefault="00507105">
            <w:pPr>
              <w:widowControl/>
              <w:spacing w:line="240" w:lineRule="exact"/>
              <w:jc w:val="left"/>
              <w:rPr>
                <w:szCs w:val="21"/>
              </w:rPr>
            </w:pPr>
          </w:p>
        </w:tc>
      </w:tr>
      <w:tr w:rsidR="00507105" w14:paraId="7DBDC05A" w14:textId="77777777">
        <w:trPr>
          <w:trHeight w:val="1634"/>
        </w:trPr>
        <w:tc>
          <w:tcPr>
            <w:tcW w:w="779" w:type="dxa"/>
            <w:vMerge/>
            <w:tcBorders>
              <w:top w:val="single" w:sz="4" w:space="0" w:color="000000"/>
              <w:left w:val="single" w:sz="4" w:space="0" w:color="000000"/>
              <w:bottom w:val="single" w:sz="4" w:space="0" w:color="000000"/>
              <w:right w:val="single" w:sz="4" w:space="0" w:color="000000"/>
            </w:tcBorders>
            <w:vAlign w:val="center"/>
          </w:tcPr>
          <w:p w14:paraId="537BBC46"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4CF2B6D3"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auto"/>
              <w:right w:val="single" w:sz="4" w:space="0" w:color="auto"/>
            </w:tcBorders>
            <w:vAlign w:val="center"/>
          </w:tcPr>
          <w:p w14:paraId="165C9DFD" w14:textId="77777777" w:rsidR="00507105" w:rsidRDefault="00000000">
            <w:pPr>
              <w:widowControl/>
              <w:spacing w:line="240" w:lineRule="exact"/>
              <w:jc w:val="left"/>
              <w:rPr>
                <w:szCs w:val="21"/>
              </w:rPr>
            </w:pPr>
            <w:r>
              <w:rPr>
                <w:rFonts w:ascii="仿宋_GB2312" w:eastAsia="仿宋_GB2312" w:hAnsi="新宋体" w:cs="仿宋_GB2312"/>
                <w:kern w:val="0"/>
                <w:szCs w:val="21"/>
              </w:rPr>
              <w:t>活动合规性（2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14:paraId="7A25A482" w14:textId="77777777" w:rsidR="00507105" w:rsidRDefault="00000000">
            <w:pPr>
              <w:widowControl/>
              <w:spacing w:line="240" w:lineRule="exact"/>
              <w:jc w:val="left"/>
              <w:rPr>
                <w:szCs w:val="21"/>
              </w:rPr>
            </w:pPr>
            <w:r>
              <w:rPr>
                <w:rFonts w:ascii="仿宋_GB2312" w:eastAsia="仿宋_GB2312" w:hAnsi="新宋体" w:cs="仿宋_GB2312"/>
                <w:kern w:val="0"/>
                <w:szCs w:val="21"/>
              </w:rPr>
              <w:t>部门的活动是否在职责范围之内并符合部门中长期规划，用以反映和评价部门活动目标与部门履职、年度工作任务的相符性情况。</w:t>
            </w:r>
          </w:p>
          <w:p w14:paraId="112518DF"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5737F069" w14:textId="77777777" w:rsidR="00507105" w:rsidRDefault="00000000">
            <w:pPr>
              <w:widowControl/>
              <w:spacing w:line="240" w:lineRule="exact"/>
              <w:jc w:val="left"/>
              <w:rPr>
                <w:szCs w:val="21"/>
              </w:rPr>
            </w:pPr>
            <w:r>
              <w:rPr>
                <w:rFonts w:ascii="仿宋_GB2312" w:eastAsia="仿宋_GB2312" w:hAnsi="新宋体" w:cs="仿宋_GB2312"/>
                <w:kern w:val="0"/>
                <w:szCs w:val="21"/>
              </w:rPr>
              <w:t>1.部门活动的设定在部门所确定的职责范围之内；</w:t>
            </w:r>
          </w:p>
          <w:p w14:paraId="180EDE57" w14:textId="77777777" w:rsidR="00507105" w:rsidRDefault="00000000">
            <w:pPr>
              <w:widowControl/>
              <w:spacing w:line="240" w:lineRule="exact"/>
              <w:jc w:val="left"/>
              <w:rPr>
                <w:szCs w:val="21"/>
              </w:rPr>
            </w:pPr>
            <w:r>
              <w:rPr>
                <w:rFonts w:ascii="仿宋_GB2312" w:eastAsia="仿宋_GB2312" w:hAnsi="新宋体" w:cs="仿宋_GB2312"/>
                <w:kern w:val="0"/>
                <w:szCs w:val="21"/>
              </w:rPr>
              <w:t>2.部门活动符合</w:t>
            </w:r>
            <w:r>
              <w:rPr>
                <w:rFonts w:ascii="仿宋_GB2312" w:eastAsia="仿宋_GB2312" w:hAnsi="新宋体" w:cs="仿宋_GB2312" w:hint="eastAsia"/>
                <w:kern w:val="0"/>
                <w:szCs w:val="21"/>
              </w:rPr>
              <w:t>市</w:t>
            </w:r>
            <w:r>
              <w:rPr>
                <w:rFonts w:ascii="仿宋_GB2312" w:eastAsia="仿宋_GB2312" w:hAnsi="新宋体" w:cs="仿宋_GB2312"/>
                <w:kern w:val="0"/>
                <w:szCs w:val="21"/>
              </w:rPr>
              <w:t>委、</w:t>
            </w:r>
            <w:r>
              <w:rPr>
                <w:rFonts w:ascii="仿宋_GB2312" w:eastAsia="仿宋_GB2312" w:hAnsi="新宋体" w:cs="仿宋_GB2312" w:hint="eastAsia"/>
                <w:kern w:val="0"/>
                <w:szCs w:val="21"/>
              </w:rPr>
              <w:t>市</w:t>
            </w:r>
            <w:r>
              <w:rPr>
                <w:rFonts w:ascii="仿宋_GB2312" w:eastAsia="仿宋_GB2312" w:hAnsi="新宋体" w:cs="仿宋_GB2312"/>
                <w:kern w:val="0"/>
                <w:szCs w:val="21"/>
              </w:rPr>
              <w:t>政府的发展规划及本部门的年度工作安排与发展规划。</w:t>
            </w:r>
          </w:p>
        </w:tc>
        <w:tc>
          <w:tcPr>
            <w:tcW w:w="2373" w:type="dxa"/>
            <w:tcBorders>
              <w:top w:val="single" w:sz="4" w:space="0" w:color="000000"/>
              <w:left w:val="single" w:sz="4" w:space="0" w:color="auto"/>
              <w:bottom w:val="single" w:sz="4" w:space="0" w:color="auto"/>
              <w:right w:val="single" w:sz="4" w:space="0" w:color="auto"/>
            </w:tcBorders>
            <w:vAlign w:val="center"/>
          </w:tcPr>
          <w:p w14:paraId="0D745C31" w14:textId="77777777" w:rsidR="00507105" w:rsidRDefault="00000000">
            <w:pPr>
              <w:widowControl/>
              <w:spacing w:line="240" w:lineRule="exact"/>
              <w:jc w:val="left"/>
              <w:rPr>
                <w:szCs w:val="21"/>
              </w:rPr>
            </w:pPr>
            <w:r>
              <w:rPr>
                <w:rFonts w:ascii="仿宋_GB2312" w:eastAsia="仿宋_GB2312" w:hAnsi="新宋体" w:cs="仿宋_GB2312"/>
                <w:kern w:val="0"/>
                <w:szCs w:val="21"/>
              </w:rPr>
              <w:t>全部符合（2）；</w:t>
            </w:r>
          </w:p>
          <w:p w14:paraId="44017A33" w14:textId="77777777" w:rsidR="00507105"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764" w:type="dxa"/>
            <w:tcBorders>
              <w:top w:val="single" w:sz="4" w:space="0" w:color="000000"/>
              <w:left w:val="single" w:sz="4" w:space="0" w:color="auto"/>
              <w:bottom w:val="single" w:sz="4" w:space="0" w:color="auto"/>
              <w:right w:val="single" w:sz="4" w:space="0" w:color="000000"/>
            </w:tcBorders>
            <w:vAlign w:val="center"/>
          </w:tcPr>
          <w:p w14:paraId="07B9CB6D" w14:textId="77777777" w:rsidR="00507105" w:rsidRDefault="00000000">
            <w:pPr>
              <w:widowControl/>
              <w:spacing w:line="240" w:lineRule="exact"/>
              <w:jc w:val="left"/>
              <w:rPr>
                <w:szCs w:val="21"/>
              </w:rPr>
            </w:pPr>
            <w:r>
              <w:rPr>
                <w:rFonts w:hint="eastAsia"/>
                <w:szCs w:val="21"/>
              </w:rPr>
              <w:t>2</w:t>
            </w:r>
          </w:p>
        </w:tc>
      </w:tr>
      <w:tr w:rsidR="00507105" w14:paraId="2CE32861"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73893FE4"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73651020"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auto"/>
              <w:right w:val="single" w:sz="4" w:space="0" w:color="auto"/>
            </w:tcBorders>
            <w:vAlign w:val="center"/>
          </w:tcPr>
          <w:p w14:paraId="07289709" w14:textId="77777777" w:rsidR="00507105" w:rsidRDefault="00000000">
            <w:pPr>
              <w:widowControl/>
              <w:spacing w:line="240" w:lineRule="exact"/>
              <w:jc w:val="left"/>
              <w:rPr>
                <w:szCs w:val="21"/>
              </w:rPr>
            </w:pPr>
            <w:r>
              <w:rPr>
                <w:rFonts w:ascii="仿宋_GB2312" w:eastAsia="仿宋_GB2312" w:hAnsi="新宋体" w:cs="仿宋_GB2312"/>
                <w:kern w:val="0"/>
                <w:szCs w:val="21"/>
              </w:rPr>
              <w:t>活动合理性（2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14:paraId="3B36EE0A" w14:textId="77777777" w:rsidR="00507105" w:rsidRDefault="00000000">
            <w:pPr>
              <w:widowControl/>
              <w:spacing w:line="240" w:lineRule="exact"/>
              <w:jc w:val="left"/>
              <w:rPr>
                <w:szCs w:val="21"/>
              </w:rPr>
            </w:pPr>
            <w:r>
              <w:rPr>
                <w:rFonts w:ascii="仿宋_GB2312" w:eastAsia="仿宋_GB2312" w:hAnsi="新宋体" w:cs="仿宋_GB2312"/>
                <w:kern w:val="0"/>
                <w:szCs w:val="21"/>
              </w:rPr>
              <w:t>部门所设立的活动是否明确合理、活动的关键性指标设置是否可衡量，用以反映和评价部门活动目标设定的合理性。</w:t>
            </w:r>
          </w:p>
          <w:p w14:paraId="4556D132"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2EA443A8" w14:textId="77777777" w:rsidR="00507105" w:rsidRDefault="00000000">
            <w:pPr>
              <w:widowControl/>
              <w:spacing w:line="240" w:lineRule="exact"/>
              <w:jc w:val="left"/>
              <w:rPr>
                <w:szCs w:val="21"/>
              </w:rPr>
            </w:pPr>
            <w:r>
              <w:rPr>
                <w:rFonts w:ascii="仿宋_GB2312" w:eastAsia="仿宋_GB2312" w:hAnsi="新宋体" w:cs="仿宋_GB2312"/>
                <w:kern w:val="0"/>
                <w:szCs w:val="21"/>
              </w:rPr>
              <w:t>1.活动目标的设定是可量化的，可通过清晰、可衡量的关键指标值予以体现；</w:t>
            </w:r>
          </w:p>
          <w:p w14:paraId="6EC44B5C" w14:textId="77777777" w:rsidR="00507105" w:rsidRDefault="00000000">
            <w:pPr>
              <w:widowControl/>
              <w:spacing w:line="240" w:lineRule="exact"/>
              <w:jc w:val="left"/>
              <w:rPr>
                <w:szCs w:val="21"/>
              </w:rPr>
            </w:pPr>
            <w:r>
              <w:rPr>
                <w:rFonts w:ascii="仿宋_GB2312" w:eastAsia="仿宋_GB2312" w:hAnsi="新宋体" w:cs="仿宋_GB2312"/>
                <w:kern w:val="0"/>
                <w:szCs w:val="21"/>
              </w:rPr>
              <w:t>2.在活动目标设定时，将关键指标明细分解为具体的达成目标与工作任务。</w:t>
            </w:r>
          </w:p>
        </w:tc>
        <w:tc>
          <w:tcPr>
            <w:tcW w:w="2373" w:type="dxa"/>
            <w:tcBorders>
              <w:top w:val="single" w:sz="4" w:space="0" w:color="000000"/>
              <w:left w:val="single" w:sz="4" w:space="0" w:color="auto"/>
              <w:bottom w:val="single" w:sz="4" w:space="0" w:color="auto"/>
              <w:right w:val="single" w:sz="4" w:space="0" w:color="auto"/>
            </w:tcBorders>
            <w:vAlign w:val="center"/>
          </w:tcPr>
          <w:p w14:paraId="7B8C05A0" w14:textId="77777777" w:rsidR="00507105" w:rsidRDefault="00000000">
            <w:pPr>
              <w:widowControl/>
              <w:spacing w:line="240" w:lineRule="exact"/>
              <w:jc w:val="left"/>
              <w:rPr>
                <w:szCs w:val="21"/>
              </w:rPr>
            </w:pPr>
            <w:r>
              <w:rPr>
                <w:rFonts w:ascii="仿宋_GB2312" w:eastAsia="仿宋_GB2312" w:hAnsi="新宋体" w:cs="仿宋_GB2312"/>
                <w:kern w:val="0"/>
                <w:szCs w:val="21"/>
              </w:rPr>
              <w:t>全部符合（2）；</w:t>
            </w:r>
          </w:p>
          <w:p w14:paraId="45C0B90B" w14:textId="77777777" w:rsidR="00507105"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764" w:type="dxa"/>
            <w:tcBorders>
              <w:top w:val="single" w:sz="4" w:space="0" w:color="000000"/>
              <w:left w:val="single" w:sz="4" w:space="0" w:color="auto"/>
              <w:bottom w:val="single" w:sz="4" w:space="0" w:color="auto"/>
              <w:right w:val="single" w:sz="4" w:space="0" w:color="000000"/>
            </w:tcBorders>
            <w:vAlign w:val="center"/>
          </w:tcPr>
          <w:p w14:paraId="0D87C6D2" w14:textId="77777777" w:rsidR="00507105" w:rsidRDefault="00000000">
            <w:pPr>
              <w:widowControl/>
              <w:spacing w:line="240" w:lineRule="exact"/>
              <w:jc w:val="left"/>
              <w:rPr>
                <w:szCs w:val="21"/>
              </w:rPr>
            </w:pPr>
            <w:r>
              <w:rPr>
                <w:rFonts w:hint="eastAsia"/>
                <w:szCs w:val="21"/>
              </w:rPr>
              <w:t>2</w:t>
            </w:r>
          </w:p>
        </w:tc>
      </w:tr>
      <w:tr w:rsidR="00507105" w14:paraId="274B663F" w14:textId="77777777">
        <w:trPr>
          <w:trHeight w:val="454"/>
        </w:trPr>
        <w:tc>
          <w:tcPr>
            <w:tcW w:w="779" w:type="dxa"/>
            <w:vMerge/>
            <w:tcBorders>
              <w:top w:val="single" w:sz="4" w:space="0" w:color="000000"/>
              <w:left w:val="single" w:sz="4" w:space="0" w:color="000000"/>
              <w:bottom w:val="single" w:sz="4" w:space="0" w:color="000000"/>
              <w:right w:val="single" w:sz="4" w:space="0" w:color="000000"/>
            </w:tcBorders>
            <w:vAlign w:val="center"/>
          </w:tcPr>
          <w:p w14:paraId="2190CCA9" w14:textId="77777777" w:rsidR="00507105" w:rsidRDefault="00507105">
            <w:pPr>
              <w:spacing w:line="240" w:lineRule="exact"/>
              <w:rPr>
                <w:rFonts w:ascii="宋体"/>
                <w:szCs w:val="21"/>
              </w:rPr>
            </w:pPr>
          </w:p>
        </w:tc>
        <w:tc>
          <w:tcPr>
            <w:tcW w:w="743" w:type="dxa"/>
            <w:vMerge w:val="restart"/>
            <w:tcBorders>
              <w:top w:val="single" w:sz="4" w:space="0" w:color="000000"/>
              <w:left w:val="single" w:sz="4" w:space="0" w:color="000000"/>
              <w:right w:val="single" w:sz="4" w:space="0" w:color="000000"/>
            </w:tcBorders>
            <w:vAlign w:val="center"/>
          </w:tcPr>
          <w:p w14:paraId="4B082472" w14:textId="77777777" w:rsidR="00507105" w:rsidRDefault="00000000">
            <w:pPr>
              <w:widowControl/>
              <w:spacing w:line="240" w:lineRule="exact"/>
              <w:jc w:val="left"/>
              <w:rPr>
                <w:szCs w:val="21"/>
              </w:rPr>
            </w:pPr>
            <w:r>
              <w:rPr>
                <w:rFonts w:ascii="仿宋_GB2312" w:eastAsia="仿宋_GB2312" w:hAnsi="新宋体" w:cs="仿宋_GB2312"/>
                <w:kern w:val="0"/>
                <w:szCs w:val="21"/>
              </w:rPr>
              <w:t>预算配置</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1275" w:type="dxa"/>
            <w:tcBorders>
              <w:top w:val="single" w:sz="4" w:space="0" w:color="auto"/>
              <w:left w:val="single" w:sz="4" w:space="0" w:color="000000"/>
              <w:right w:val="single" w:sz="4" w:space="0" w:color="auto"/>
            </w:tcBorders>
            <w:vAlign w:val="center"/>
          </w:tcPr>
          <w:p w14:paraId="126AF3F9" w14:textId="77777777" w:rsidR="00507105" w:rsidRDefault="00000000">
            <w:pPr>
              <w:widowControl/>
              <w:spacing w:line="240" w:lineRule="exact"/>
              <w:jc w:val="left"/>
              <w:rPr>
                <w:szCs w:val="21"/>
              </w:rPr>
            </w:pPr>
            <w:r>
              <w:rPr>
                <w:rFonts w:ascii="仿宋_GB2312" w:eastAsia="仿宋_GB2312" w:hAnsi="新宋体" w:cs="仿宋_GB2312"/>
                <w:kern w:val="0"/>
                <w:szCs w:val="21"/>
              </w:rPr>
              <w:t>在职人员控制率（</w:t>
            </w:r>
            <w:r>
              <w:rPr>
                <w:rFonts w:ascii="仿宋_GB2312" w:eastAsia="仿宋_GB2312" w:hAnsi="新宋体" w:cs="仿宋_GB2312" w:hint="eastAsia"/>
                <w:kern w:val="0"/>
                <w:szCs w:val="21"/>
              </w:rPr>
              <w:t>1分</w:t>
            </w:r>
            <w:r>
              <w:rPr>
                <w:rFonts w:ascii="仿宋_GB2312" w:eastAsia="仿宋_GB2312" w:hAnsi="新宋体" w:cs="仿宋_GB2312"/>
                <w:kern w:val="0"/>
                <w:szCs w:val="21"/>
              </w:rPr>
              <w:t>）</w:t>
            </w:r>
          </w:p>
        </w:tc>
        <w:tc>
          <w:tcPr>
            <w:tcW w:w="3436" w:type="dxa"/>
            <w:tcBorders>
              <w:top w:val="single" w:sz="4" w:space="0" w:color="auto"/>
              <w:left w:val="single" w:sz="4" w:space="0" w:color="auto"/>
              <w:right w:val="single" w:sz="4" w:space="0" w:color="auto"/>
            </w:tcBorders>
            <w:vAlign w:val="center"/>
          </w:tcPr>
          <w:p w14:paraId="2C1E40AB"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部门本年度实际在职人员数与编制数的比率，用以反映和评价部门对人员成本的控制程度。</w:t>
            </w:r>
          </w:p>
          <w:p w14:paraId="1FA3B637"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在职人员控制率=（在职人员数/编制数）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66922A81"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在职人员数：部门实际在职人数，以财政部确定的部门决算编制口径为准，由编制部门和人劳部门批复同意的临聘人员除外。</w:t>
            </w:r>
          </w:p>
          <w:p w14:paraId="10757E7E"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编制数：机构编制部门核定批复的部门人员编制数。</w:t>
            </w:r>
          </w:p>
        </w:tc>
        <w:tc>
          <w:tcPr>
            <w:tcW w:w="2373" w:type="dxa"/>
            <w:tcBorders>
              <w:top w:val="single" w:sz="4" w:space="0" w:color="auto"/>
              <w:left w:val="single" w:sz="4" w:space="0" w:color="auto"/>
              <w:right w:val="single" w:sz="4" w:space="0" w:color="auto"/>
            </w:tcBorders>
            <w:vAlign w:val="center"/>
          </w:tcPr>
          <w:p w14:paraId="06826345"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1.在职人员控制率小于或等于100%的，得满分；</w:t>
            </w:r>
          </w:p>
          <w:p w14:paraId="53270A15"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2.在职人员控制率大于或等于115%的，得0分；</w:t>
            </w:r>
          </w:p>
          <w:p w14:paraId="1BBAB46D"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3.在职人员控制率在100%-115%之间的，在0分和满分之间计算确定：</w:t>
            </w:r>
          </w:p>
          <w:p w14:paraId="64A8898B"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得分=[max（在职人员控制率）－某部门在职人员控制率]/[max（在职人员控制率）－min（在职人员控制率）]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14:paraId="30B1926E" w14:textId="77777777" w:rsidR="00507105" w:rsidRDefault="00000000">
            <w:pPr>
              <w:widowControl/>
              <w:spacing w:line="240" w:lineRule="exact"/>
              <w:jc w:val="left"/>
              <w:rPr>
                <w:szCs w:val="21"/>
              </w:rPr>
            </w:pPr>
            <w:r>
              <w:rPr>
                <w:rFonts w:hint="eastAsia"/>
                <w:szCs w:val="21"/>
              </w:rPr>
              <w:t>1</w:t>
            </w:r>
          </w:p>
        </w:tc>
      </w:tr>
      <w:tr w:rsidR="00507105" w14:paraId="1E751373" w14:textId="77777777">
        <w:trPr>
          <w:trHeight w:val="454"/>
        </w:trPr>
        <w:tc>
          <w:tcPr>
            <w:tcW w:w="779" w:type="dxa"/>
            <w:vMerge w:val="restart"/>
            <w:tcBorders>
              <w:top w:val="single" w:sz="4" w:space="0" w:color="000000"/>
              <w:left w:val="single" w:sz="4" w:space="0" w:color="000000"/>
              <w:right w:val="single" w:sz="4" w:space="0" w:color="000000"/>
            </w:tcBorders>
            <w:vAlign w:val="center"/>
          </w:tcPr>
          <w:p w14:paraId="129E4207" w14:textId="77777777" w:rsidR="00507105" w:rsidRDefault="00507105">
            <w:pPr>
              <w:spacing w:line="240" w:lineRule="exact"/>
              <w:rPr>
                <w:rFonts w:ascii="宋体"/>
                <w:szCs w:val="21"/>
              </w:rPr>
            </w:pPr>
          </w:p>
        </w:tc>
        <w:tc>
          <w:tcPr>
            <w:tcW w:w="743" w:type="dxa"/>
            <w:vMerge/>
            <w:tcBorders>
              <w:left w:val="single" w:sz="4" w:space="0" w:color="000000"/>
              <w:right w:val="single" w:sz="4" w:space="0" w:color="000000"/>
            </w:tcBorders>
            <w:vAlign w:val="center"/>
          </w:tcPr>
          <w:p w14:paraId="5C57B06D"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1275" w:type="dxa"/>
            <w:tcBorders>
              <w:top w:val="single" w:sz="4" w:space="0" w:color="auto"/>
              <w:left w:val="single" w:sz="4" w:space="0" w:color="000000"/>
              <w:right w:val="single" w:sz="4" w:space="0" w:color="auto"/>
            </w:tcBorders>
            <w:vAlign w:val="center"/>
          </w:tcPr>
          <w:p w14:paraId="2B18340B"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“三公”经费变动率（2分）</w:t>
            </w:r>
          </w:p>
        </w:tc>
        <w:tc>
          <w:tcPr>
            <w:tcW w:w="3436" w:type="dxa"/>
            <w:tcBorders>
              <w:top w:val="single" w:sz="4" w:space="0" w:color="auto"/>
              <w:left w:val="single" w:sz="4" w:space="0" w:color="auto"/>
              <w:right w:val="single" w:sz="4" w:space="0" w:color="auto"/>
            </w:tcBorders>
            <w:vAlign w:val="center"/>
          </w:tcPr>
          <w:p w14:paraId="5A9159CB"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部门本年度“三公”经费预算数与上年度“三公”经费预算数的变动比率，用以反映和考核部门对控制重点行政成本的努力程度。“三公”经费变动率=[（本年度“三公”经费总额-上年度“三公”经费总额）</w:t>
            </w:r>
            <w:r>
              <w:rPr>
                <w:rFonts w:ascii="仿宋" w:eastAsia="仿宋" w:hAnsi="仿宋" w:cs="仿宋" w:hint="eastAsia"/>
                <w:color w:val="000000"/>
                <w:kern w:val="0"/>
                <w:szCs w:val="21"/>
              </w:rPr>
              <w:lastRenderedPageBreak/>
              <w:t>/上年度“三公”经费总额]×100%。</w:t>
            </w:r>
            <w:r>
              <w:rPr>
                <w:rFonts w:ascii="仿宋" w:eastAsia="仿宋" w:hAnsi="仿宋" w:cs="仿宋" w:hint="eastAsia"/>
                <w:color w:val="000000"/>
                <w:kern w:val="0"/>
                <w:szCs w:val="21"/>
              </w:rPr>
              <w:br/>
              <w:t>“三公”经费：年度预算安排的因公出国（境）费、公务车辆购置及运行费和公务招待费。</w:t>
            </w:r>
          </w:p>
        </w:tc>
        <w:tc>
          <w:tcPr>
            <w:tcW w:w="2373" w:type="dxa"/>
            <w:tcBorders>
              <w:top w:val="single" w:sz="4" w:space="0" w:color="auto"/>
              <w:left w:val="single" w:sz="4" w:space="0" w:color="auto"/>
              <w:right w:val="single" w:sz="4" w:space="0" w:color="auto"/>
            </w:tcBorders>
            <w:vAlign w:val="center"/>
          </w:tcPr>
          <w:p w14:paraId="152EABBF"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1.</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小于或等于</w:t>
            </w:r>
            <w:r>
              <w:rPr>
                <w:rFonts w:ascii="仿宋_GB2312" w:eastAsia="仿宋_GB2312" w:hAnsi="新宋体" w:cs="仿宋_GB2312" w:hint="eastAsia"/>
                <w:kern w:val="0"/>
                <w:szCs w:val="21"/>
              </w:rPr>
              <w:t>-5</w:t>
            </w:r>
            <w:r>
              <w:rPr>
                <w:rFonts w:ascii="仿宋_GB2312" w:eastAsia="仿宋_GB2312" w:hAnsi="新宋体" w:cs="仿宋_GB2312"/>
                <w:kern w:val="0"/>
                <w:szCs w:val="21"/>
              </w:rPr>
              <w:t>%的，得满分；</w:t>
            </w:r>
          </w:p>
          <w:p w14:paraId="3A7F808D"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大于或等于1</w:t>
            </w:r>
            <w:r>
              <w:rPr>
                <w:rFonts w:ascii="仿宋_GB2312" w:eastAsia="仿宋_GB2312" w:hAnsi="新宋体" w:cs="仿宋_GB2312" w:hint="eastAsia"/>
                <w:kern w:val="0"/>
                <w:szCs w:val="21"/>
              </w:rPr>
              <w:t>0</w:t>
            </w:r>
            <w:r>
              <w:rPr>
                <w:rFonts w:ascii="仿宋_GB2312" w:eastAsia="仿宋_GB2312" w:hAnsi="新宋体" w:cs="仿宋_GB2312"/>
                <w:kern w:val="0"/>
                <w:szCs w:val="21"/>
              </w:rPr>
              <w:t>%的，得0分；</w:t>
            </w:r>
          </w:p>
          <w:p w14:paraId="4873639C"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3.在职人员控制率在</w:t>
            </w:r>
            <w:r>
              <w:rPr>
                <w:rFonts w:ascii="仿宋_GB2312" w:eastAsia="仿宋_GB2312" w:hAnsi="新宋体" w:cs="仿宋_GB2312" w:hint="eastAsia"/>
                <w:kern w:val="0"/>
                <w:szCs w:val="21"/>
              </w:rPr>
              <w:t>-5</w:t>
            </w:r>
            <w:r>
              <w:rPr>
                <w:rFonts w:ascii="仿宋_GB2312" w:eastAsia="仿宋_GB2312" w:hAnsi="新宋体" w:cs="仿宋_GB2312"/>
                <w:kern w:val="0"/>
                <w:szCs w:val="21"/>
              </w:rPr>
              <w:t>%-</w:t>
            </w:r>
            <w:r>
              <w:rPr>
                <w:rFonts w:ascii="仿宋_GB2312" w:eastAsia="仿宋_GB2312" w:hAnsi="新宋体" w:cs="仿宋_GB2312" w:hint="eastAsia"/>
                <w:kern w:val="0"/>
                <w:szCs w:val="21"/>
              </w:rPr>
              <w:t>10</w:t>
            </w:r>
            <w:r>
              <w:rPr>
                <w:rFonts w:ascii="仿宋_GB2312" w:eastAsia="仿宋_GB2312" w:hAnsi="新宋体" w:cs="仿宋_GB2312"/>
                <w:kern w:val="0"/>
                <w:szCs w:val="21"/>
              </w:rPr>
              <w:t>%之间的，在0分和满分之间计算确定：</w:t>
            </w:r>
          </w:p>
          <w:p w14:paraId="0DC12EF7"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得分=[max（</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]/[max（</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）－min（</w:t>
            </w:r>
            <w:r>
              <w:rPr>
                <w:rFonts w:ascii="仿宋" w:eastAsia="仿宋" w:hAnsi="仿宋" w:cs="仿宋" w:hint="eastAsia"/>
                <w:color w:val="000000"/>
                <w:kern w:val="0"/>
                <w:szCs w:val="21"/>
              </w:rPr>
              <w:t>“三公”经费变动率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14:paraId="473384A9" w14:textId="77777777" w:rsidR="00507105" w:rsidRDefault="00000000">
            <w:pPr>
              <w:widowControl/>
              <w:spacing w:line="240" w:lineRule="exact"/>
              <w:jc w:val="left"/>
              <w:rPr>
                <w:szCs w:val="21"/>
              </w:rPr>
            </w:pPr>
            <w:r>
              <w:rPr>
                <w:rFonts w:hint="eastAsia"/>
                <w:szCs w:val="21"/>
              </w:rPr>
              <w:lastRenderedPageBreak/>
              <w:t>2</w:t>
            </w:r>
          </w:p>
        </w:tc>
      </w:tr>
      <w:tr w:rsidR="00507105" w14:paraId="7BF1E750" w14:textId="77777777">
        <w:trPr>
          <w:trHeight w:val="454"/>
        </w:trPr>
        <w:tc>
          <w:tcPr>
            <w:tcW w:w="779" w:type="dxa"/>
            <w:vMerge/>
            <w:tcBorders>
              <w:left w:val="single" w:sz="4" w:space="0" w:color="000000"/>
              <w:bottom w:val="single" w:sz="4" w:space="0" w:color="000000"/>
              <w:right w:val="single" w:sz="4" w:space="0" w:color="000000"/>
            </w:tcBorders>
            <w:vAlign w:val="center"/>
          </w:tcPr>
          <w:p w14:paraId="0C77E445" w14:textId="77777777" w:rsidR="00507105" w:rsidRDefault="00507105">
            <w:pPr>
              <w:spacing w:line="240" w:lineRule="exact"/>
              <w:rPr>
                <w:rFonts w:ascii="宋体"/>
                <w:szCs w:val="21"/>
              </w:rPr>
            </w:pPr>
          </w:p>
        </w:tc>
        <w:tc>
          <w:tcPr>
            <w:tcW w:w="743" w:type="dxa"/>
            <w:vMerge/>
            <w:tcBorders>
              <w:left w:val="single" w:sz="4" w:space="0" w:color="000000"/>
              <w:bottom w:val="single" w:sz="4" w:space="0" w:color="000000"/>
              <w:right w:val="single" w:sz="4" w:space="0" w:color="000000"/>
            </w:tcBorders>
            <w:vAlign w:val="center"/>
          </w:tcPr>
          <w:p w14:paraId="6E7CD519"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1275" w:type="dxa"/>
            <w:tcBorders>
              <w:top w:val="single" w:sz="4" w:space="0" w:color="auto"/>
              <w:left w:val="single" w:sz="4" w:space="0" w:color="000000"/>
              <w:right w:val="single" w:sz="4" w:space="0" w:color="auto"/>
            </w:tcBorders>
            <w:vAlign w:val="center"/>
          </w:tcPr>
          <w:p w14:paraId="46081C77"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重点支出安排率（2分）</w:t>
            </w:r>
          </w:p>
        </w:tc>
        <w:tc>
          <w:tcPr>
            <w:tcW w:w="3436" w:type="dxa"/>
            <w:tcBorders>
              <w:top w:val="single" w:sz="4" w:space="0" w:color="auto"/>
              <w:left w:val="single" w:sz="4" w:space="0" w:color="auto"/>
              <w:right w:val="single" w:sz="4" w:space="0" w:color="auto"/>
            </w:tcBorders>
            <w:vAlign w:val="center"/>
          </w:tcPr>
          <w:p w14:paraId="4038C8CA"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ascii="仿宋" w:eastAsia="仿宋" w:hAnsi="仿宋" w:cs="仿宋" w:hint="eastAsia"/>
                <w:color w:val="000000"/>
                <w:kern w:val="0"/>
                <w:szCs w:val="21"/>
              </w:rPr>
              <w:br/>
              <w:t>重点项目支出：部门（单位）年度预算安排的，与本部门履职和发展密切相关、具有明显社会和经济影响、党委政府关心或社会比较关注的项目支出总额。</w:t>
            </w:r>
            <w:r>
              <w:rPr>
                <w:rFonts w:ascii="仿宋" w:eastAsia="仿宋" w:hAnsi="仿宋" w:cs="仿宋" w:hint="eastAsia"/>
                <w:color w:val="000000"/>
                <w:kern w:val="0"/>
                <w:szCs w:val="21"/>
              </w:rPr>
              <w:br/>
              <w:t>项目总支出：部门（单位）年度预算安排的项目支出总额。</w:t>
            </w:r>
          </w:p>
        </w:tc>
        <w:tc>
          <w:tcPr>
            <w:tcW w:w="2373" w:type="dxa"/>
            <w:tcBorders>
              <w:top w:val="single" w:sz="4" w:space="0" w:color="auto"/>
              <w:left w:val="single" w:sz="4" w:space="0" w:color="auto"/>
              <w:right w:val="single" w:sz="4" w:space="0" w:color="auto"/>
            </w:tcBorders>
            <w:vAlign w:val="center"/>
          </w:tcPr>
          <w:p w14:paraId="5D7BB2C4"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大于或等于95%的，得满分；</w:t>
            </w:r>
          </w:p>
          <w:p w14:paraId="6D85EAAF"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小于或等于85%的，得0分；</w:t>
            </w:r>
          </w:p>
          <w:p w14:paraId="4589217A"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在85%-95%之间的，在0分和满分之间计算确定：</w:t>
            </w:r>
          </w:p>
          <w:p w14:paraId="38D6205C" w14:textId="77777777" w:rsidR="00507105"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得分=[某部门</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）]/[max（</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14:paraId="09A43780" w14:textId="77777777" w:rsidR="00507105" w:rsidRDefault="00000000">
            <w:pPr>
              <w:widowControl/>
              <w:spacing w:line="240" w:lineRule="exact"/>
              <w:jc w:val="left"/>
              <w:rPr>
                <w:szCs w:val="21"/>
              </w:rPr>
            </w:pPr>
            <w:r>
              <w:rPr>
                <w:rFonts w:hint="eastAsia"/>
                <w:szCs w:val="21"/>
              </w:rPr>
              <w:t>2</w:t>
            </w:r>
          </w:p>
        </w:tc>
      </w:tr>
      <w:tr w:rsidR="00507105" w14:paraId="16EBDEA3" w14:textId="77777777">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14:paraId="0A43E2A6" w14:textId="77777777" w:rsidR="00507105" w:rsidRDefault="00000000">
            <w:pPr>
              <w:widowControl/>
              <w:spacing w:line="240" w:lineRule="exact"/>
              <w:jc w:val="left"/>
              <w:rPr>
                <w:szCs w:val="21"/>
              </w:rPr>
            </w:pPr>
            <w:r>
              <w:rPr>
                <w:rFonts w:ascii="仿宋_GB2312" w:eastAsia="仿宋_GB2312" w:hAnsi="新宋体" w:cs="仿宋_GB2312"/>
                <w:kern w:val="0"/>
                <w:szCs w:val="21"/>
              </w:rPr>
              <w:t>过程(</w:t>
            </w:r>
            <w:r>
              <w:rPr>
                <w:rFonts w:ascii="仿宋_GB2312" w:eastAsia="仿宋_GB2312" w:hAnsi="新宋体" w:cs="仿宋_GB2312" w:hint="eastAsia"/>
                <w:kern w:val="0"/>
                <w:szCs w:val="21"/>
              </w:rPr>
              <w:t>45分</w:t>
            </w:r>
            <w:r>
              <w:rPr>
                <w:rFonts w:ascii="仿宋_GB2312" w:eastAsia="仿宋_GB2312" w:hAnsi="新宋体" w:cs="仿宋_GB2312"/>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695AB412" w14:textId="77777777" w:rsidR="00507105" w:rsidRDefault="00000000">
            <w:pPr>
              <w:widowControl/>
              <w:spacing w:line="240" w:lineRule="exact"/>
              <w:jc w:val="left"/>
              <w:rPr>
                <w:szCs w:val="21"/>
              </w:rPr>
            </w:pPr>
            <w:r>
              <w:rPr>
                <w:rFonts w:ascii="仿宋_GB2312" w:eastAsia="仿宋_GB2312" w:hAnsi="新宋体" w:cs="仿宋_GB2312"/>
                <w:kern w:val="0"/>
                <w:szCs w:val="21"/>
              </w:rPr>
              <w:t>预算执行</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25分</w:t>
            </w:r>
            <w:r>
              <w:rPr>
                <w:rFonts w:ascii="仿宋_GB2312" w:eastAsia="仿宋_GB2312" w:hAnsi="新宋体" w:cs="仿宋_GB2312"/>
                <w:kern w:val="0"/>
                <w:szCs w:val="21"/>
              </w:rPr>
              <w:t>)</w:t>
            </w:r>
          </w:p>
        </w:tc>
        <w:tc>
          <w:tcPr>
            <w:tcW w:w="1275" w:type="dxa"/>
            <w:tcBorders>
              <w:top w:val="single" w:sz="4" w:space="0" w:color="000000"/>
              <w:left w:val="single" w:sz="4" w:space="0" w:color="000000"/>
              <w:bottom w:val="single" w:sz="4" w:space="0" w:color="000000"/>
              <w:right w:val="single" w:sz="4" w:space="0" w:color="auto"/>
            </w:tcBorders>
            <w:vAlign w:val="center"/>
          </w:tcPr>
          <w:p w14:paraId="57BB1877" w14:textId="77777777" w:rsidR="00507105" w:rsidRDefault="00000000">
            <w:pPr>
              <w:widowControl/>
              <w:spacing w:line="240" w:lineRule="exact"/>
              <w:jc w:val="left"/>
              <w:rPr>
                <w:szCs w:val="21"/>
              </w:rPr>
            </w:pPr>
            <w:r>
              <w:rPr>
                <w:rFonts w:ascii="仿宋_GB2312" w:eastAsia="仿宋_GB2312" w:hAnsi="新宋体" w:cs="仿宋_GB2312"/>
                <w:kern w:val="0"/>
                <w:szCs w:val="21"/>
              </w:rPr>
              <w:t>预算完成率（5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3FA665B9"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通过对部门本年度预算完成数与预算数的比较，反映和评价部门预算的完成程度。</w:t>
            </w:r>
          </w:p>
          <w:p w14:paraId="6D993189"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预算完成率=（预算完成数/预算数）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000000"/>
              <w:left w:val="single" w:sz="4" w:space="0" w:color="auto"/>
              <w:bottom w:val="single" w:sz="4" w:space="0" w:color="000000"/>
              <w:right w:val="single" w:sz="4" w:space="0" w:color="auto"/>
            </w:tcBorders>
            <w:vAlign w:val="center"/>
          </w:tcPr>
          <w:p w14:paraId="290E51FA"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1.预算完成率大于或等于95%的，得满分；</w:t>
            </w:r>
          </w:p>
          <w:p w14:paraId="256BAB61"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2.预算完成率小于或等于85%的，得0分；</w:t>
            </w:r>
          </w:p>
          <w:p w14:paraId="2E9A6DA0"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3.预算完成率在85%-95%之间的，在0分和满分之间计算确定：</w:t>
            </w:r>
          </w:p>
          <w:p w14:paraId="756C4E3E"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得分=[某部门预算完成率-min（预算完成率）]/[max（预算完成率）－min（预算完成率）]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14:paraId="5702866D" w14:textId="77777777" w:rsidR="00507105" w:rsidRDefault="00000000">
            <w:pPr>
              <w:widowControl/>
              <w:spacing w:line="240" w:lineRule="exact"/>
              <w:jc w:val="left"/>
              <w:rPr>
                <w:szCs w:val="21"/>
              </w:rPr>
            </w:pPr>
            <w:r>
              <w:rPr>
                <w:rFonts w:hint="eastAsia"/>
                <w:szCs w:val="21"/>
              </w:rPr>
              <w:t>5</w:t>
            </w:r>
          </w:p>
        </w:tc>
      </w:tr>
      <w:tr w:rsidR="00507105" w14:paraId="11401F6A"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71C8E14A"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4277B810"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05DD121C" w14:textId="77777777" w:rsidR="00507105" w:rsidRDefault="00000000">
            <w:pPr>
              <w:widowControl/>
              <w:spacing w:line="240" w:lineRule="exact"/>
              <w:jc w:val="left"/>
              <w:rPr>
                <w:szCs w:val="21"/>
              </w:rPr>
            </w:pPr>
            <w:r>
              <w:rPr>
                <w:rFonts w:ascii="仿宋_GB2312" w:eastAsia="仿宋_GB2312" w:hAnsi="新宋体" w:cs="仿宋_GB2312"/>
                <w:kern w:val="0"/>
                <w:szCs w:val="21"/>
              </w:rPr>
              <w:t>预算调整率（</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0D0C7CEA" w14:textId="77777777" w:rsidR="00507105" w:rsidRDefault="00000000">
            <w:pPr>
              <w:widowControl/>
              <w:spacing w:line="240" w:lineRule="exact"/>
              <w:jc w:val="left"/>
              <w:rPr>
                <w:szCs w:val="21"/>
              </w:rPr>
            </w:pPr>
            <w:r>
              <w:rPr>
                <w:rFonts w:ascii="仿宋_GB2312" w:eastAsia="仿宋_GB2312" w:hAnsi="新宋体" w:cs="仿宋_GB2312"/>
                <w:kern w:val="0"/>
                <w:szCs w:val="21"/>
              </w:rPr>
              <w:t>部门本年度预算调整数与预算数的比率，用以反映和评价部门预算的调整程度。</w:t>
            </w:r>
          </w:p>
          <w:p w14:paraId="3320CE16" w14:textId="77777777" w:rsidR="00507105" w:rsidRDefault="00000000">
            <w:pPr>
              <w:widowControl/>
              <w:spacing w:line="240" w:lineRule="exact"/>
              <w:jc w:val="left"/>
              <w:rPr>
                <w:szCs w:val="21"/>
              </w:rPr>
            </w:pPr>
            <w:r>
              <w:rPr>
                <w:rFonts w:ascii="仿宋_GB2312" w:eastAsia="仿宋_GB2312" w:hAnsi="新宋体" w:cs="仿宋_GB2312"/>
                <w:kern w:val="0"/>
                <w:szCs w:val="21"/>
              </w:rPr>
              <w:t>预算调整率=（预算调整数/预算数）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000000"/>
              <w:left w:val="single" w:sz="4" w:space="0" w:color="auto"/>
              <w:bottom w:val="single" w:sz="4" w:space="0" w:color="000000"/>
              <w:right w:val="single" w:sz="4" w:space="0" w:color="auto"/>
            </w:tcBorders>
            <w:vAlign w:val="center"/>
          </w:tcPr>
          <w:p w14:paraId="0C8EFADC" w14:textId="77777777" w:rsidR="00507105" w:rsidRDefault="00000000">
            <w:pPr>
              <w:widowControl/>
              <w:spacing w:line="240" w:lineRule="exact"/>
              <w:jc w:val="left"/>
              <w:rPr>
                <w:szCs w:val="21"/>
              </w:rPr>
            </w:pPr>
            <w:r>
              <w:rPr>
                <w:rFonts w:ascii="仿宋_GB2312" w:eastAsia="仿宋_GB2312" w:hAnsi="新宋体" w:cs="仿宋_GB2312"/>
                <w:kern w:val="0"/>
                <w:szCs w:val="21"/>
              </w:rPr>
              <w:t xml:space="preserve">1.预算调整率等于0的，得满分； </w:t>
            </w:r>
          </w:p>
          <w:p w14:paraId="643A8DBB" w14:textId="77777777" w:rsidR="00507105" w:rsidRDefault="00000000">
            <w:pPr>
              <w:widowControl/>
              <w:spacing w:line="240" w:lineRule="exact"/>
              <w:jc w:val="left"/>
              <w:rPr>
                <w:szCs w:val="21"/>
              </w:rPr>
            </w:pPr>
            <w:r>
              <w:rPr>
                <w:rFonts w:ascii="仿宋_GB2312" w:eastAsia="仿宋_GB2312" w:hAnsi="新宋体" w:cs="仿宋_GB2312"/>
                <w:kern w:val="0"/>
                <w:szCs w:val="21"/>
              </w:rPr>
              <w:t>2.预算调整率大于或等于10%的，得0分；</w:t>
            </w:r>
          </w:p>
          <w:p w14:paraId="355C2789"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3.预算调整率在0-10%之间的，在0分和满分之间确定：</w:t>
            </w:r>
          </w:p>
          <w:p w14:paraId="2B657C20"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得分=［max（预算调整率）-某部门预算调整率］/［max（预算调整率）-min（预算调整率）］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14:paraId="6F57AACB" w14:textId="77777777" w:rsidR="00507105" w:rsidRDefault="00000000">
            <w:pPr>
              <w:widowControl/>
              <w:spacing w:line="240" w:lineRule="exact"/>
              <w:jc w:val="left"/>
              <w:rPr>
                <w:szCs w:val="21"/>
              </w:rPr>
            </w:pPr>
            <w:r>
              <w:rPr>
                <w:rFonts w:hint="eastAsia"/>
                <w:szCs w:val="21"/>
              </w:rPr>
              <w:t>2</w:t>
            </w:r>
          </w:p>
        </w:tc>
      </w:tr>
      <w:tr w:rsidR="00507105" w14:paraId="5E1D6F5B" w14:textId="77777777">
        <w:trPr>
          <w:trHeight w:val="1848"/>
        </w:trPr>
        <w:tc>
          <w:tcPr>
            <w:tcW w:w="779" w:type="dxa"/>
            <w:vMerge/>
            <w:tcBorders>
              <w:top w:val="single" w:sz="4" w:space="0" w:color="000000"/>
              <w:left w:val="single" w:sz="4" w:space="0" w:color="000000"/>
              <w:bottom w:val="single" w:sz="4" w:space="0" w:color="000000"/>
              <w:right w:val="single" w:sz="4" w:space="0" w:color="000000"/>
            </w:tcBorders>
            <w:vAlign w:val="center"/>
          </w:tcPr>
          <w:p w14:paraId="6401EE1D"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3918A8C0"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020E9BE8" w14:textId="77777777" w:rsidR="00507105" w:rsidRDefault="00000000">
            <w:pPr>
              <w:widowControl/>
              <w:spacing w:line="240" w:lineRule="exact"/>
              <w:jc w:val="left"/>
              <w:rPr>
                <w:szCs w:val="21"/>
              </w:rPr>
            </w:pPr>
            <w:r>
              <w:rPr>
                <w:rFonts w:ascii="仿宋_GB2312" w:eastAsia="仿宋_GB2312" w:hAnsi="新宋体" w:cs="仿宋_GB2312"/>
                <w:color w:val="000000"/>
                <w:kern w:val="0"/>
                <w:szCs w:val="21"/>
              </w:rPr>
              <w:t>支付进度率</w:t>
            </w: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057FB1B5" w14:textId="77777777" w:rsidR="00507105" w:rsidRDefault="00000000">
            <w:pPr>
              <w:widowControl/>
              <w:spacing w:line="240" w:lineRule="exact"/>
              <w:jc w:val="left"/>
              <w:rPr>
                <w:szCs w:val="21"/>
              </w:rPr>
            </w:pPr>
            <w:r>
              <w:rPr>
                <w:rFonts w:ascii="仿宋_GB2312" w:eastAsia="仿宋_GB2312" w:hAnsi="新宋体" w:cs="仿宋_GB2312"/>
                <w:kern w:val="0"/>
                <w:szCs w:val="21"/>
              </w:rPr>
              <w:t>部门</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度支付数与</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度任务数的比率，用以反映和评价部门预算执行的及时和均衡程度。</w:t>
            </w:r>
          </w:p>
          <w:p w14:paraId="0ED1167F" w14:textId="77777777" w:rsidR="00507105" w:rsidRDefault="00000000">
            <w:pPr>
              <w:widowControl/>
              <w:spacing w:line="240" w:lineRule="exact"/>
              <w:jc w:val="left"/>
              <w:rPr>
                <w:szCs w:val="21"/>
              </w:rPr>
            </w:pPr>
            <w:r>
              <w:rPr>
                <w:rFonts w:ascii="仿宋_GB2312" w:eastAsia="仿宋_GB2312" w:hAnsi="新宋体" w:cs="仿宋_GB2312"/>
                <w:kern w:val="0"/>
                <w:szCs w:val="21"/>
              </w:rPr>
              <w:t>支付进度率=（</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000000"/>
              <w:left w:val="single" w:sz="4" w:space="0" w:color="auto"/>
              <w:bottom w:val="single" w:sz="4" w:space="0" w:color="000000"/>
              <w:right w:val="single" w:sz="4" w:space="0" w:color="auto"/>
            </w:tcBorders>
            <w:vAlign w:val="center"/>
          </w:tcPr>
          <w:p w14:paraId="0658B0EA" w14:textId="77777777" w:rsidR="00507105" w:rsidRDefault="00000000">
            <w:pPr>
              <w:widowControl/>
              <w:spacing w:line="240" w:lineRule="exact"/>
              <w:jc w:val="left"/>
              <w:rPr>
                <w:szCs w:val="21"/>
              </w:rPr>
            </w:pPr>
            <w:r>
              <w:rPr>
                <w:rFonts w:ascii="仿宋_GB2312" w:eastAsia="仿宋_GB2312" w:hAnsi="新宋体" w:cs="仿宋_GB2312"/>
                <w:kern w:val="0"/>
                <w:szCs w:val="21"/>
              </w:rPr>
              <w:t>按</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度的执行情况进行打分</w:t>
            </w:r>
            <w:r>
              <w:rPr>
                <w:rFonts w:ascii="仿宋_GB2312" w:eastAsia="仿宋_GB2312" w:hAnsi="新宋体" w:cs="仿宋_GB2312" w:hint="eastAsia"/>
                <w:kern w:val="0"/>
                <w:szCs w:val="21"/>
              </w:rPr>
              <w:t>。</w:t>
            </w:r>
            <w:r>
              <w:rPr>
                <w:rFonts w:ascii="仿宋_GB2312" w:eastAsia="仿宋_GB2312" w:hAnsi="新宋体" w:cs="仿宋_GB2312"/>
                <w:kern w:val="0"/>
                <w:szCs w:val="21"/>
              </w:rPr>
              <w:t>得分=</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p w14:paraId="1387C0BD" w14:textId="77777777" w:rsidR="00507105" w:rsidRDefault="00507105">
            <w:pPr>
              <w:widowControl/>
              <w:pBdr>
                <w:top w:val="none" w:sz="0" w:space="0" w:color="000000"/>
                <w:left w:val="none" w:sz="0" w:space="0" w:color="000000"/>
                <w:bottom w:val="none" w:sz="0" w:space="0" w:color="000000"/>
                <w:right w:val="none" w:sz="0" w:space="0" w:color="000000"/>
              </w:pBdr>
              <w:spacing w:line="240" w:lineRule="exact"/>
              <w:jc w:val="left"/>
              <w:rPr>
                <w:szCs w:val="21"/>
              </w:rPr>
            </w:pPr>
          </w:p>
        </w:tc>
        <w:tc>
          <w:tcPr>
            <w:tcW w:w="764" w:type="dxa"/>
            <w:tcBorders>
              <w:top w:val="single" w:sz="4" w:space="0" w:color="000000"/>
              <w:left w:val="single" w:sz="4" w:space="0" w:color="auto"/>
              <w:bottom w:val="single" w:sz="4" w:space="0" w:color="000000"/>
              <w:right w:val="single" w:sz="4" w:space="0" w:color="000000"/>
            </w:tcBorders>
            <w:vAlign w:val="center"/>
          </w:tcPr>
          <w:p w14:paraId="59F9C593" w14:textId="77777777" w:rsidR="00507105" w:rsidRDefault="00000000">
            <w:pPr>
              <w:widowControl/>
              <w:spacing w:line="240" w:lineRule="exact"/>
              <w:jc w:val="left"/>
              <w:rPr>
                <w:szCs w:val="21"/>
              </w:rPr>
            </w:pPr>
            <w:r>
              <w:rPr>
                <w:rFonts w:hint="eastAsia"/>
                <w:szCs w:val="21"/>
              </w:rPr>
              <w:t>5</w:t>
            </w:r>
          </w:p>
        </w:tc>
      </w:tr>
      <w:tr w:rsidR="00507105" w14:paraId="717C21EA" w14:textId="77777777">
        <w:trPr>
          <w:trHeight w:val="1274"/>
        </w:trPr>
        <w:tc>
          <w:tcPr>
            <w:tcW w:w="779" w:type="dxa"/>
            <w:vMerge/>
            <w:tcBorders>
              <w:top w:val="single" w:sz="4" w:space="0" w:color="000000"/>
              <w:left w:val="single" w:sz="4" w:space="0" w:color="000000"/>
              <w:bottom w:val="single" w:sz="4" w:space="0" w:color="000000"/>
              <w:right w:val="single" w:sz="4" w:space="0" w:color="000000"/>
            </w:tcBorders>
            <w:vAlign w:val="center"/>
          </w:tcPr>
          <w:p w14:paraId="2A45DB37"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54F788B3"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37440BF3" w14:textId="77777777" w:rsidR="00507105" w:rsidRDefault="00000000">
            <w:pPr>
              <w:widowControl/>
              <w:spacing w:line="240" w:lineRule="exact"/>
              <w:jc w:val="left"/>
              <w:rPr>
                <w:szCs w:val="21"/>
              </w:rPr>
            </w:pPr>
            <w:r>
              <w:rPr>
                <w:rFonts w:ascii="仿宋_GB2312" w:eastAsia="仿宋_GB2312" w:hAnsi="新宋体" w:cs="仿宋_GB2312"/>
                <w:kern w:val="0"/>
                <w:szCs w:val="21"/>
              </w:rPr>
              <w:t>结转结余率（4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488B49B6" w14:textId="77777777" w:rsidR="00507105" w:rsidRDefault="00000000">
            <w:pPr>
              <w:widowControl/>
              <w:spacing w:line="240" w:lineRule="exact"/>
              <w:jc w:val="left"/>
              <w:rPr>
                <w:szCs w:val="21"/>
              </w:rPr>
            </w:pPr>
            <w:r>
              <w:rPr>
                <w:rFonts w:ascii="仿宋_GB2312" w:eastAsia="仿宋_GB2312" w:hAnsi="新宋体" w:cs="仿宋_GB2312"/>
                <w:kern w:val="0"/>
                <w:szCs w:val="21"/>
              </w:rPr>
              <w:t>通过对部门本年度结转结余总额与支出预算数的比较，反映和评价部门对本年度结转结余资金的实际控制程度。</w:t>
            </w:r>
          </w:p>
          <w:p w14:paraId="22979C31" w14:textId="77777777" w:rsidR="00507105" w:rsidRDefault="00000000">
            <w:pPr>
              <w:widowControl/>
              <w:spacing w:line="240" w:lineRule="exact"/>
              <w:jc w:val="left"/>
              <w:rPr>
                <w:szCs w:val="21"/>
              </w:rPr>
            </w:pPr>
            <w:r>
              <w:rPr>
                <w:rFonts w:ascii="仿宋_GB2312" w:eastAsia="仿宋_GB2312" w:hAnsi="新宋体" w:cs="仿宋_GB2312"/>
                <w:kern w:val="0"/>
                <w:szCs w:val="21"/>
              </w:rPr>
              <w:t>结转结余率=（结转结余总额/支出预算数）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000000"/>
              <w:left w:val="single" w:sz="4" w:space="0" w:color="auto"/>
              <w:bottom w:val="single" w:sz="4" w:space="0" w:color="000000"/>
              <w:right w:val="single" w:sz="4" w:space="0" w:color="auto"/>
            </w:tcBorders>
            <w:vAlign w:val="center"/>
          </w:tcPr>
          <w:p w14:paraId="2D4FCBCF"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1.结转结余率等于0的，得满分；</w:t>
            </w:r>
          </w:p>
          <w:p w14:paraId="694A8D07"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2.结转结余率大于或等于50%的，得0分；</w:t>
            </w:r>
          </w:p>
          <w:p w14:paraId="6C1134A9"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3.结转结余率在0-50%之间的，在0和满分之间计算确定：</w:t>
            </w:r>
          </w:p>
          <w:p w14:paraId="6B1E1F8B"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得分=[max（结转结余率）－某部门结转结余率]/[max（结转结余率）－min（结转结余率）]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14:paraId="7DAD03EA" w14:textId="77777777" w:rsidR="00507105" w:rsidRDefault="00000000">
            <w:pPr>
              <w:widowControl/>
              <w:spacing w:line="240" w:lineRule="exact"/>
              <w:jc w:val="left"/>
              <w:rPr>
                <w:szCs w:val="21"/>
              </w:rPr>
            </w:pPr>
            <w:r>
              <w:rPr>
                <w:rFonts w:hint="eastAsia"/>
                <w:szCs w:val="21"/>
              </w:rPr>
              <w:t>3</w:t>
            </w:r>
          </w:p>
        </w:tc>
      </w:tr>
      <w:tr w:rsidR="00507105" w14:paraId="438CED34" w14:textId="77777777">
        <w:trPr>
          <w:trHeight w:val="1610"/>
        </w:trPr>
        <w:tc>
          <w:tcPr>
            <w:tcW w:w="779" w:type="dxa"/>
            <w:vMerge/>
            <w:tcBorders>
              <w:top w:val="single" w:sz="4" w:space="0" w:color="000000"/>
              <w:left w:val="single" w:sz="4" w:space="0" w:color="000000"/>
              <w:bottom w:val="single" w:sz="4" w:space="0" w:color="000000"/>
              <w:right w:val="single" w:sz="4" w:space="0" w:color="000000"/>
            </w:tcBorders>
            <w:vAlign w:val="center"/>
          </w:tcPr>
          <w:p w14:paraId="422DFC3A"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79321E66"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12C52D63" w14:textId="77777777" w:rsidR="00507105" w:rsidRDefault="00000000">
            <w:pPr>
              <w:widowControl/>
              <w:spacing w:line="240" w:lineRule="exact"/>
              <w:jc w:val="left"/>
              <w:rPr>
                <w:szCs w:val="21"/>
              </w:rPr>
            </w:pPr>
            <w:r>
              <w:rPr>
                <w:rFonts w:ascii="仿宋_GB2312" w:eastAsia="仿宋_GB2312" w:hAnsi="新宋体" w:cs="仿宋_GB2312"/>
                <w:kern w:val="0"/>
                <w:szCs w:val="21"/>
              </w:rPr>
              <w:t>公用经费控制率（</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316AEC08"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通过对部门本年度实际支出的公用经费总额与预算安排的公用经费总额的比率，反映和评价部门对机构运转成本的实际控制程度。</w:t>
            </w:r>
          </w:p>
          <w:p w14:paraId="6DEDCA2B"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公用经费控制率=（实际支出公用经费总额/预算安排公用经费总额）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000000"/>
              <w:left w:val="single" w:sz="4" w:space="0" w:color="auto"/>
              <w:bottom w:val="single" w:sz="4" w:space="0" w:color="000000"/>
              <w:right w:val="single" w:sz="4" w:space="0" w:color="auto"/>
            </w:tcBorders>
            <w:vAlign w:val="center"/>
          </w:tcPr>
          <w:p w14:paraId="5671B69A"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1.公用经费控制率小于或等于100%的，得满分；</w:t>
            </w:r>
          </w:p>
          <w:p w14:paraId="637709D6"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2.公用经费控制率大于或等于105%的，得0分；</w:t>
            </w:r>
          </w:p>
          <w:p w14:paraId="68C1330D"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3.公用经费控制率在100%-105%之间的，在0和满分之间计算确定：</w:t>
            </w:r>
          </w:p>
          <w:p w14:paraId="56D07188"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得分=［max（公用经费控制率）-某部门公用经费控制率］/［max（公用经费控制率）-min（公用经费控制率）］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14:paraId="15A05942" w14:textId="77777777" w:rsidR="00507105" w:rsidRDefault="00000000">
            <w:pPr>
              <w:widowControl/>
              <w:spacing w:line="240" w:lineRule="exact"/>
              <w:jc w:val="left"/>
              <w:rPr>
                <w:szCs w:val="21"/>
              </w:rPr>
            </w:pPr>
            <w:r>
              <w:rPr>
                <w:rFonts w:hint="eastAsia"/>
                <w:szCs w:val="21"/>
              </w:rPr>
              <w:t>4</w:t>
            </w:r>
          </w:p>
        </w:tc>
      </w:tr>
      <w:tr w:rsidR="00507105" w14:paraId="08E734FA" w14:textId="77777777">
        <w:trPr>
          <w:trHeight w:val="1100"/>
        </w:trPr>
        <w:tc>
          <w:tcPr>
            <w:tcW w:w="779" w:type="dxa"/>
            <w:vMerge/>
            <w:tcBorders>
              <w:top w:val="single" w:sz="4" w:space="0" w:color="000000"/>
              <w:left w:val="single" w:sz="4" w:space="0" w:color="000000"/>
              <w:bottom w:val="single" w:sz="4" w:space="0" w:color="000000"/>
              <w:right w:val="single" w:sz="4" w:space="0" w:color="000000"/>
            </w:tcBorders>
            <w:vAlign w:val="center"/>
          </w:tcPr>
          <w:p w14:paraId="1074AE86"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6757FADB"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353F9BE5" w14:textId="77777777" w:rsidR="00507105" w:rsidRDefault="00000000">
            <w:pPr>
              <w:widowControl/>
              <w:spacing w:line="240" w:lineRule="exact"/>
              <w:jc w:val="left"/>
              <w:rPr>
                <w:szCs w:val="21"/>
              </w:rPr>
            </w:pPr>
            <w:r>
              <w:rPr>
                <w:rFonts w:ascii="仿宋_GB2312" w:eastAsia="仿宋_GB2312" w:hAnsi="新宋体" w:cs="仿宋_GB2312"/>
                <w:kern w:val="0"/>
                <w:szCs w:val="21"/>
              </w:rPr>
              <w:t>政府采购执行率（</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644C6F17"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通过对部门本年度实际政府采购预算项目个数与政府采购预算项目个数的比较，反映和评价部门政府采购预算执行情况。</w:t>
            </w:r>
          </w:p>
          <w:p w14:paraId="634EA975"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政府采购执行率=（实际政府采购预算项目个数/政府采购预算项目个数）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5BC7E11E"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政府采购项目中非预算内安排的项目除外。</w:t>
            </w:r>
          </w:p>
        </w:tc>
        <w:tc>
          <w:tcPr>
            <w:tcW w:w="2373" w:type="dxa"/>
            <w:tcBorders>
              <w:top w:val="single" w:sz="4" w:space="0" w:color="000000"/>
              <w:left w:val="single" w:sz="4" w:space="0" w:color="auto"/>
              <w:bottom w:val="single" w:sz="4" w:space="0" w:color="000000"/>
              <w:right w:val="single" w:sz="4" w:space="0" w:color="auto"/>
            </w:tcBorders>
            <w:vAlign w:val="center"/>
          </w:tcPr>
          <w:p w14:paraId="1E142028"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1.政府采购执行率等于100%的，得满分；</w:t>
            </w:r>
          </w:p>
          <w:p w14:paraId="0522535C"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2.政府采购执行率小于或等于90%的，0分；</w:t>
            </w:r>
          </w:p>
          <w:p w14:paraId="10E4A613"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3.政府采购执行率在90%-100%之间的，在0和满分之间计算确定：</w:t>
            </w:r>
          </w:p>
          <w:p w14:paraId="2EC3DC7A"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得分=［某部门政府采购执行率-min（政府采购执行率）］/［max（政府采购执行率）-min（政府采购执行率）］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14:paraId="2AEE094A" w14:textId="77777777" w:rsidR="00507105" w:rsidRDefault="00000000">
            <w:pPr>
              <w:widowControl/>
              <w:spacing w:line="240" w:lineRule="exact"/>
              <w:jc w:val="left"/>
              <w:rPr>
                <w:szCs w:val="21"/>
              </w:rPr>
            </w:pPr>
            <w:r>
              <w:rPr>
                <w:rFonts w:hint="eastAsia"/>
                <w:szCs w:val="21"/>
              </w:rPr>
              <w:t>4</w:t>
            </w:r>
          </w:p>
        </w:tc>
      </w:tr>
      <w:tr w:rsidR="00507105" w14:paraId="5403D35F"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28E80D2D" w14:textId="77777777" w:rsidR="00507105" w:rsidRDefault="00507105">
            <w:pPr>
              <w:spacing w:line="240" w:lineRule="exact"/>
              <w:rPr>
                <w:rFonts w:ascii="宋体"/>
                <w:szCs w:val="21"/>
              </w:rPr>
            </w:pP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694E2D38" w14:textId="77777777" w:rsidR="00507105" w:rsidRDefault="00000000">
            <w:pPr>
              <w:widowControl/>
              <w:spacing w:line="240" w:lineRule="exact"/>
              <w:jc w:val="left"/>
              <w:rPr>
                <w:szCs w:val="21"/>
              </w:rPr>
            </w:pPr>
            <w:r>
              <w:rPr>
                <w:rFonts w:ascii="仿宋_GB2312" w:eastAsia="仿宋_GB2312" w:hAnsi="新宋体" w:cs="仿宋_GB2312"/>
                <w:kern w:val="0"/>
                <w:szCs w:val="21"/>
              </w:rPr>
              <w:t>预算管理</w:t>
            </w:r>
            <w:r>
              <w:rPr>
                <w:rFonts w:ascii="仿宋_GB2312" w:eastAsia="仿宋_GB2312" w:hAnsi="新宋体" w:cs="仿宋_GB2312" w:hint="eastAsia"/>
                <w:kern w:val="0"/>
                <w:szCs w:val="21"/>
              </w:rPr>
              <w:t>情况</w:t>
            </w:r>
          </w:p>
          <w:p w14:paraId="7729AE2F" w14:textId="77777777" w:rsidR="00507105" w:rsidRDefault="00000000">
            <w:pPr>
              <w:widowControl/>
              <w:spacing w:line="240" w:lineRule="exact"/>
              <w:jc w:val="left"/>
              <w:rPr>
                <w:szCs w:val="21"/>
              </w:rPr>
            </w:pPr>
            <w:r>
              <w:rPr>
                <w:rFonts w:ascii="仿宋_GB2312" w:eastAsia="仿宋_GB2312" w:hAnsi="新宋体" w:cs="仿宋_GB2312"/>
                <w:kern w:val="0"/>
                <w:szCs w:val="21"/>
              </w:rPr>
              <w:t>（15）</w:t>
            </w:r>
          </w:p>
        </w:tc>
        <w:tc>
          <w:tcPr>
            <w:tcW w:w="1275" w:type="dxa"/>
            <w:tcBorders>
              <w:top w:val="single" w:sz="4" w:space="0" w:color="000000"/>
              <w:left w:val="single" w:sz="4" w:space="0" w:color="000000"/>
              <w:bottom w:val="single" w:sz="4" w:space="0" w:color="000000"/>
              <w:right w:val="single" w:sz="4" w:space="0" w:color="auto"/>
            </w:tcBorders>
            <w:vAlign w:val="center"/>
          </w:tcPr>
          <w:p w14:paraId="150C300C" w14:textId="77777777" w:rsidR="00507105" w:rsidRDefault="00000000">
            <w:pPr>
              <w:widowControl/>
              <w:spacing w:line="240" w:lineRule="exact"/>
              <w:jc w:val="left"/>
              <w:rPr>
                <w:szCs w:val="21"/>
              </w:rPr>
            </w:pPr>
            <w:r>
              <w:rPr>
                <w:rFonts w:ascii="仿宋_GB2312" w:eastAsia="仿宋_GB2312" w:hAnsi="新宋体" w:cs="仿宋_GB2312"/>
                <w:kern w:val="0"/>
                <w:szCs w:val="21"/>
              </w:rPr>
              <w:t>资金使用合规性（8</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0F9BF04A" w14:textId="77777777" w:rsidR="00507105" w:rsidRDefault="00000000">
            <w:pPr>
              <w:widowControl/>
              <w:spacing w:line="240" w:lineRule="exact"/>
              <w:jc w:val="left"/>
              <w:rPr>
                <w:szCs w:val="21"/>
              </w:rPr>
            </w:pPr>
            <w:r>
              <w:rPr>
                <w:rFonts w:ascii="仿宋_GB2312" w:eastAsia="仿宋_GB2312" w:hAnsi="新宋体" w:cs="仿宋_GB2312"/>
                <w:kern w:val="0"/>
                <w:szCs w:val="21"/>
              </w:rPr>
              <w:t>部门使用预算资金是否符合相关的预算财务管理制度的规定，反映和评价部门预算资金的规范运行情况。</w:t>
            </w:r>
          </w:p>
          <w:p w14:paraId="6C5DF5A3"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6BA5553D" w14:textId="77777777" w:rsidR="00507105" w:rsidRDefault="00000000">
            <w:pPr>
              <w:widowControl/>
              <w:spacing w:line="240" w:lineRule="exact"/>
              <w:jc w:val="left"/>
              <w:rPr>
                <w:szCs w:val="21"/>
              </w:rPr>
            </w:pPr>
            <w:r>
              <w:rPr>
                <w:rFonts w:ascii="仿宋_GB2312" w:eastAsia="仿宋_GB2312" w:hAnsi="新宋体" w:cs="仿宋_GB2312"/>
                <w:kern w:val="0"/>
                <w:szCs w:val="21"/>
              </w:rPr>
              <w:t>1.符合国家财经法规和财务管理制度规定以及有关部门资金管理办法</w:t>
            </w:r>
            <w:r>
              <w:rPr>
                <w:rFonts w:ascii="仿宋_GB2312" w:eastAsia="仿宋_GB2312" w:hAnsi="新宋体" w:cs="仿宋_GB2312"/>
                <w:kern w:val="0"/>
                <w:szCs w:val="21"/>
              </w:rPr>
              <w:lastRenderedPageBreak/>
              <w:t>的规定；</w:t>
            </w:r>
          </w:p>
          <w:p w14:paraId="40C3FC12" w14:textId="77777777" w:rsidR="00507105" w:rsidRDefault="00000000">
            <w:pPr>
              <w:widowControl/>
              <w:spacing w:line="240" w:lineRule="exact"/>
              <w:jc w:val="left"/>
              <w:rPr>
                <w:szCs w:val="21"/>
              </w:rPr>
            </w:pPr>
            <w:r>
              <w:rPr>
                <w:rFonts w:ascii="仿宋_GB2312" w:eastAsia="仿宋_GB2312" w:hAnsi="新宋体" w:cs="仿宋_GB2312"/>
                <w:kern w:val="0"/>
                <w:szCs w:val="21"/>
              </w:rPr>
              <w:t>2.资金的拨付有完整的审批过程和手续；</w:t>
            </w:r>
          </w:p>
          <w:p w14:paraId="39AA2292" w14:textId="77777777" w:rsidR="00507105" w:rsidRDefault="00000000">
            <w:pPr>
              <w:widowControl/>
              <w:spacing w:line="240" w:lineRule="exact"/>
              <w:jc w:val="left"/>
              <w:rPr>
                <w:szCs w:val="21"/>
              </w:rPr>
            </w:pPr>
            <w:r>
              <w:rPr>
                <w:rFonts w:ascii="仿宋_GB2312" w:eastAsia="仿宋_GB2312" w:hAnsi="新宋体" w:cs="仿宋_GB2312"/>
                <w:kern w:val="0"/>
                <w:szCs w:val="21"/>
              </w:rPr>
              <w:t>3.项目的重大开支经过评估论证；</w:t>
            </w:r>
          </w:p>
          <w:p w14:paraId="4EFD0152" w14:textId="77777777" w:rsidR="00507105" w:rsidRDefault="00000000">
            <w:pPr>
              <w:widowControl/>
              <w:spacing w:line="240" w:lineRule="exact"/>
              <w:jc w:val="left"/>
              <w:rPr>
                <w:szCs w:val="21"/>
              </w:rPr>
            </w:pPr>
            <w:r>
              <w:rPr>
                <w:rFonts w:ascii="仿宋_GB2312" w:eastAsia="仿宋_GB2312" w:hAnsi="新宋体" w:cs="仿宋_GB2312"/>
                <w:kern w:val="0"/>
                <w:szCs w:val="21"/>
              </w:rPr>
              <w:t>4.符合部门预算批复的用途；</w:t>
            </w:r>
          </w:p>
          <w:p w14:paraId="5B288F2A" w14:textId="77777777" w:rsidR="00507105" w:rsidRDefault="00000000">
            <w:pPr>
              <w:widowControl/>
              <w:spacing w:line="240" w:lineRule="exact"/>
              <w:jc w:val="left"/>
              <w:rPr>
                <w:szCs w:val="21"/>
              </w:rPr>
            </w:pPr>
            <w:r>
              <w:rPr>
                <w:rFonts w:ascii="仿宋_GB2312" w:eastAsia="仿宋_GB2312" w:hAnsi="新宋体" w:cs="仿宋_GB2312"/>
                <w:kern w:val="0"/>
                <w:szCs w:val="21"/>
              </w:rPr>
              <w:t>5.不存在截留情况；</w:t>
            </w:r>
          </w:p>
          <w:p w14:paraId="3E091912" w14:textId="77777777" w:rsidR="00507105" w:rsidRDefault="00000000">
            <w:pPr>
              <w:widowControl/>
              <w:spacing w:line="240" w:lineRule="exact"/>
              <w:jc w:val="left"/>
              <w:rPr>
                <w:szCs w:val="21"/>
              </w:rPr>
            </w:pPr>
            <w:r>
              <w:rPr>
                <w:rFonts w:ascii="仿宋_GB2312" w:eastAsia="仿宋_GB2312" w:hAnsi="新宋体" w:cs="仿宋_GB2312"/>
                <w:kern w:val="0"/>
                <w:szCs w:val="21"/>
              </w:rPr>
              <w:t>6.不存在挤占情况；</w:t>
            </w:r>
          </w:p>
          <w:p w14:paraId="7E13A712" w14:textId="77777777" w:rsidR="00507105" w:rsidRDefault="00000000">
            <w:pPr>
              <w:widowControl/>
              <w:spacing w:line="240" w:lineRule="exact"/>
              <w:jc w:val="left"/>
              <w:rPr>
                <w:szCs w:val="21"/>
              </w:rPr>
            </w:pPr>
            <w:r>
              <w:rPr>
                <w:rFonts w:ascii="仿宋_GB2312" w:eastAsia="仿宋_GB2312" w:hAnsi="新宋体" w:cs="仿宋_GB2312"/>
                <w:kern w:val="0"/>
                <w:szCs w:val="21"/>
              </w:rPr>
              <w:t>7.不存在挪用情况；</w:t>
            </w:r>
          </w:p>
          <w:p w14:paraId="52FD4E15" w14:textId="77777777" w:rsidR="00507105" w:rsidRDefault="00000000">
            <w:pPr>
              <w:widowControl/>
              <w:spacing w:line="240" w:lineRule="exact"/>
              <w:jc w:val="left"/>
              <w:rPr>
                <w:szCs w:val="21"/>
              </w:rPr>
            </w:pPr>
            <w:r>
              <w:rPr>
                <w:rFonts w:ascii="仿宋_GB2312" w:eastAsia="仿宋_GB2312" w:hAnsi="新宋体" w:cs="仿宋_GB2312"/>
                <w:kern w:val="0"/>
                <w:szCs w:val="21"/>
              </w:rPr>
              <w:t>8.不存在虚列支出情况。</w:t>
            </w:r>
          </w:p>
        </w:tc>
        <w:tc>
          <w:tcPr>
            <w:tcW w:w="2373" w:type="dxa"/>
            <w:tcBorders>
              <w:top w:val="single" w:sz="4" w:space="0" w:color="000000"/>
              <w:left w:val="single" w:sz="4" w:space="0" w:color="auto"/>
              <w:bottom w:val="single" w:sz="4" w:space="0" w:color="000000"/>
              <w:right w:val="single" w:sz="4" w:space="0" w:color="auto"/>
            </w:tcBorders>
            <w:vAlign w:val="center"/>
          </w:tcPr>
          <w:p w14:paraId="5AA94EDF" w14:textId="77777777" w:rsidR="00507105" w:rsidRDefault="00000000">
            <w:pPr>
              <w:widowControl/>
              <w:spacing w:line="240" w:lineRule="exact"/>
              <w:jc w:val="left"/>
              <w:rPr>
                <w:szCs w:val="21"/>
              </w:rPr>
            </w:pPr>
            <w:r>
              <w:rPr>
                <w:rFonts w:ascii="仿宋_GB2312" w:eastAsia="仿宋_GB2312" w:hAnsi="新宋体" w:cs="仿宋_GB2312"/>
                <w:kern w:val="0"/>
                <w:szCs w:val="21"/>
              </w:rPr>
              <w:lastRenderedPageBreak/>
              <w:t>全部符合（8）；</w:t>
            </w:r>
          </w:p>
          <w:p w14:paraId="2C43B9A6"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符合其中七项（6）；</w:t>
            </w:r>
          </w:p>
          <w:p w14:paraId="3D35D9B7"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符合其中六项（4）；</w:t>
            </w:r>
          </w:p>
          <w:p w14:paraId="55EE1519"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符合其中五项（2）；</w:t>
            </w:r>
          </w:p>
          <w:p w14:paraId="29AC5532"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符合其中四项及以下（0）。</w:t>
            </w:r>
          </w:p>
        </w:tc>
        <w:tc>
          <w:tcPr>
            <w:tcW w:w="764" w:type="dxa"/>
            <w:tcBorders>
              <w:top w:val="single" w:sz="4" w:space="0" w:color="000000"/>
              <w:left w:val="single" w:sz="4" w:space="0" w:color="auto"/>
              <w:bottom w:val="single" w:sz="4" w:space="0" w:color="000000"/>
              <w:right w:val="single" w:sz="4" w:space="0" w:color="000000"/>
            </w:tcBorders>
            <w:vAlign w:val="center"/>
          </w:tcPr>
          <w:p w14:paraId="534D3555" w14:textId="77777777" w:rsidR="00507105" w:rsidRDefault="00000000">
            <w:pPr>
              <w:widowControl/>
              <w:spacing w:line="240" w:lineRule="exact"/>
              <w:jc w:val="left"/>
              <w:rPr>
                <w:szCs w:val="21"/>
              </w:rPr>
            </w:pPr>
            <w:r>
              <w:rPr>
                <w:rFonts w:hint="eastAsia"/>
                <w:szCs w:val="21"/>
              </w:rPr>
              <w:t>8</w:t>
            </w:r>
          </w:p>
        </w:tc>
      </w:tr>
      <w:tr w:rsidR="00507105" w14:paraId="44B12DE0"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31D0C705"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316FC6AF"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2826066F" w14:textId="77777777" w:rsidR="00507105" w:rsidRDefault="00000000">
            <w:pPr>
              <w:widowControl/>
              <w:spacing w:line="240" w:lineRule="exact"/>
              <w:jc w:val="left"/>
              <w:rPr>
                <w:szCs w:val="21"/>
              </w:rPr>
            </w:pPr>
            <w:r>
              <w:rPr>
                <w:rFonts w:ascii="仿宋_GB2312" w:eastAsia="仿宋_GB2312" w:hAnsi="新宋体" w:cs="仿宋_GB2312"/>
                <w:kern w:val="0"/>
                <w:szCs w:val="21"/>
              </w:rPr>
              <w:t>预决算信息公开性（3</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55D1A884" w14:textId="77777777" w:rsidR="00507105" w:rsidRDefault="00000000">
            <w:pPr>
              <w:widowControl/>
              <w:spacing w:line="240" w:lineRule="exact"/>
              <w:jc w:val="left"/>
              <w:rPr>
                <w:szCs w:val="21"/>
              </w:rPr>
            </w:pPr>
            <w:r>
              <w:rPr>
                <w:rFonts w:ascii="仿宋_GB2312" w:eastAsia="仿宋_GB2312" w:hAnsi="新宋体" w:cs="仿宋_GB2312"/>
                <w:kern w:val="0"/>
                <w:szCs w:val="21"/>
              </w:rPr>
              <w:t>部门是否按照政府信息公开有关规定公开相关预决算信息，用以反映和评价部门预决算管理的公开透明情况。</w:t>
            </w:r>
          </w:p>
          <w:p w14:paraId="673AA1C6" w14:textId="77777777" w:rsidR="00507105" w:rsidRDefault="00000000">
            <w:pPr>
              <w:widowControl/>
              <w:spacing w:line="240" w:lineRule="exact"/>
              <w:jc w:val="left"/>
              <w:rPr>
                <w:szCs w:val="21"/>
              </w:rPr>
            </w:pPr>
            <w:r>
              <w:rPr>
                <w:rFonts w:ascii="仿宋_GB2312" w:eastAsia="仿宋_GB2312" w:hAnsi="新宋体" w:cs="仿宋_GB2312"/>
                <w:kern w:val="0"/>
                <w:szCs w:val="21"/>
              </w:rPr>
              <w:t>预决算信息是指与部门预算、执行、决算、监督、绩效等管理相关的信息。</w:t>
            </w:r>
          </w:p>
          <w:p w14:paraId="4F5D1041"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404579F6" w14:textId="77777777" w:rsidR="00507105" w:rsidRDefault="00000000">
            <w:pPr>
              <w:widowControl/>
              <w:spacing w:line="240" w:lineRule="exact"/>
              <w:jc w:val="left"/>
              <w:rPr>
                <w:szCs w:val="21"/>
              </w:rPr>
            </w:pPr>
            <w:r>
              <w:rPr>
                <w:rFonts w:ascii="仿宋_GB2312" w:eastAsia="仿宋_GB2312" w:hAnsi="新宋体" w:cs="仿宋_GB2312"/>
                <w:kern w:val="0"/>
                <w:szCs w:val="21"/>
              </w:rPr>
              <w:t>1.公开预决算信息；</w:t>
            </w:r>
          </w:p>
          <w:p w14:paraId="44649EDE" w14:textId="77777777" w:rsidR="00507105" w:rsidRDefault="00000000">
            <w:pPr>
              <w:widowControl/>
              <w:spacing w:line="240" w:lineRule="exact"/>
              <w:jc w:val="left"/>
              <w:rPr>
                <w:szCs w:val="21"/>
              </w:rPr>
            </w:pPr>
            <w:r>
              <w:rPr>
                <w:rFonts w:ascii="仿宋_GB2312" w:eastAsia="仿宋_GB2312" w:hAnsi="新宋体" w:cs="仿宋_GB2312"/>
                <w:kern w:val="0"/>
                <w:szCs w:val="21"/>
              </w:rPr>
              <w:t>2.按规定内容公开预决算信息；</w:t>
            </w:r>
          </w:p>
          <w:p w14:paraId="632F95F2" w14:textId="77777777" w:rsidR="00507105" w:rsidRDefault="00000000">
            <w:pPr>
              <w:widowControl/>
              <w:spacing w:line="240" w:lineRule="exact"/>
              <w:jc w:val="left"/>
              <w:rPr>
                <w:szCs w:val="21"/>
              </w:rPr>
            </w:pPr>
            <w:r>
              <w:rPr>
                <w:rFonts w:ascii="仿宋_GB2312" w:eastAsia="仿宋_GB2312" w:hAnsi="新宋体" w:cs="仿宋_GB2312"/>
                <w:kern w:val="0"/>
                <w:szCs w:val="21"/>
              </w:rPr>
              <w:t>3.按规定时限公开预决算信息。</w:t>
            </w:r>
          </w:p>
        </w:tc>
        <w:tc>
          <w:tcPr>
            <w:tcW w:w="2373" w:type="dxa"/>
            <w:tcBorders>
              <w:top w:val="single" w:sz="4" w:space="0" w:color="000000"/>
              <w:left w:val="single" w:sz="4" w:space="0" w:color="auto"/>
              <w:bottom w:val="single" w:sz="4" w:space="0" w:color="000000"/>
              <w:right w:val="single" w:sz="4" w:space="0" w:color="auto"/>
            </w:tcBorders>
            <w:vAlign w:val="center"/>
          </w:tcPr>
          <w:p w14:paraId="339842F3" w14:textId="77777777" w:rsidR="00507105" w:rsidRDefault="00000000">
            <w:pPr>
              <w:widowControl/>
              <w:spacing w:line="240" w:lineRule="exact"/>
              <w:jc w:val="left"/>
              <w:rPr>
                <w:szCs w:val="21"/>
              </w:rPr>
            </w:pPr>
            <w:r>
              <w:rPr>
                <w:rFonts w:ascii="仿宋_GB2312" w:eastAsia="仿宋_GB2312" w:hAnsi="新宋体" w:cs="仿宋_GB2312"/>
                <w:kern w:val="0"/>
                <w:szCs w:val="21"/>
              </w:rPr>
              <w:t>全部符合（3）；</w:t>
            </w:r>
          </w:p>
          <w:p w14:paraId="734D3C8A"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75187949"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764" w:type="dxa"/>
            <w:tcBorders>
              <w:top w:val="single" w:sz="4" w:space="0" w:color="000000"/>
              <w:left w:val="single" w:sz="4" w:space="0" w:color="auto"/>
              <w:bottom w:val="single" w:sz="4" w:space="0" w:color="000000"/>
              <w:right w:val="single" w:sz="4" w:space="0" w:color="000000"/>
            </w:tcBorders>
            <w:vAlign w:val="center"/>
          </w:tcPr>
          <w:p w14:paraId="46F1C8CD" w14:textId="77777777" w:rsidR="00507105" w:rsidRDefault="00000000">
            <w:pPr>
              <w:widowControl/>
              <w:spacing w:line="240" w:lineRule="exact"/>
              <w:jc w:val="left"/>
              <w:rPr>
                <w:szCs w:val="21"/>
              </w:rPr>
            </w:pPr>
            <w:r>
              <w:rPr>
                <w:rFonts w:hint="eastAsia"/>
                <w:szCs w:val="21"/>
              </w:rPr>
              <w:t>3</w:t>
            </w:r>
          </w:p>
        </w:tc>
      </w:tr>
      <w:tr w:rsidR="00507105" w14:paraId="7EDB8594"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5C39B633"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2D0FBBD6" w14:textId="77777777" w:rsidR="00507105" w:rsidRDefault="00507105">
            <w:pPr>
              <w:spacing w:line="240" w:lineRule="exact"/>
              <w:rPr>
                <w:rFonts w:ascii="宋体"/>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4FA5DD81" w14:textId="77777777" w:rsidR="00507105" w:rsidRDefault="00000000">
            <w:pPr>
              <w:widowControl/>
              <w:spacing w:line="240" w:lineRule="exact"/>
              <w:jc w:val="left"/>
              <w:rPr>
                <w:szCs w:val="21"/>
              </w:rPr>
            </w:pPr>
            <w:r>
              <w:rPr>
                <w:rFonts w:ascii="仿宋_GB2312" w:eastAsia="仿宋_GB2312" w:hAnsi="新宋体" w:cs="仿宋_GB2312"/>
                <w:color w:val="000000"/>
                <w:kern w:val="0"/>
                <w:szCs w:val="21"/>
              </w:rPr>
              <w:t>基础信息完善性</w:t>
            </w:r>
            <w:r>
              <w:rPr>
                <w:rFonts w:ascii="仿宋_GB2312" w:eastAsia="仿宋_GB2312" w:hAnsi="新宋体" w:cs="仿宋_GB2312"/>
                <w:kern w:val="0"/>
                <w:szCs w:val="21"/>
              </w:rPr>
              <w:t>（4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292F72C2" w14:textId="77777777" w:rsidR="00507105" w:rsidRDefault="00000000">
            <w:pPr>
              <w:widowControl/>
              <w:spacing w:line="240" w:lineRule="exact"/>
              <w:jc w:val="left"/>
              <w:rPr>
                <w:szCs w:val="21"/>
              </w:rPr>
            </w:pPr>
            <w:r>
              <w:rPr>
                <w:rFonts w:ascii="仿宋_GB2312" w:eastAsia="仿宋_GB2312" w:hAnsi="新宋体" w:cs="仿宋_GB2312"/>
                <w:kern w:val="0"/>
                <w:szCs w:val="21"/>
              </w:rPr>
              <w:t>部门基础信息是否完善，用以反映和评价基础信息对预算管理工作的支撑情况。</w:t>
            </w:r>
          </w:p>
          <w:p w14:paraId="1C524E9A"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1C9E206C" w14:textId="77777777" w:rsidR="00507105" w:rsidRDefault="00000000">
            <w:pPr>
              <w:widowControl/>
              <w:spacing w:line="240" w:lineRule="exact"/>
              <w:jc w:val="left"/>
              <w:rPr>
                <w:szCs w:val="21"/>
              </w:rPr>
            </w:pPr>
            <w:r>
              <w:rPr>
                <w:rFonts w:ascii="仿宋_GB2312" w:eastAsia="仿宋_GB2312" w:hAnsi="新宋体" w:cs="仿宋_GB2312"/>
                <w:kern w:val="0"/>
                <w:szCs w:val="21"/>
              </w:rPr>
              <w:t>1.基本财务管理制度健全；</w:t>
            </w:r>
          </w:p>
          <w:p w14:paraId="794E84BB" w14:textId="77777777" w:rsidR="00507105" w:rsidRDefault="00000000">
            <w:pPr>
              <w:widowControl/>
              <w:spacing w:line="240" w:lineRule="exact"/>
              <w:jc w:val="left"/>
              <w:rPr>
                <w:szCs w:val="21"/>
              </w:rPr>
            </w:pPr>
            <w:r>
              <w:rPr>
                <w:rFonts w:ascii="仿宋_GB2312" w:eastAsia="仿宋_GB2312" w:hAnsi="新宋体" w:cs="仿宋_GB2312"/>
                <w:kern w:val="0"/>
                <w:szCs w:val="21"/>
              </w:rPr>
              <w:t>2.基础数据信息和会计信息资料真实；</w:t>
            </w:r>
          </w:p>
          <w:p w14:paraId="5446EE4C" w14:textId="77777777" w:rsidR="00507105" w:rsidRDefault="00000000">
            <w:pPr>
              <w:widowControl/>
              <w:spacing w:line="240" w:lineRule="exact"/>
              <w:jc w:val="left"/>
              <w:rPr>
                <w:szCs w:val="21"/>
              </w:rPr>
            </w:pPr>
            <w:r>
              <w:rPr>
                <w:rFonts w:ascii="仿宋_GB2312" w:eastAsia="仿宋_GB2312" w:hAnsi="新宋体" w:cs="仿宋_GB2312"/>
                <w:kern w:val="0"/>
                <w:szCs w:val="21"/>
              </w:rPr>
              <w:t>3.基础数据信息和会计信息资料完整；</w:t>
            </w:r>
          </w:p>
          <w:p w14:paraId="4030B6E5" w14:textId="77777777" w:rsidR="00507105" w:rsidRDefault="00000000">
            <w:pPr>
              <w:widowControl/>
              <w:spacing w:line="240" w:lineRule="exact"/>
              <w:jc w:val="left"/>
              <w:rPr>
                <w:szCs w:val="21"/>
              </w:rPr>
            </w:pPr>
            <w:r>
              <w:rPr>
                <w:rFonts w:ascii="仿宋_GB2312" w:eastAsia="仿宋_GB2312" w:hAnsi="新宋体" w:cs="仿宋_GB2312"/>
                <w:kern w:val="0"/>
                <w:szCs w:val="21"/>
              </w:rPr>
              <w:t>4.基础数据信息和会计信息资料准确。</w:t>
            </w:r>
          </w:p>
        </w:tc>
        <w:tc>
          <w:tcPr>
            <w:tcW w:w="2373" w:type="dxa"/>
            <w:tcBorders>
              <w:top w:val="single" w:sz="4" w:space="0" w:color="000000"/>
              <w:left w:val="single" w:sz="4" w:space="0" w:color="auto"/>
              <w:bottom w:val="single" w:sz="4" w:space="0" w:color="000000"/>
              <w:right w:val="single" w:sz="4" w:space="0" w:color="auto"/>
            </w:tcBorders>
            <w:vAlign w:val="center"/>
          </w:tcPr>
          <w:p w14:paraId="27E54E81"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符合全部四项（4）；</w:t>
            </w:r>
          </w:p>
          <w:p w14:paraId="23016024"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符合其中三项（2）；</w:t>
            </w:r>
          </w:p>
          <w:p w14:paraId="06D1FE2D"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符合其中两项（1）；</w:t>
            </w:r>
          </w:p>
          <w:p w14:paraId="4110C78F"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764" w:type="dxa"/>
            <w:tcBorders>
              <w:top w:val="single" w:sz="4" w:space="0" w:color="000000"/>
              <w:left w:val="single" w:sz="4" w:space="0" w:color="auto"/>
              <w:bottom w:val="single" w:sz="4" w:space="0" w:color="000000"/>
              <w:right w:val="single" w:sz="4" w:space="0" w:color="000000"/>
            </w:tcBorders>
            <w:vAlign w:val="center"/>
          </w:tcPr>
          <w:p w14:paraId="3BC4902B" w14:textId="77777777" w:rsidR="00507105" w:rsidRDefault="00000000">
            <w:pPr>
              <w:widowControl/>
              <w:spacing w:line="240" w:lineRule="exact"/>
              <w:jc w:val="left"/>
              <w:rPr>
                <w:szCs w:val="21"/>
              </w:rPr>
            </w:pPr>
            <w:r>
              <w:rPr>
                <w:rFonts w:hint="eastAsia"/>
                <w:szCs w:val="21"/>
              </w:rPr>
              <w:t>4</w:t>
            </w:r>
          </w:p>
        </w:tc>
      </w:tr>
      <w:tr w:rsidR="00507105" w14:paraId="3528F938"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46A0754D" w14:textId="77777777" w:rsidR="00507105" w:rsidRDefault="00507105">
            <w:pPr>
              <w:spacing w:line="240" w:lineRule="exact"/>
              <w:rPr>
                <w:rFonts w:ascii="宋体"/>
                <w:szCs w:val="21"/>
              </w:rPr>
            </w:pP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14C0F29A" w14:textId="77777777" w:rsidR="00507105" w:rsidRDefault="00000000">
            <w:pPr>
              <w:widowControl/>
              <w:spacing w:line="240" w:lineRule="exact"/>
              <w:jc w:val="left"/>
              <w:rPr>
                <w:szCs w:val="21"/>
              </w:rPr>
            </w:pPr>
            <w:r>
              <w:rPr>
                <w:rFonts w:ascii="仿宋_GB2312" w:eastAsia="仿宋_GB2312" w:hAnsi="新宋体" w:cs="仿宋_GB2312"/>
                <w:kern w:val="0"/>
                <w:szCs w:val="21"/>
              </w:rPr>
              <w:t>资产管理</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1275" w:type="dxa"/>
            <w:tcBorders>
              <w:top w:val="single" w:sz="4" w:space="0" w:color="auto"/>
              <w:left w:val="single" w:sz="4" w:space="0" w:color="000000"/>
              <w:bottom w:val="single" w:sz="4" w:space="0" w:color="000000"/>
              <w:right w:val="single" w:sz="4" w:space="0" w:color="auto"/>
            </w:tcBorders>
            <w:vAlign w:val="center"/>
          </w:tcPr>
          <w:p w14:paraId="4927B970" w14:textId="77777777" w:rsidR="00507105" w:rsidRDefault="00000000">
            <w:pPr>
              <w:widowControl/>
              <w:spacing w:line="240" w:lineRule="exact"/>
              <w:jc w:val="left"/>
              <w:rPr>
                <w:szCs w:val="21"/>
              </w:rPr>
            </w:pPr>
            <w:r>
              <w:rPr>
                <w:rFonts w:ascii="仿宋_GB2312" w:eastAsia="仿宋_GB2312" w:hAnsi="新宋体" w:cs="仿宋_GB2312"/>
                <w:kern w:val="0"/>
                <w:szCs w:val="21"/>
              </w:rPr>
              <w:t>资产管理完整性（</w:t>
            </w:r>
            <w:r>
              <w:rPr>
                <w:rFonts w:ascii="仿宋_GB2312" w:eastAsia="仿宋_GB2312" w:hAnsi="新宋体" w:cs="仿宋_GB2312" w:hint="eastAsia"/>
                <w:kern w:val="0"/>
                <w:szCs w:val="21"/>
              </w:rPr>
              <w:t>2分</w:t>
            </w:r>
            <w:r>
              <w:rPr>
                <w:rFonts w:ascii="仿宋_GB2312" w:eastAsia="仿宋_GB2312" w:hAnsi="新宋体" w:cs="仿宋_GB2312"/>
                <w:kern w:val="0"/>
                <w:szCs w:val="21"/>
              </w:rPr>
              <w:t>）</w:t>
            </w:r>
          </w:p>
        </w:tc>
        <w:tc>
          <w:tcPr>
            <w:tcW w:w="3436" w:type="dxa"/>
            <w:tcBorders>
              <w:top w:val="single" w:sz="4" w:space="0" w:color="auto"/>
              <w:left w:val="single" w:sz="4" w:space="0" w:color="auto"/>
              <w:bottom w:val="single" w:sz="4" w:space="0" w:color="000000"/>
              <w:right w:val="single" w:sz="4" w:space="0" w:color="auto"/>
            </w:tcBorders>
            <w:vAlign w:val="center"/>
          </w:tcPr>
          <w:p w14:paraId="1401E012" w14:textId="77777777" w:rsidR="00507105" w:rsidRDefault="00000000">
            <w:pPr>
              <w:widowControl/>
              <w:spacing w:line="240" w:lineRule="exact"/>
              <w:jc w:val="left"/>
              <w:rPr>
                <w:szCs w:val="21"/>
              </w:rPr>
            </w:pPr>
            <w:r>
              <w:rPr>
                <w:rFonts w:ascii="仿宋_GB2312" w:eastAsia="仿宋_GB2312" w:hAnsi="新宋体" w:cs="仿宋_GB2312"/>
                <w:kern w:val="0"/>
                <w:szCs w:val="21"/>
              </w:rPr>
              <w:t>部门的资产是否保存完整、使用合规、收入及时足额上缴，用以反映和评价部门资产运行情况。</w:t>
            </w:r>
          </w:p>
          <w:p w14:paraId="26FDD8F9" w14:textId="77777777" w:rsidR="00507105" w:rsidRDefault="00000000">
            <w:pPr>
              <w:widowControl/>
              <w:spacing w:line="240" w:lineRule="exact"/>
              <w:jc w:val="left"/>
              <w:rPr>
                <w:szCs w:val="21"/>
              </w:rPr>
            </w:pPr>
            <w:r>
              <w:rPr>
                <w:rFonts w:ascii="仿宋_GB2312" w:eastAsia="仿宋_GB2312" w:hAnsi="新宋体" w:cs="仿宋_GB2312"/>
                <w:kern w:val="0"/>
                <w:szCs w:val="21"/>
              </w:rPr>
              <w:t>评价要点：</w:t>
            </w:r>
          </w:p>
          <w:p w14:paraId="73799867" w14:textId="77777777" w:rsidR="00507105" w:rsidRDefault="00000000">
            <w:pPr>
              <w:widowControl/>
              <w:spacing w:line="240" w:lineRule="exact"/>
              <w:jc w:val="left"/>
              <w:rPr>
                <w:szCs w:val="21"/>
              </w:rPr>
            </w:pPr>
            <w:r>
              <w:rPr>
                <w:rFonts w:ascii="仿宋_GB2312" w:eastAsia="仿宋_GB2312" w:hAnsi="新宋体" w:cs="仿宋_GB2312"/>
                <w:kern w:val="0"/>
                <w:szCs w:val="21"/>
              </w:rPr>
              <w:t>1.资产保存完整；</w:t>
            </w:r>
          </w:p>
          <w:p w14:paraId="1AD8A05B" w14:textId="77777777" w:rsidR="00507105" w:rsidRDefault="00000000">
            <w:pPr>
              <w:widowControl/>
              <w:spacing w:line="240" w:lineRule="exact"/>
              <w:jc w:val="left"/>
              <w:rPr>
                <w:szCs w:val="21"/>
              </w:rPr>
            </w:pPr>
            <w:r>
              <w:rPr>
                <w:rFonts w:ascii="仿宋_GB2312" w:eastAsia="仿宋_GB2312" w:hAnsi="新宋体" w:cs="仿宋_GB2312"/>
                <w:kern w:val="0"/>
                <w:szCs w:val="21"/>
              </w:rPr>
              <w:t>2.资产账务管理是否合规，</w:t>
            </w:r>
            <w:r>
              <w:rPr>
                <w:rFonts w:ascii="仿宋_GB2312" w:eastAsia="仿宋_GB2312" w:hAnsi="新宋体" w:cs="仿宋_GB2312" w:hint="eastAsia"/>
                <w:kern w:val="0"/>
                <w:szCs w:val="21"/>
              </w:rPr>
              <w:t>账实相符</w:t>
            </w:r>
            <w:r>
              <w:rPr>
                <w:rFonts w:ascii="仿宋_GB2312" w:eastAsia="仿宋_GB2312" w:hAnsi="新宋体" w:cs="仿宋_GB2312"/>
                <w:kern w:val="0"/>
                <w:szCs w:val="21"/>
              </w:rPr>
              <w:t>；</w:t>
            </w:r>
          </w:p>
          <w:p w14:paraId="038C7D22" w14:textId="77777777" w:rsidR="00507105" w:rsidRDefault="00000000">
            <w:pPr>
              <w:widowControl/>
              <w:spacing w:line="240" w:lineRule="exact"/>
              <w:jc w:val="left"/>
              <w:rPr>
                <w:szCs w:val="21"/>
              </w:rPr>
            </w:pPr>
            <w:r>
              <w:rPr>
                <w:rFonts w:ascii="仿宋_GB2312" w:eastAsia="仿宋_GB2312" w:hAnsi="新宋体" w:cs="仿宋_GB2312"/>
                <w:kern w:val="0"/>
                <w:szCs w:val="21"/>
              </w:rPr>
              <w:t>3.资产有偿使用及处置收入及时足额上缴。</w:t>
            </w:r>
          </w:p>
        </w:tc>
        <w:tc>
          <w:tcPr>
            <w:tcW w:w="2373" w:type="dxa"/>
            <w:tcBorders>
              <w:top w:val="single" w:sz="4" w:space="0" w:color="auto"/>
              <w:left w:val="single" w:sz="4" w:space="0" w:color="auto"/>
              <w:bottom w:val="single" w:sz="4" w:space="0" w:color="000000"/>
              <w:right w:val="single" w:sz="4" w:space="0" w:color="auto"/>
            </w:tcBorders>
            <w:vAlign w:val="center"/>
          </w:tcPr>
          <w:p w14:paraId="3FA92C10"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符合全部三项（3）；</w:t>
            </w:r>
          </w:p>
          <w:p w14:paraId="580C29D1"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65AD261E" w14:textId="77777777" w:rsidR="00507105" w:rsidRDefault="00000000">
            <w:pPr>
              <w:widowControl/>
              <w:spacing w:line="240" w:lineRule="exact"/>
              <w:jc w:val="left"/>
              <w:rPr>
                <w:szCs w:val="21"/>
              </w:rPr>
            </w:pPr>
            <w:r>
              <w:rPr>
                <w:rFonts w:ascii="仿宋_GB2312" w:eastAsia="仿宋_GB2312" w:hAnsi="新宋体" w:cs="仿宋_GB2312"/>
                <w:kern w:val="0"/>
                <w:szCs w:val="21"/>
              </w:rPr>
              <w:t>符合其中一项（1）；</w:t>
            </w:r>
          </w:p>
          <w:p w14:paraId="3E9C3C04"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符合零项（0）。</w:t>
            </w:r>
          </w:p>
        </w:tc>
        <w:tc>
          <w:tcPr>
            <w:tcW w:w="764" w:type="dxa"/>
            <w:tcBorders>
              <w:top w:val="single" w:sz="4" w:space="0" w:color="auto"/>
              <w:left w:val="single" w:sz="4" w:space="0" w:color="auto"/>
              <w:bottom w:val="single" w:sz="4" w:space="0" w:color="000000"/>
              <w:right w:val="single" w:sz="4" w:space="0" w:color="000000"/>
            </w:tcBorders>
            <w:vAlign w:val="center"/>
          </w:tcPr>
          <w:p w14:paraId="0AB74D9B" w14:textId="77777777" w:rsidR="00507105" w:rsidRDefault="00000000">
            <w:pPr>
              <w:widowControl/>
              <w:spacing w:line="240" w:lineRule="exact"/>
              <w:jc w:val="left"/>
              <w:rPr>
                <w:szCs w:val="21"/>
              </w:rPr>
            </w:pPr>
            <w:r>
              <w:rPr>
                <w:rFonts w:hint="eastAsia"/>
                <w:szCs w:val="21"/>
              </w:rPr>
              <w:t>2</w:t>
            </w:r>
          </w:p>
        </w:tc>
      </w:tr>
      <w:tr w:rsidR="00507105" w14:paraId="54875627"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7FED9EE0"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59F4E6CB" w14:textId="77777777" w:rsidR="00507105" w:rsidRDefault="00507105">
            <w:pPr>
              <w:spacing w:line="240" w:lineRule="exact"/>
              <w:rPr>
                <w:rFonts w:ascii="宋体"/>
                <w:szCs w:val="21"/>
              </w:rPr>
            </w:pPr>
          </w:p>
        </w:tc>
        <w:tc>
          <w:tcPr>
            <w:tcW w:w="1275" w:type="dxa"/>
            <w:tcBorders>
              <w:top w:val="single" w:sz="4" w:space="0" w:color="auto"/>
              <w:left w:val="single" w:sz="4" w:space="0" w:color="000000"/>
              <w:bottom w:val="single" w:sz="4" w:space="0" w:color="000000"/>
              <w:right w:val="single" w:sz="4" w:space="0" w:color="auto"/>
            </w:tcBorders>
            <w:vAlign w:val="center"/>
          </w:tcPr>
          <w:p w14:paraId="2346D77C" w14:textId="77777777" w:rsidR="00507105" w:rsidRDefault="00000000">
            <w:pPr>
              <w:widowControl/>
              <w:spacing w:line="240" w:lineRule="exact"/>
              <w:jc w:val="left"/>
              <w:rPr>
                <w:szCs w:val="21"/>
              </w:rPr>
            </w:pPr>
            <w:r>
              <w:rPr>
                <w:rFonts w:ascii="仿宋_GB2312" w:eastAsia="仿宋_GB2312" w:hAnsi="新宋体" w:cs="仿宋_GB2312"/>
                <w:kern w:val="0"/>
                <w:szCs w:val="21"/>
              </w:rPr>
              <w:t>固定资产利用率（</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436" w:type="dxa"/>
            <w:tcBorders>
              <w:top w:val="single" w:sz="4" w:space="0" w:color="auto"/>
              <w:left w:val="single" w:sz="4" w:space="0" w:color="auto"/>
              <w:bottom w:val="single" w:sz="4" w:space="0" w:color="000000"/>
              <w:right w:val="single" w:sz="4" w:space="0" w:color="auto"/>
            </w:tcBorders>
            <w:vAlign w:val="center"/>
          </w:tcPr>
          <w:p w14:paraId="6FC56C70" w14:textId="77777777" w:rsidR="00507105" w:rsidRDefault="00000000">
            <w:pPr>
              <w:widowControl/>
              <w:spacing w:line="240" w:lineRule="exact"/>
              <w:jc w:val="left"/>
              <w:rPr>
                <w:szCs w:val="21"/>
              </w:rPr>
            </w:pPr>
            <w:r>
              <w:rPr>
                <w:rFonts w:ascii="仿宋_GB2312" w:eastAsia="仿宋_GB2312" w:hAnsi="新宋体" w:cs="仿宋_GB2312"/>
                <w:kern w:val="0"/>
                <w:szCs w:val="21"/>
              </w:rPr>
              <w:t>部门实际在用固定资产总额与所有固定资产总额的比率，用以反映和评价部门固定资产使用效率。</w:t>
            </w:r>
          </w:p>
          <w:p w14:paraId="03DDEDF7" w14:textId="77777777" w:rsidR="00507105" w:rsidRDefault="00000000">
            <w:pPr>
              <w:widowControl/>
              <w:spacing w:line="240" w:lineRule="exact"/>
              <w:jc w:val="left"/>
              <w:rPr>
                <w:szCs w:val="21"/>
              </w:rPr>
            </w:pPr>
            <w:r>
              <w:rPr>
                <w:rFonts w:ascii="仿宋_GB2312" w:eastAsia="仿宋_GB2312" w:hAnsi="新宋体" w:cs="仿宋_GB2312"/>
                <w:kern w:val="0"/>
                <w:szCs w:val="21"/>
              </w:rPr>
              <w:t>固定资产利用率=（实际在用固定资产总额/所有固定资产总额）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373" w:type="dxa"/>
            <w:tcBorders>
              <w:top w:val="single" w:sz="4" w:space="0" w:color="auto"/>
              <w:left w:val="single" w:sz="4" w:space="0" w:color="auto"/>
              <w:bottom w:val="single" w:sz="4" w:space="0" w:color="000000"/>
              <w:right w:val="single" w:sz="4" w:space="0" w:color="auto"/>
            </w:tcBorders>
            <w:vAlign w:val="center"/>
          </w:tcPr>
          <w:p w14:paraId="73FED825"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1.固定资产利用率大于或等于95%的，得满分；</w:t>
            </w:r>
          </w:p>
          <w:p w14:paraId="12B70538"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2.固定资产利用率小于或等于85%的，得0分；</w:t>
            </w:r>
          </w:p>
          <w:p w14:paraId="124FFFE7"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3.固定资产利用率在85%-95%之间的，在0和满分之间计算确定：</w:t>
            </w:r>
          </w:p>
          <w:p w14:paraId="2218EA21"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得分=［某部门固定资产利用率-min（固定资产利用率）］/［max（固定资产利用率）-min（固定资产利用率）］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14:paraId="30DACA15" w14:textId="77777777" w:rsidR="00507105" w:rsidRDefault="00000000">
            <w:pPr>
              <w:widowControl/>
              <w:spacing w:line="240" w:lineRule="exact"/>
              <w:jc w:val="left"/>
              <w:rPr>
                <w:szCs w:val="21"/>
              </w:rPr>
            </w:pPr>
            <w:r>
              <w:rPr>
                <w:rFonts w:hint="eastAsia"/>
                <w:szCs w:val="21"/>
              </w:rPr>
              <w:t>3</w:t>
            </w:r>
          </w:p>
        </w:tc>
      </w:tr>
      <w:tr w:rsidR="00507105" w14:paraId="3DE034DD" w14:textId="77777777">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14:paraId="6700FDCB" w14:textId="77777777" w:rsidR="00507105" w:rsidRDefault="00000000">
            <w:pPr>
              <w:widowControl/>
              <w:spacing w:line="240" w:lineRule="exact"/>
              <w:jc w:val="left"/>
              <w:rPr>
                <w:szCs w:val="21"/>
              </w:rPr>
            </w:pPr>
            <w:r>
              <w:rPr>
                <w:rFonts w:ascii="仿宋_GB2312" w:eastAsia="仿宋_GB2312" w:hAnsi="新宋体" w:cs="仿宋_GB2312"/>
                <w:kern w:val="0"/>
                <w:szCs w:val="21"/>
              </w:rPr>
              <w:lastRenderedPageBreak/>
              <w:t>产出(2</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14:paraId="2C15369B" w14:textId="77777777" w:rsidR="00507105" w:rsidRDefault="00000000">
            <w:pPr>
              <w:widowControl/>
              <w:spacing w:line="240" w:lineRule="exact"/>
              <w:jc w:val="left"/>
              <w:rPr>
                <w:szCs w:val="21"/>
              </w:rPr>
            </w:pPr>
            <w:r>
              <w:rPr>
                <w:rFonts w:ascii="仿宋_GB2312" w:eastAsia="仿宋_GB2312" w:hAnsi="新宋体" w:cs="仿宋_GB2312"/>
                <w:kern w:val="0"/>
                <w:szCs w:val="21"/>
              </w:rPr>
              <w:t>职责履行</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（2</w:t>
            </w:r>
            <w:r>
              <w:rPr>
                <w:rFonts w:ascii="仿宋_GB2312" w:eastAsia="仿宋_GB2312" w:hAnsi="新宋体" w:cs="仿宋_GB2312" w:hint="eastAsia"/>
                <w:kern w:val="0"/>
                <w:szCs w:val="21"/>
              </w:rPr>
              <w:t>5</w:t>
            </w:r>
            <w:r>
              <w:rPr>
                <w:rFonts w:ascii="仿宋_GB2312" w:eastAsia="仿宋_GB2312" w:hAnsi="新宋体" w:cs="仿宋_GB2312"/>
                <w:kern w:val="0"/>
                <w:szCs w:val="21"/>
              </w:rPr>
              <w:t>）</w:t>
            </w:r>
          </w:p>
        </w:tc>
        <w:tc>
          <w:tcPr>
            <w:tcW w:w="1275" w:type="dxa"/>
            <w:tcBorders>
              <w:top w:val="single" w:sz="4" w:space="0" w:color="000000"/>
              <w:left w:val="single" w:sz="4" w:space="0" w:color="000000"/>
              <w:bottom w:val="single" w:sz="4" w:space="0" w:color="auto"/>
              <w:right w:val="single" w:sz="4" w:space="0" w:color="auto"/>
            </w:tcBorders>
            <w:vAlign w:val="center"/>
          </w:tcPr>
          <w:p w14:paraId="44DC9454" w14:textId="77777777" w:rsidR="00507105" w:rsidRDefault="00000000">
            <w:pPr>
              <w:widowControl/>
              <w:spacing w:line="240" w:lineRule="exact"/>
              <w:jc w:val="left"/>
              <w:rPr>
                <w:szCs w:val="21"/>
              </w:rPr>
            </w:pPr>
            <w:r>
              <w:rPr>
                <w:rFonts w:ascii="仿宋_GB2312" w:eastAsia="仿宋_GB2312" w:hAnsi="新宋体" w:cs="仿宋_GB2312" w:hint="eastAsia"/>
                <w:kern w:val="0"/>
                <w:szCs w:val="21"/>
              </w:rPr>
              <w:t>履职完成情况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10分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14:paraId="5D3320F2" w14:textId="77777777" w:rsidR="00507105"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ascii="仿宋" w:eastAsia="仿宋" w:hAnsi="仿宋" w:cs="仿宋" w:hint="eastAsia"/>
                <w:color w:val="000000"/>
                <w:kern w:val="0"/>
                <w:szCs w:val="21"/>
              </w:rPr>
              <w:br/>
              <w:t xml:space="preserve">1.每项任务是否已制定了明确、具体、可量化、可衡量的绩效指标；           </w:t>
            </w:r>
            <w:r>
              <w:rPr>
                <w:rFonts w:ascii="仿宋" w:eastAsia="仿宋" w:hAnsi="仿宋" w:cs="仿宋" w:hint="eastAsia"/>
                <w:color w:val="000000"/>
                <w:kern w:val="0"/>
                <w:szCs w:val="21"/>
              </w:rPr>
              <w:br/>
              <w:t>2.每项任务绩效指标的完成情况，是全部完成、基本完成、未完成，还是未实施；</w:t>
            </w:r>
            <w:r>
              <w:rPr>
                <w:rFonts w:ascii="仿宋" w:eastAsia="仿宋" w:hAnsi="仿宋" w:cs="仿宋" w:hint="eastAsia"/>
                <w:color w:val="000000"/>
                <w:kern w:val="0"/>
                <w:szCs w:val="21"/>
              </w:rPr>
              <w:br/>
              <w:t>3.每项任务实施效果情况，是优秀、良好、一般，还是无效果；</w:t>
            </w:r>
            <w:r>
              <w:rPr>
                <w:rFonts w:ascii="仿宋" w:eastAsia="仿宋" w:hAnsi="仿宋" w:cs="仿宋" w:hint="eastAsia"/>
                <w:color w:val="000000"/>
                <w:kern w:val="0"/>
                <w:szCs w:val="21"/>
              </w:rPr>
              <w:br/>
              <w:t>4.每项任务是否建立了目标责任制，是否落实到具体部门和人员负责。</w:t>
            </w:r>
          </w:p>
        </w:tc>
        <w:tc>
          <w:tcPr>
            <w:tcW w:w="2373" w:type="dxa"/>
            <w:tcBorders>
              <w:top w:val="single" w:sz="4" w:space="0" w:color="000000"/>
              <w:left w:val="single" w:sz="4" w:space="0" w:color="auto"/>
              <w:bottom w:val="single" w:sz="4" w:space="0" w:color="auto"/>
              <w:right w:val="single" w:sz="4" w:space="0" w:color="auto"/>
            </w:tcBorders>
            <w:vAlign w:val="center"/>
          </w:tcPr>
          <w:p w14:paraId="0D83DA3B" w14:textId="77777777" w:rsidR="00507105"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根据不同部门履职的内容和特点，具体测算部门履职工作任务目标的完成情况。</w:t>
            </w:r>
          </w:p>
        </w:tc>
        <w:tc>
          <w:tcPr>
            <w:tcW w:w="764" w:type="dxa"/>
            <w:tcBorders>
              <w:top w:val="single" w:sz="4" w:space="0" w:color="000000"/>
              <w:left w:val="single" w:sz="4" w:space="0" w:color="auto"/>
              <w:bottom w:val="single" w:sz="4" w:space="0" w:color="auto"/>
              <w:right w:val="single" w:sz="4" w:space="0" w:color="000000"/>
            </w:tcBorders>
            <w:vAlign w:val="center"/>
          </w:tcPr>
          <w:p w14:paraId="1657B5A5" w14:textId="77777777" w:rsidR="00507105" w:rsidRDefault="00000000">
            <w:pPr>
              <w:widowControl/>
              <w:spacing w:line="240" w:lineRule="exact"/>
              <w:jc w:val="left"/>
              <w:rPr>
                <w:szCs w:val="21"/>
              </w:rPr>
            </w:pPr>
            <w:r>
              <w:rPr>
                <w:rFonts w:hint="eastAsia"/>
                <w:szCs w:val="21"/>
              </w:rPr>
              <w:t>10</w:t>
            </w:r>
          </w:p>
        </w:tc>
      </w:tr>
      <w:tr w:rsidR="00507105" w14:paraId="6BE804D7" w14:textId="77777777">
        <w:trPr>
          <w:trHeight w:val="3090"/>
        </w:trPr>
        <w:tc>
          <w:tcPr>
            <w:tcW w:w="779" w:type="dxa"/>
            <w:vMerge/>
            <w:tcBorders>
              <w:top w:val="single" w:sz="4" w:space="0" w:color="000000"/>
              <w:left w:val="single" w:sz="4" w:space="0" w:color="000000"/>
              <w:bottom w:val="single" w:sz="4" w:space="0" w:color="000000"/>
              <w:right w:val="single" w:sz="4" w:space="0" w:color="000000"/>
            </w:tcBorders>
            <w:vAlign w:val="center"/>
          </w:tcPr>
          <w:p w14:paraId="5D58C56B" w14:textId="77777777" w:rsidR="00507105" w:rsidRDefault="00507105">
            <w:pPr>
              <w:spacing w:line="240" w:lineRule="exact"/>
              <w:rPr>
                <w:rFonts w:ascii="宋体"/>
                <w:szCs w:val="21"/>
              </w:rPr>
            </w:pPr>
          </w:p>
        </w:tc>
        <w:tc>
          <w:tcPr>
            <w:tcW w:w="743" w:type="dxa"/>
            <w:vMerge/>
            <w:tcBorders>
              <w:top w:val="single" w:sz="4" w:space="0" w:color="000000"/>
              <w:left w:val="single" w:sz="4" w:space="0" w:color="000000"/>
              <w:bottom w:val="single" w:sz="4" w:space="0" w:color="000000"/>
              <w:right w:val="single" w:sz="4" w:space="0" w:color="000000"/>
            </w:tcBorders>
            <w:vAlign w:val="center"/>
          </w:tcPr>
          <w:p w14:paraId="319A907C" w14:textId="77777777" w:rsidR="00507105" w:rsidRDefault="00507105">
            <w:pPr>
              <w:spacing w:line="240" w:lineRule="exact"/>
              <w:rPr>
                <w:rFonts w:ascii="宋体"/>
                <w:szCs w:val="21"/>
              </w:rPr>
            </w:pPr>
          </w:p>
        </w:tc>
        <w:tc>
          <w:tcPr>
            <w:tcW w:w="1275" w:type="dxa"/>
            <w:tcBorders>
              <w:top w:val="single" w:sz="4" w:space="0" w:color="000000"/>
              <w:left w:val="single" w:sz="4" w:space="0" w:color="000000"/>
              <w:right w:val="single" w:sz="4" w:space="0" w:color="auto"/>
            </w:tcBorders>
            <w:vAlign w:val="center"/>
          </w:tcPr>
          <w:p w14:paraId="11A5AD22" w14:textId="77777777" w:rsidR="00507105" w:rsidRDefault="00000000">
            <w:pPr>
              <w:widowControl/>
              <w:spacing w:line="240" w:lineRule="exact"/>
              <w:jc w:val="left"/>
              <w:rPr>
                <w:szCs w:val="21"/>
              </w:rPr>
            </w:pPr>
            <w:r>
              <w:rPr>
                <w:rFonts w:ascii="仿宋_GB2312" w:eastAsia="仿宋_GB2312" w:hAnsi="新宋体" w:cs="仿宋_GB2312"/>
                <w:kern w:val="0"/>
                <w:szCs w:val="21"/>
              </w:rPr>
              <w:t>项目</w:t>
            </w:r>
            <w:r>
              <w:rPr>
                <w:rFonts w:ascii="仿宋_GB2312" w:eastAsia="仿宋_GB2312" w:hAnsi="新宋体" w:cs="仿宋_GB2312" w:hint="eastAsia"/>
                <w:kern w:val="0"/>
                <w:szCs w:val="21"/>
              </w:rPr>
              <w:t>完成</w:t>
            </w:r>
            <w:r>
              <w:rPr>
                <w:rFonts w:ascii="仿宋_GB2312" w:eastAsia="仿宋_GB2312" w:hAnsi="新宋体" w:cs="仿宋_GB2312"/>
                <w:kern w:val="0"/>
                <w:szCs w:val="21"/>
              </w:rPr>
              <w:t>质量达标率（</w:t>
            </w:r>
            <w:r>
              <w:rPr>
                <w:rFonts w:ascii="仿宋_GB2312" w:eastAsia="仿宋_GB2312" w:hAnsi="新宋体" w:cs="仿宋_GB2312" w:hint="eastAsia"/>
                <w:kern w:val="0"/>
                <w:szCs w:val="21"/>
              </w:rPr>
              <w:t>15</w:t>
            </w:r>
            <w:r>
              <w:rPr>
                <w:rFonts w:ascii="仿宋_GB2312" w:eastAsia="仿宋_GB2312" w:hAnsi="新宋体" w:cs="仿宋_GB2312"/>
                <w:kern w:val="0"/>
                <w:szCs w:val="21"/>
              </w:rPr>
              <w:t>）</w:t>
            </w:r>
          </w:p>
        </w:tc>
        <w:tc>
          <w:tcPr>
            <w:tcW w:w="3436" w:type="dxa"/>
            <w:tcBorders>
              <w:top w:val="single" w:sz="4" w:space="0" w:color="000000"/>
              <w:left w:val="single" w:sz="4" w:space="0" w:color="auto"/>
              <w:right w:val="single" w:sz="4" w:space="0" w:color="auto"/>
            </w:tcBorders>
            <w:vAlign w:val="center"/>
          </w:tcPr>
          <w:p w14:paraId="1BEF9ACA"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部门已完成项目中质量达标项目个数占已完成项目个数的比率,用以反映和评价部门履职质量目标的实现程度。</w:t>
            </w:r>
          </w:p>
          <w:p w14:paraId="5211FC04" w14:textId="77777777" w:rsidR="00507105" w:rsidRDefault="00000000">
            <w:pPr>
              <w:widowControl/>
              <w:spacing w:line="240" w:lineRule="exact"/>
              <w:jc w:val="left"/>
              <w:rPr>
                <w:szCs w:val="21"/>
              </w:rPr>
            </w:pPr>
            <w:r>
              <w:rPr>
                <w:rFonts w:ascii="仿宋_GB2312" w:eastAsia="仿宋_GB2312" w:hAnsi="新宋体" w:cs="仿宋_GB2312"/>
                <w:kern w:val="0"/>
                <w:szCs w:val="21"/>
              </w:rPr>
              <w:t>项目质量达标率=（已完成项目中质量达标项目个数/已完成项目个数）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16FE0DFB"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项目质量达标是指项目决算验收合格。</w:t>
            </w:r>
          </w:p>
        </w:tc>
        <w:tc>
          <w:tcPr>
            <w:tcW w:w="2373" w:type="dxa"/>
            <w:tcBorders>
              <w:top w:val="single" w:sz="4" w:space="0" w:color="000000"/>
              <w:left w:val="single" w:sz="4" w:space="0" w:color="auto"/>
              <w:right w:val="single" w:sz="4" w:space="0" w:color="auto"/>
            </w:tcBorders>
            <w:vAlign w:val="center"/>
          </w:tcPr>
          <w:p w14:paraId="2B6B1892"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1.项目质量达标率等于100%的，得满分；</w:t>
            </w:r>
          </w:p>
          <w:p w14:paraId="469A7055"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2.项目质量达标率小于或等于99%的，得0分；</w:t>
            </w:r>
          </w:p>
          <w:p w14:paraId="2DD437CF"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 xml:space="preserve">3.项目质量达标率在99%-100%之间的，在0和满分之间计算确定： </w:t>
            </w:r>
          </w:p>
          <w:p w14:paraId="416DCC40"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得分=［某部门项目质量达标率-min（项目质量达标率）］/［max（项目质量达标率）-min（项目质量达标率）］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764" w:type="dxa"/>
            <w:tcBorders>
              <w:top w:val="single" w:sz="4" w:space="0" w:color="000000"/>
              <w:left w:val="single" w:sz="4" w:space="0" w:color="auto"/>
              <w:bottom w:val="single" w:sz="4" w:space="0" w:color="auto"/>
              <w:right w:val="single" w:sz="4" w:space="0" w:color="000000"/>
            </w:tcBorders>
            <w:vAlign w:val="center"/>
          </w:tcPr>
          <w:p w14:paraId="2C419B1A" w14:textId="77777777" w:rsidR="00507105" w:rsidRDefault="00000000">
            <w:pPr>
              <w:widowControl/>
              <w:spacing w:line="240" w:lineRule="exact"/>
              <w:jc w:val="left"/>
              <w:rPr>
                <w:szCs w:val="21"/>
              </w:rPr>
            </w:pPr>
            <w:r>
              <w:rPr>
                <w:rFonts w:hint="eastAsia"/>
                <w:szCs w:val="21"/>
              </w:rPr>
              <w:t>15</w:t>
            </w:r>
          </w:p>
        </w:tc>
      </w:tr>
      <w:tr w:rsidR="00507105" w14:paraId="4372A301" w14:textId="77777777">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14:paraId="3F0EA87D" w14:textId="77777777" w:rsidR="00507105" w:rsidRDefault="00000000">
            <w:pPr>
              <w:widowControl/>
              <w:spacing w:line="240" w:lineRule="exact"/>
              <w:jc w:val="left"/>
              <w:rPr>
                <w:szCs w:val="21"/>
              </w:rPr>
            </w:pPr>
            <w:r>
              <w:rPr>
                <w:rFonts w:ascii="仿宋_GB2312" w:eastAsia="仿宋_GB2312" w:hAnsi="新宋体" w:cs="仿宋_GB2312"/>
                <w:kern w:val="0"/>
                <w:szCs w:val="21"/>
              </w:rPr>
              <w:t>效果（</w:t>
            </w:r>
            <w:r>
              <w:rPr>
                <w:rFonts w:ascii="仿宋_GB2312" w:eastAsia="仿宋_GB2312" w:hAnsi="新宋体" w:cs="仿宋_GB2312" w:hint="eastAsia"/>
                <w:kern w:val="0"/>
                <w:szCs w:val="21"/>
              </w:rPr>
              <w:t>2</w:t>
            </w:r>
            <w:r>
              <w:rPr>
                <w:rFonts w:ascii="仿宋_GB2312" w:eastAsia="仿宋_GB2312" w:hAnsi="新宋体" w:cs="仿宋_GB2312"/>
                <w:kern w:val="0"/>
                <w:szCs w:val="21"/>
              </w:rPr>
              <w:t>0</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743" w:type="dxa"/>
            <w:vMerge w:val="restart"/>
            <w:tcBorders>
              <w:top w:val="single" w:sz="4" w:space="0" w:color="auto"/>
              <w:left w:val="single" w:sz="4" w:space="0" w:color="000000"/>
              <w:right w:val="single" w:sz="4" w:space="0" w:color="000000"/>
            </w:tcBorders>
            <w:vAlign w:val="center"/>
          </w:tcPr>
          <w:p w14:paraId="30628AF8" w14:textId="77777777" w:rsidR="00507105" w:rsidRDefault="00507105">
            <w:pPr>
              <w:widowControl/>
              <w:spacing w:line="240" w:lineRule="exact"/>
              <w:jc w:val="left"/>
              <w:rPr>
                <w:rFonts w:ascii="仿宋_GB2312" w:eastAsia="仿宋_GB2312" w:hAnsi="新宋体" w:cs="仿宋_GB2312" w:hint="eastAsia"/>
                <w:kern w:val="0"/>
                <w:szCs w:val="21"/>
              </w:rPr>
            </w:pPr>
          </w:p>
          <w:p w14:paraId="4F7A117A" w14:textId="77777777" w:rsidR="00507105"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履职效益情况</w:t>
            </w:r>
          </w:p>
          <w:p w14:paraId="18FD56CE" w14:textId="77777777" w:rsidR="00507105"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2</w:t>
            </w:r>
            <w:r>
              <w:rPr>
                <w:rFonts w:ascii="仿宋_GB2312" w:eastAsia="仿宋_GB2312" w:hAnsi="新宋体" w:cs="仿宋_GB2312"/>
                <w:kern w:val="0"/>
                <w:szCs w:val="21"/>
              </w:rPr>
              <w:t>0</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1275" w:type="dxa"/>
            <w:tcBorders>
              <w:top w:val="single" w:sz="4" w:space="0" w:color="000000"/>
              <w:left w:val="single" w:sz="4" w:space="0" w:color="000000"/>
              <w:bottom w:val="single" w:sz="4" w:space="0" w:color="000000"/>
              <w:right w:val="single" w:sz="4" w:space="0" w:color="auto"/>
            </w:tcBorders>
            <w:vAlign w:val="center"/>
          </w:tcPr>
          <w:p w14:paraId="49F7DC60" w14:textId="77777777" w:rsidR="00507105" w:rsidRDefault="00000000">
            <w:pPr>
              <w:widowControl/>
              <w:spacing w:line="240" w:lineRule="exact"/>
              <w:jc w:val="left"/>
              <w:rPr>
                <w:szCs w:val="21"/>
              </w:rPr>
            </w:pPr>
            <w:r>
              <w:rPr>
                <w:rFonts w:ascii="仿宋_GB2312" w:eastAsia="仿宋_GB2312" w:hAnsi="新宋体" w:cs="仿宋_GB2312" w:hint="eastAsia"/>
                <w:color w:val="000000"/>
                <w:kern w:val="0"/>
                <w:szCs w:val="21"/>
              </w:rPr>
              <w:t>经济效益</w:t>
            </w: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14:paraId="44CE29EA" w14:textId="77777777" w:rsidR="00507105"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部门及所属二级单位通过履行职责和预算安排支出项目的实施，对我市带来的经济影响。</w:t>
            </w:r>
          </w:p>
          <w:p w14:paraId="342AC416" w14:textId="77777777" w:rsidR="00507105" w:rsidRDefault="00000000">
            <w:pPr>
              <w:widowControl/>
              <w:spacing w:line="240" w:lineRule="exact"/>
              <w:jc w:val="left"/>
              <w:textAlignment w:val="center"/>
              <w:rPr>
                <w:rFonts w:ascii="仿宋" w:eastAsia="仿宋" w:hAnsi="仿宋" w:cs="仿宋" w:hint="eastAsia"/>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 xml:space="preserve">1.通过部门所属企事业单位改革，促进了企事业单位效益增长情况；          </w:t>
            </w:r>
            <w:r>
              <w:rPr>
                <w:rFonts w:ascii="仿宋" w:eastAsia="仿宋" w:hAnsi="仿宋" w:cs="仿宋" w:hint="eastAsia"/>
                <w:color w:val="000000"/>
                <w:kern w:val="0"/>
                <w:szCs w:val="21"/>
              </w:rPr>
              <w:br/>
              <w:t>2.通过预算支出项目的实施，促进了行业生产能力增长，从而带动行业经济效益增长；</w:t>
            </w:r>
            <w:r>
              <w:rPr>
                <w:rFonts w:ascii="仿宋" w:eastAsia="仿宋" w:hAnsi="仿宋" w:cs="仿宋" w:hint="eastAsia"/>
                <w:color w:val="000000"/>
                <w:kern w:val="0"/>
                <w:szCs w:val="21"/>
              </w:rPr>
              <w:br/>
              <w:t>3.通过预算支出项目的实施，有效提高劳动效率，节约成本费用；</w:t>
            </w:r>
            <w:r>
              <w:rPr>
                <w:rFonts w:ascii="仿宋" w:eastAsia="仿宋" w:hAnsi="仿宋" w:cs="仿宋" w:hint="eastAsia"/>
                <w:color w:val="000000"/>
                <w:kern w:val="0"/>
                <w:szCs w:val="21"/>
              </w:rPr>
              <w:br/>
              <w:t>4.通过预算支出项目的实施，降低了损耗，从而提高了生产效益；</w:t>
            </w:r>
            <w:r>
              <w:rPr>
                <w:rFonts w:ascii="仿宋" w:eastAsia="仿宋" w:hAnsi="仿宋" w:cs="仿宋" w:hint="eastAsia"/>
                <w:color w:val="000000"/>
                <w:kern w:val="0"/>
                <w:szCs w:val="21"/>
              </w:rPr>
              <w:br/>
              <w:t>5.通过预算支出项目的实施，完善了突发情况的监测预警，保障了生产安全，降低了生产损失。</w:t>
            </w:r>
          </w:p>
        </w:tc>
        <w:tc>
          <w:tcPr>
            <w:tcW w:w="2373" w:type="dxa"/>
            <w:tcBorders>
              <w:top w:val="single" w:sz="4" w:space="0" w:color="000000"/>
              <w:left w:val="single" w:sz="4" w:space="0" w:color="auto"/>
              <w:bottom w:val="single" w:sz="4" w:space="0" w:color="000000"/>
              <w:right w:val="single" w:sz="4" w:space="0" w:color="auto"/>
            </w:tcBorders>
            <w:vAlign w:val="center"/>
          </w:tcPr>
          <w:p w14:paraId="67B13DCE" w14:textId="77777777" w:rsidR="00507105" w:rsidRDefault="00000000">
            <w:pPr>
              <w:widowControl/>
              <w:spacing w:line="240" w:lineRule="exact"/>
              <w:jc w:val="left"/>
              <w:textAlignment w:val="center"/>
              <w:rPr>
                <w:rFonts w:ascii="仿宋" w:eastAsia="仿宋" w:hAnsi="仿宋" w:cs="仿宋" w:hint="eastAsia"/>
                <w:szCs w:val="21"/>
              </w:rPr>
            </w:pPr>
            <w:r>
              <w:rPr>
                <w:rFonts w:ascii="仿宋" w:eastAsia="仿宋" w:hAnsi="仿宋" w:cs="仿宋" w:hint="eastAsia"/>
                <w:color w:val="000000"/>
                <w:kern w:val="0"/>
                <w:szCs w:val="21"/>
              </w:rPr>
              <w:t>根据不同部门履职的内容和特点，具体测算部门履职产生的经济效益。</w:t>
            </w:r>
          </w:p>
        </w:tc>
        <w:tc>
          <w:tcPr>
            <w:tcW w:w="764" w:type="dxa"/>
            <w:tcBorders>
              <w:top w:val="single" w:sz="4" w:space="0" w:color="000000"/>
              <w:left w:val="single" w:sz="4" w:space="0" w:color="auto"/>
              <w:bottom w:val="single" w:sz="4" w:space="0" w:color="000000"/>
              <w:right w:val="single" w:sz="4" w:space="0" w:color="000000"/>
            </w:tcBorders>
            <w:vAlign w:val="center"/>
          </w:tcPr>
          <w:p w14:paraId="159D026C" w14:textId="77777777" w:rsidR="00507105" w:rsidRDefault="00000000">
            <w:pPr>
              <w:widowControl/>
              <w:spacing w:line="240" w:lineRule="exact"/>
              <w:jc w:val="left"/>
              <w:rPr>
                <w:szCs w:val="21"/>
              </w:rPr>
            </w:pPr>
            <w:r>
              <w:rPr>
                <w:rFonts w:hint="eastAsia"/>
                <w:szCs w:val="21"/>
              </w:rPr>
              <w:t>5</w:t>
            </w:r>
          </w:p>
        </w:tc>
      </w:tr>
      <w:tr w:rsidR="00507105" w14:paraId="02AFE3DF" w14:textId="77777777">
        <w:trPr>
          <w:trHeight w:val="68"/>
        </w:trPr>
        <w:tc>
          <w:tcPr>
            <w:tcW w:w="779" w:type="dxa"/>
            <w:vMerge/>
            <w:tcBorders>
              <w:left w:val="single" w:sz="4" w:space="0" w:color="000000"/>
              <w:right w:val="single" w:sz="4" w:space="0" w:color="000000"/>
            </w:tcBorders>
            <w:vAlign w:val="center"/>
          </w:tcPr>
          <w:p w14:paraId="1FE438EE"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743" w:type="dxa"/>
            <w:vMerge/>
            <w:tcBorders>
              <w:left w:val="single" w:sz="4" w:space="0" w:color="000000"/>
              <w:right w:val="single" w:sz="4" w:space="0" w:color="000000"/>
            </w:tcBorders>
            <w:vAlign w:val="center"/>
          </w:tcPr>
          <w:p w14:paraId="1168B497"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78E4CC2F" w14:textId="77777777" w:rsidR="00507105" w:rsidRDefault="00000000">
            <w:pPr>
              <w:widowControl/>
              <w:spacing w:line="240" w:lineRule="exac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社会效益（5分）</w:t>
            </w:r>
          </w:p>
        </w:tc>
        <w:tc>
          <w:tcPr>
            <w:tcW w:w="3436" w:type="dxa"/>
            <w:tcBorders>
              <w:top w:val="single" w:sz="4" w:space="0" w:color="000000"/>
              <w:left w:val="single" w:sz="4" w:space="0" w:color="auto"/>
              <w:bottom w:val="single" w:sz="4" w:space="0" w:color="000000"/>
              <w:right w:val="single" w:sz="4" w:space="0" w:color="auto"/>
            </w:tcBorders>
            <w:vAlign w:val="center"/>
          </w:tcPr>
          <w:p w14:paraId="7C7A2447" w14:textId="77777777" w:rsidR="00507105" w:rsidRDefault="00000000">
            <w:pPr>
              <w:widowControl/>
              <w:spacing w:line="240" w:lineRule="exac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部门及所属二级单位履行职责对社会发展所带来的直接或间接影响。</w:t>
            </w:r>
          </w:p>
          <w:p w14:paraId="74CEA5B6" w14:textId="77777777" w:rsidR="00507105" w:rsidRDefault="00000000">
            <w:pPr>
              <w:widowControl/>
              <w:spacing w:line="240" w:lineRule="exac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 xml:space="preserve">1.通过部门所属企事业单位的改革，促进了企事业单位可持续发展，带动就业增长情况；          </w:t>
            </w:r>
            <w:r>
              <w:rPr>
                <w:rFonts w:ascii="仿宋" w:eastAsia="仿宋" w:hAnsi="仿宋" w:cs="仿宋" w:hint="eastAsia"/>
                <w:color w:val="000000"/>
                <w:kern w:val="0"/>
                <w:szCs w:val="21"/>
              </w:rPr>
              <w:br/>
              <w:t>2.通过预算支出项目的实施，是否明显促进了行业精神文明建设；</w:t>
            </w:r>
            <w:r>
              <w:rPr>
                <w:rFonts w:ascii="仿宋" w:eastAsia="仿宋" w:hAnsi="仿宋" w:cs="仿宋" w:hint="eastAsia"/>
                <w:color w:val="000000"/>
                <w:kern w:val="0"/>
                <w:szCs w:val="21"/>
              </w:rPr>
              <w:br/>
            </w:r>
            <w:r>
              <w:rPr>
                <w:rFonts w:ascii="仿宋" w:eastAsia="仿宋" w:hAnsi="仿宋" w:cs="仿宋" w:hint="eastAsia"/>
                <w:color w:val="000000"/>
                <w:kern w:val="0"/>
                <w:szCs w:val="21"/>
              </w:rPr>
              <w:lastRenderedPageBreak/>
              <w:t>3.通过部门履职是否明显提高城乡居民生活水平，满足了人们日益增长的物质与文化生活需求；</w:t>
            </w:r>
            <w:r>
              <w:rPr>
                <w:rFonts w:ascii="仿宋" w:eastAsia="仿宋" w:hAnsi="仿宋" w:cs="仿宋" w:hint="eastAsia"/>
                <w:color w:val="000000"/>
                <w:kern w:val="0"/>
                <w:szCs w:val="21"/>
              </w:rPr>
              <w:br/>
              <w:t>4.通过预算项目的实施，是否提高了劳动生产率，降低了劳动强度，促进了劳动人民的身心健康；</w:t>
            </w:r>
            <w:r>
              <w:rPr>
                <w:rFonts w:ascii="仿宋" w:eastAsia="仿宋" w:hAnsi="仿宋" w:cs="仿宋" w:hint="eastAsia"/>
                <w:color w:val="000000"/>
                <w:kern w:val="0"/>
                <w:szCs w:val="21"/>
              </w:rPr>
              <w:br/>
              <w:t>5.通过部门履职行业形象是否得到了大大提升了，增强了部门影响力。</w:t>
            </w:r>
          </w:p>
        </w:tc>
        <w:tc>
          <w:tcPr>
            <w:tcW w:w="2373" w:type="dxa"/>
            <w:tcBorders>
              <w:top w:val="single" w:sz="4" w:space="0" w:color="000000"/>
              <w:left w:val="single" w:sz="4" w:space="0" w:color="auto"/>
              <w:bottom w:val="single" w:sz="4" w:space="0" w:color="000000"/>
              <w:right w:val="single" w:sz="4" w:space="0" w:color="auto"/>
            </w:tcBorders>
            <w:vAlign w:val="center"/>
          </w:tcPr>
          <w:p w14:paraId="36B822F1" w14:textId="77777777" w:rsidR="00507105" w:rsidRDefault="00000000">
            <w:pPr>
              <w:widowControl/>
              <w:spacing w:line="240" w:lineRule="exact"/>
              <w:textAlignment w:val="center"/>
              <w:rPr>
                <w:rFonts w:ascii="仿宋" w:eastAsia="仿宋" w:hAnsi="仿宋" w:cs="仿宋" w:hint="eastAsia"/>
                <w:szCs w:val="21"/>
              </w:rPr>
            </w:pPr>
            <w:r>
              <w:rPr>
                <w:rFonts w:ascii="仿宋" w:eastAsia="仿宋" w:hAnsi="仿宋" w:cs="仿宋" w:hint="eastAsia"/>
                <w:color w:val="000000"/>
                <w:kern w:val="0"/>
                <w:szCs w:val="21"/>
              </w:rPr>
              <w:lastRenderedPageBreak/>
              <w:t>根据不同部门履职的内容和特点，具体测算部门履职产生的社会效益。</w:t>
            </w:r>
          </w:p>
        </w:tc>
        <w:tc>
          <w:tcPr>
            <w:tcW w:w="764" w:type="dxa"/>
            <w:tcBorders>
              <w:top w:val="single" w:sz="4" w:space="0" w:color="000000"/>
              <w:left w:val="single" w:sz="4" w:space="0" w:color="auto"/>
              <w:bottom w:val="single" w:sz="4" w:space="0" w:color="000000"/>
              <w:right w:val="single" w:sz="4" w:space="0" w:color="000000"/>
            </w:tcBorders>
            <w:vAlign w:val="center"/>
          </w:tcPr>
          <w:p w14:paraId="512139B6" w14:textId="77777777" w:rsidR="00507105" w:rsidRDefault="00000000">
            <w:pPr>
              <w:widowControl/>
              <w:spacing w:line="240" w:lineRule="exact"/>
              <w:jc w:val="left"/>
              <w:rPr>
                <w:szCs w:val="21"/>
              </w:rPr>
            </w:pPr>
            <w:r>
              <w:rPr>
                <w:rFonts w:hint="eastAsia"/>
                <w:szCs w:val="21"/>
              </w:rPr>
              <w:t>5</w:t>
            </w:r>
          </w:p>
        </w:tc>
      </w:tr>
      <w:tr w:rsidR="00507105" w14:paraId="7157286B" w14:textId="77777777">
        <w:trPr>
          <w:trHeight w:val="68"/>
        </w:trPr>
        <w:tc>
          <w:tcPr>
            <w:tcW w:w="779" w:type="dxa"/>
            <w:vMerge/>
            <w:tcBorders>
              <w:left w:val="single" w:sz="4" w:space="0" w:color="000000"/>
              <w:right w:val="single" w:sz="4" w:space="0" w:color="000000"/>
            </w:tcBorders>
            <w:vAlign w:val="center"/>
          </w:tcPr>
          <w:p w14:paraId="30C592F1"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743" w:type="dxa"/>
            <w:vMerge/>
            <w:tcBorders>
              <w:left w:val="single" w:sz="4" w:space="0" w:color="000000"/>
              <w:right w:val="single" w:sz="4" w:space="0" w:color="000000"/>
            </w:tcBorders>
            <w:vAlign w:val="center"/>
          </w:tcPr>
          <w:p w14:paraId="26A2F27C" w14:textId="77777777" w:rsidR="00507105" w:rsidRDefault="00507105">
            <w:pPr>
              <w:widowControl/>
              <w:spacing w:line="240" w:lineRule="exact"/>
              <w:jc w:val="left"/>
              <w:rPr>
                <w:rFonts w:ascii="仿宋_GB2312" w:eastAsia="仿宋_GB2312" w:hAnsi="新宋体" w:cs="仿宋_GB2312" w:hint="eastAsia"/>
                <w:kern w:val="0"/>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543D3BBD" w14:textId="77777777" w:rsidR="00507105"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生态效益（5分）</w:t>
            </w:r>
          </w:p>
        </w:tc>
        <w:tc>
          <w:tcPr>
            <w:tcW w:w="3436" w:type="dxa"/>
            <w:tcBorders>
              <w:top w:val="single" w:sz="4" w:space="0" w:color="000000"/>
              <w:left w:val="single" w:sz="4" w:space="0" w:color="auto"/>
              <w:bottom w:val="single" w:sz="4" w:space="0" w:color="000000"/>
              <w:right w:val="single" w:sz="4" w:space="0" w:color="auto"/>
            </w:tcBorders>
            <w:vAlign w:val="center"/>
          </w:tcPr>
          <w:p w14:paraId="4C29A072" w14:textId="77777777" w:rsidR="00507105"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部门及所属二级单位履行职责对生态环境所带来的直接或间接影响。</w:t>
            </w:r>
          </w:p>
          <w:p w14:paraId="73FD06A2" w14:textId="77777777" w:rsidR="00507105"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1.通过预算支出项目的实施，绿色、节能环保新技术的应用和推广，明显带动各环节的节能减排，也具有一定的环境效益；</w:t>
            </w:r>
            <w:r>
              <w:rPr>
                <w:rFonts w:ascii="仿宋" w:eastAsia="仿宋" w:hAnsi="仿宋" w:cs="仿宋" w:hint="eastAsia"/>
                <w:color w:val="000000"/>
                <w:kern w:val="0"/>
                <w:szCs w:val="21"/>
              </w:rPr>
              <w:br/>
              <w:t>2.通过履职有效地控制虚假、伪劣、霉变等劣质产品进入市场，影响了人民生活质量，净化地市场环境；</w:t>
            </w:r>
            <w:r>
              <w:rPr>
                <w:rFonts w:ascii="仿宋" w:eastAsia="仿宋" w:hAnsi="仿宋" w:cs="仿宋" w:hint="eastAsia"/>
                <w:color w:val="000000"/>
                <w:kern w:val="0"/>
                <w:szCs w:val="21"/>
              </w:rPr>
              <w:br/>
              <w:t>3.通过预算支出项目的实施，是否达到减少污染物排放；</w:t>
            </w:r>
            <w:r>
              <w:rPr>
                <w:rFonts w:ascii="仿宋" w:eastAsia="仿宋" w:hAnsi="仿宋" w:cs="仿宋" w:hint="eastAsia"/>
                <w:color w:val="000000"/>
                <w:kern w:val="0"/>
                <w:szCs w:val="21"/>
              </w:rPr>
              <w:br/>
              <w:t>4.通过预算支出项目的实施，周围环境得到了整治，面貌得到了改善。</w:t>
            </w:r>
          </w:p>
        </w:tc>
        <w:tc>
          <w:tcPr>
            <w:tcW w:w="2373" w:type="dxa"/>
            <w:tcBorders>
              <w:top w:val="single" w:sz="4" w:space="0" w:color="000000"/>
              <w:left w:val="single" w:sz="4" w:space="0" w:color="auto"/>
              <w:bottom w:val="single" w:sz="4" w:space="0" w:color="000000"/>
              <w:right w:val="single" w:sz="4" w:space="0" w:color="auto"/>
            </w:tcBorders>
            <w:vAlign w:val="center"/>
          </w:tcPr>
          <w:p w14:paraId="4CF47128" w14:textId="77777777" w:rsidR="00507105"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根据不同部门履职的内容和特点，具体测算部门履职产生的生态效益。</w:t>
            </w:r>
          </w:p>
        </w:tc>
        <w:tc>
          <w:tcPr>
            <w:tcW w:w="764" w:type="dxa"/>
            <w:tcBorders>
              <w:top w:val="single" w:sz="4" w:space="0" w:color="000000"/>
              <w:left w:val="single" w:sz="4" w:space="0" w:color="auto"/>
              <w:bottom w:val="single" w:sz="4" w:space="0" w:color="000000"/>
              <w:right w:val="single" w:sz="4" w:space="0" w:color="000000"/>
            </w:tcBorders>
            <w:vAlign w:val="center"/>
          </w:tcPr>
          <w:p w14:paraId="58A5F28E" w14:textId="77777777" w:rsidR="00507105" w:rsidRDefault="00000000">
            <w:pPr>
              <w:widowControl/>
              <w:spacing w:line="240" w:lineRule="exact"/>
              <w:jc w:val="left"/>
              <w:rPr>
                <w:szCs w:val="21"/>
              </w:rPr>
            </w:pPr>
            <w:r>
              <w:rPr>
                <w:rFonts w:hint="eastAsia"/>
                <w:szCs w:val="21"/>
              </w:rPr>
              <w:t>5</w:t>
            </w:r>
          </w:p>
        </w:tc>
      </w:tr>
      <w:tr w:rsidR="00507105" w14:paraId="7F62E3AB" w14:textId="77777777">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14:paraId="37B69439" w14:textId="77777777" w:rsidR="00507105" w:rsidRDefault="00507105">
            <w:pPr>
              <w:spacing w:line="240" w:lineRule="exact"/>
              <w:rPr>
                <w:rFonts w:ascii="宋体"/>
                <w:szCs w:val="21"/>
              </w:rPr>
            </w:pPr>
          </w:p>
        </w:tc>
        <w:tc>
          <w:tcPr>
            <w:tcW w:w="743" w:type="dxa"/>
            <w:vMerge/>
            <w:tcBorders>
              <w:left w:val="single" w:sz="4" w:space="0" w:color="000000"/>
              <w:bottom w:val="single" w:sz="4" w:space="0" w:color="auto"/>
              <w:right w:val="single" w:sz="4" w:space="0" w:color="000000"/>
            </w:tcBorders>
            <w:vAlign w:val="center"/>
          </w:tcPr>
          <w:p w14:paraId="72611237" w14:textId="77777777" w:rsidR="00507105" w:rsidRDefault="00507105">
            <w:pPr>
              <w:widowControl/>
              <w:spacing w:line="240" w:lineRule="exact"/>
              <w:jc w:val="left"/>
              <w:rPr>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14:paraId="1104BB13" w14:textId="77777777" w:rsidR="00507105" w:rsidRDefault="00000000">
            <w:pPr>
              <w:widowControl/>
              <w:spacing w:line="240" w:lineRule="exact"/>
              <w:jc w:val="left"/>
              <w:rPr>
                <w:szCs w:val="21"/>
              </w:rPr>
            </w:pPr>
            <w:r>
              <w:rPr>
                <w:rFonts w:ascii="仿宋_GB2312" w:eastAsia="仿宋_GB2312" w:hAnsi="新宋体" w:cs="仿宋_GB2312" w:hint="eastAsia"/>
                <w:kern w:val="0"/>
                <w:szCs w:val="21"/>
              </w:rPr>
              <w:t>服务对象</w:t>
            </w:r>
            <w:r>
              <w:rPr>
                <w:rFonts w:ascii="仿宋_GB2312" w:eastAsia="仿宋_GB2312" w:hAnsi="新宋体" w:cs="仿宋_GB2312"/>
                <w:kern w:val="0"/>
                <w:szCs w:val="21"/>
              </w:rPr>
              <w:t>满意度（5）</w:t>
            </w:r>
          </w:p>
        </w:tc>
        <w:tc>
          <w:tcPr>
            <w:tcW w:w="3436" w:type="dxa"/>
            <w:tcBorders>
              <w:top w:val="single" w:sz="4" w:space="0" w:color="000000"/>
              <w:left w:val="single" w:sz="4" w:space="0" w:color="auto"/>
              <w:bottom w:val="single" w:sz="4" w:space="0" w:color="000000"/>
              <w:right w:val="single" w:sz="4" w:space="0" w:color="auto"/>
            </w:tcBorders>
            <w:vAlign w:val="center"/>
          </w:tcPr>
          <w:p w14:paraId="7D897B60" w14:textId="77777777" w:rsidR="00507105"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hint="eastAsia"/>
                <w:kern w:val="0"/>
                <w:szCs w:val="21"/>
              </w:rPr>
              <w:t>通过对部门（单位）的服务对象对部门履职效果的满意程度调查，反映和考核社会公众或服务对象对部门履职的满意度。</w:t>
            </w:r>
          </w:p>
        </w:tc>
        <w:tc>
          <w:tcPr>
            <w:tcW w:w="2373" w:type="dxa"/>
            <w:tcBorders>
              <w:top w:val="single" w:sz="4" w:space="0" w:color="000000"/>
              <w:left w:val="single" w:sz="4" w:space="0" w:color="auto"/>
              <w:bottom w:val="single" w:sz="4" w:space="0" w:color="000000"/>
              <w:right w:val="single" w:sz="4" w:space="0" w:color="auto"/>
            </w:tcBorders>
            <w:vAlign w:val="center"/>
          </w:tcPr>
          <w:p w14:paraId="1E4F09EA" w14:textId="77777777" w:rsidR="00507105" w:rsidRDefault="00000000">
            <w:pPr>
              <w:widowControl/>
              <w:spacing w:line="240" w:lineRule="exact"/>
              <w:rPr>
                <w:rFonts w:ascii="仿宋" w:eastAsia="仿宋" w:hAnsi="仿宋" w:cs="宋体" w:hint="eastAsia"/>
                <w:kern w:val="0"/>
                <w:szCs w:val="21"/>
              </w:rPr>
            </w:pPr>
            <w:r>
              <w:rPr>
                <w:rFonts w:ascii="仿宋" w:eastAsia="仿宋" w:hAnsi="仿宋" w:cs="Arial"/>
                <w:kern w:val="0"/>
                <w:szCs w:val="21"/>
              </w:rPr>
              <w:t>按照满意度调查的优秀、良好、合格、不合格给予该项指标打分：</w:t>
            </w:r>
          </w:p>
          <w:p w14:paraId="593C092F" w14:textId="77777777" w:rsidR="00507105" w:rsidRDefault="00000000">
            <w:pPr>
              <w:widowControl/>
              <w:spacing w:line="240" w:lineRule="exact"/>
              <w:rPr>
                <w:szCs w:val="21"/>
              </w:rPr>
            </w:pPr>
            <w:r>
              <w:rPr>
                <w:rFonts w:ascii="仿宋" w:eastAsia="仿宋" w:hAnsi="仿宋" w:cs="Arial"/>
                <w:kern w:val="0"/>
                <w:szCs w:val="21"/>
              </w:rPr>
              <w:t>优秀（</w:t>
            </w:r>
            <w:r>
              <w:rPr>
                <w:rFonts w:ascii="仿宋" w:eastAsia="仿宋" w:hAnsi="仿宋" w:cs="Arial" w:hint="eastAsia"/>
                <w:kern w:val="0"/>
                <w:szCs w:val="21"/>
              </w:rPr>
              <w:t>5</w:t>
            </w:r>
            <w:r>
              <w:rPr>
                <w:rFonts w:ascii="仿宋" w:eastAsia="仿宋" w:hAnsi="仿宋" w:cs="Arial"/>
                <w:kern w:val="0"/>
                <w:szCs w:val="21"/>
              </w:rPr>
              <w:t>）；良好（</w:t>
            </w:r>
            <w:r>
              <w:rPr>
                <w:rFonts w:ascii="仿宋" w:eastAsia="仿宋" w:hAnsi="仿宋" w:cs="Arial" w:hint="eastAsia"/>
                <w:kern w:val="0"/>
                <w:szCs w:val="21"/>
              </w:rPr>
              <w:t>3</w:t>
            </w:r>
            <w:r>
              <w:rPr>
                <w:rFonts w:ascii="仿宋" w:eastAsia="仿宋" w:hAnsi="仿宋" w:cs="Arial"/>
                <w:kern w:val="0"/>
                <w:szCs w:val="21"/>
              </w:rPr>
              <w:t>）；合格（</w:t>
            </w:r>
            <w:r>
              <w:rPr>
                <w:rFonts w:ascii="仿宋" w:eastAsia="仿宋" w:hAnsi="仿宋" w:cs="Arial" w:hint="eastAsia"/>
                <w:kern w:val="0"/>
                <w:szCs w:val="21"/>
              </w:rPr>
              <w:t>1</w:t>
            </w:r>
            <w:r>
              <w:rPr>
                <w:rFonts w:ascii="仿宋" w:eastAsia="仿宋" w:hAnsi="仿宋" w:cs="Arial"/>
                <w:kern w:val="0"/>
                <w:szCs w:val="21"/>
              </w:rPr>
              <w:t>）；不合格（</w:t>
            </w:r>
            <w:r>
              <w:rPr>
                <w:rFonts w:ascii="仿宋" w:eastAsia="仿宋" w:hAnsi="仿宋" w:cs="Arial" w:hint="eastAsia"/>
                <w:kern w:val="0"/>
                <w:szCs w:val="21"/>
              </w:rPr>
              <w:t>0</w:t>
            </w:r>
            <w:r>
              <w:rPr>
                <w:rFonts w:ascii="仿宋" w:eastAsia="仿宋" w:hAnsi="仿宋" w:cs="Arial"/>
                <w:kern w:val="0"/>
                <w:szCs w:val="21"/>
              </w:rPr>
              <w:t>）。</w:t>
            </w:r>
          </w:p>
        </w:tc>
        <w:tc>
          <w:tcPr>
            <w:tcW w:w="764" w:type="dxa"/>
            <w:tcBorders>
              <w:top w:val="single" w:sz="4" w:space="0" w:color="000000"/>
              <w:left w:val="single" w:sz="4" w:space="0" w:color="auto"/>
              <w:bottom w:val="single" w:sz="4" w:space="0" w:color="000000"/>
              <w:right w:val="single" w:sz="4" w:space="0" w:color="000000"/>
            </w:tcBorders>
            <w:vAlign w:val="center"/>
          </w:tcPr>
          <w:p w14:paraId="6F392C3C" w14:textId="77777777" w:rsidR="00507105" w:rsidRDefault="00000000">
            <w:pPr>
              <w:widowControl/>
              <w:spacing w:line="240" w:lineRule="exact"/>
              <w:jc w:val="left"/>
              <w:rPr>
                <w:szCs w:val="21"/>
              </w:rPr>
            </w:pPr>
            <w:r>
              <w:rPr>
                <w:rFonts w:hint="eastAsia"/>
                <w:szCs w:val="21"/>
              </w:rPr>
              <w:t>5</w:t>
            </w:r>
          </w:p>
        </w:tc>
      </w:tr>
    </w:tbl>
    <w:p w14:paraId="0FC50A4A" w14:textId="77777777" w:rsidR="00507105" w:rsidRDefault="00507105">
      <w:pPr>
        <w:spacing w:line="240" w:lineRule="exact"/>
        <w:rPr>
          <w:rFonts w:ascii="仿宋" w:eastAsia="仿宋" w:hAnsi="仿宋" w:cs="仿宋" w:hint="eastAsia"/>
          <w:sz w:val="32"/>
          <w:szCs w:val="32"/>
        </w:rPr>
      </w:pPr>
    </w:p>
    <w:p w14:paraId="15287368" w14:textId="77777777" w:rsidR="00507105" w:rsidRDefault="00507105">
      <w:pPr>
        <w:spacing w:line="240" w:lineRule="exact"/>
        <w:rPr>
          <w:rFonts w:ascii="仿宋" w:eastAsia="仿宋" w:hAnsi="仿宋" w:cs="仿宋" w:hint="eastAsia"/>
          <w:sz w:val="32"/>
          <w:szCs w:val="32"/>
        </w:rPr>
      </w:pPr>
    </w:p>
    <w:p w14:paraId="4BE00AF0" w14:textId="77777777" w:rsidR="00507105" w:rsidRDefault="00507105">
      <w:pPr>
        <w:spacing w:line="240" w:lineRule="exact"/>
        <w:rPr>
          <w:rFonts w:ascii="仿宋" w:eastAsia="仿宋" w:hAnsi="仿宋" w:cs="仿宋" w:hint="eastAsia"/>
          <w:sz w:val="32"/>
          <w:szCs w:val="32"/>
        </w:rPr>
      </w:pPr>
    </w:p>
    <w:p w14:paraId="6D106ED4" w14:textId="77777777" w:rsidR="00507105" w:rsidRDefault="00000000">
      <w:pPr>
        <w:spacing w:line="600" w:lineRule="atLeast"/>
        <w:ind w:firstLine="640"/>
        <w:rPr>
          <w:rFonts w:ascii="仿宋" w:eastAsia="仿宋" w:hAnsi="仿宋" w:cs="仿宋" w:hint="eastAsia"/>
          <w:b/>
          <w:bCs/>
          <w:sz w:val="30"/>
          <w:szCs w:val="30"/>
        </w:rPr>
      </w:pPr>
      <w:r>
        <w:rPr>
          <w:rFonts w:ascii="仿宋" w:eastAsia="仿宋" w:hAnsi="仿宋" w:cs="仿宋" w:hint="eastAsia"/>
          <w:b/>
          <w:bCs/>
          <w:sz w:val="30"/>
          <w:szCs w:val="30"/>
        </w:rPr>
        <w:t>部门整体支出绩效评价报告主要内容包括：</w:t>
      </w:r>
    </w:p>
    <w:p w14:paraId="2A78AC75" w14:textId="77777777" w:rsidR="00507105" w:rsidRDefault="00000000">
      <w:pPr>
        <w:spacing w:line="600" w:lineRule="atLeast"/>
        <w:ind w:firstLine="640"/>
        <w:rPr>
          <w:rFonts w:ascii="Times New Roman" w:eastAsia="宋体" w:hAnsi="Times New Roman" w:cs="Times New Roman"/>
          <w:sz w:val="32"/>
          <w:szCs w:val="32"/>
        </w:rPr>
      </w:pPr>
      <w:r>
        <w:rPr>
          <w:rFonts w:ascii="黑体" w:eastAsia="黑体" w:hAnsi="黑体" w:cs="Times New Roman" w:hint="eastAsia"/>
          <w:sz w:val="32"/>
          <w:szCs w:val="32"/>
        </w:rPr>
        <w:t>一、单位概况</w:t>
      </w:r>
    </w:p>
    <w:p w14:paraId="727CDEA4" w14:textId="77777777" w:rsidR="00507105" w:rsidRDefault="00000000">
      <w:pPr>
        <w:spacing w:line="620" w:lineRule="atLeast"/>
        <w:ind w:firstLine="640"/>
        <w:rPr>
          <w:rFonts w:ascii="仿宋" w:eastAsia="仿宋" w:hAnsi="仿宋" w:hint="eastAsia"/>
          <w:sz w:val="32"/>
          <w:szCs w:val="32"/>
        </w:rPr>
      </w:pPr>
      <w:r>
        <w:rPr>
          <w:rFonts w:ascii="仿宋" w:eastAsia="仿宋" w:hAnsi="仿宋" w:cs="Times New Roman" w:hint="eastAsia"/>
          <w:sz w:val="32"/>
          <w:szCs w:val="32"/>
        </w:rPr>
        <w:t>（一）隆尧县退役军人事务局于2019年1月成立，设行政编制7名，事业编制8名。年末在职人员行政编制6人，事业编制7人，共13人。其中：机构改革划转人员5</w:t>
      </w:r>
      <w:r>
        <w:rPr>
          <w:rFonts w:ascii="仿宋" w:eastAsia="仿宋" w:hAnsi="仿宋" w:hint="eastAsia"/>
          <w:sz w:val="32"/>
          <w:szCs w:val="32"/>
        </w:rPr>
        <w:t>名（</w:t>
      </w:r>
      <w:r>
        <w:rPr>
          <w:rFonts w:ascii="仿宋" w:eastAsia="仿宋" w:hAnsi="仿宋" w:cs="Times New Roman" w:hint="eastAsia"/>
          <w:sz w:val="32"/>
          <w:szCs w:val="32"/>
        </w:rPr>
        <w:t>行政人员3名、非参公事业人员2名</w:t>
      </w:r>
      <w:r>
        <w:rPr>
          <w:rFonts w:ascii="仿宋" w:eastAsia="仿宋" w:hAnsi="仿宋" w:hint="eastAsia"/>
          <w:sz w:val="32"/>
          <w:szCs w:val="32"/>
        </w:rPr>
        <w:t>）</w:t>
      </w:r>
      <w:r>
        <w:rPr>
          <w:rFonts w:ascii="仿宋" w:eastAsia="仿宋" w:hAnsi="仿宋" w:cs="Times New Roman" w:hint="eastAsia"/>
          <w:sz w:val="32"/>
          <w:szCs w:val="32"/>
        </w:rPr>
        <w:t>；后又调入人员6</w:t>
      </w:r>
      <w:r>
        <w:rPr>
          <w:rFonts w:ascii="仿宋" w:eastAsia="仿宋" w:hAnsi="仿宋" w:hint="eastAsia"/>
          <w:sz w:val="32"/>
          <w:szCs w:val="32"/>
        </w:rPr>
        <w:t>名（</w:t>
      </w:r>
      <w:r>
        <w:rPr>
          <w:rFonts w:ascii="仿宋" w:eastAsia="仿宋" w:hAnsi="仿宋" w:cs="Times New Roman" w:hint="eastAsia"/>
          <w:sz w:val="32"/>
          <w:szCs w:val="32"/>
        </w:rPr>
        <w:t>行政人员1名，非参公事业人员5名</w:t>
      </w:r>
      <w:r>
        <w:rPr>
          <w:rFonts w:ascii="仿宋" w:eastAsia="仿宋" w:hAnsi="仿宋" w:hint="eastAsia"/>
          <w:sz w:val="32"/>
          <w:szCs w:val="32"/>
        </w:rPr>
        <w:t>）</w:t>
      </w:r>
      <w:r>
        <w:rPr>
          <w:rFonts w:ascii="仿宋" w:eastAsia="仿宋" w:hAnsi="仿宋" w:cs="Times New Roman" w:hint="eastAsia"/>
          <w:sz w:val="32"/>
          <w:szCs w:val="32"/>
        </w:rPr>
        <w:t>；新增招录公务员2名</w:t>
      </w:r>
      <w:r>
        <w:rPr>
          <w:rFonts w:ascii="仿宋" w:eastAsia="仿宋" w:hAnsi="仿宋" w:hint="eastAsia"/>
          <w:sz w:val="32"/>
          <w:szCs w:val="32"/>
        </w:rPr>
        <w:t>。</w:t>
      </w:r>
    </w:p>
    <w:p w14:paraId="3B762720" w14:textId="77777777" w:rsidR="00507105" w:rsidRDefault="00000000">
      <w:pPr>
        <w:spacing w:line="620" w:lineRule="atLeast"/>
        <w:ind w:firstLine="640"/>
        <w:rPr>
          <w:rFonts w:ascii="Times New Roman" w:eastAsia="宋体" w:hAnsi="Times New Roman" w:cs="Times New Roman"/>
          <w:sz w:val="32"/>
          <w:szCs w:val="32"/>
        </w:rPr>
      </w:pPr>
      <w:r>
        <w:rPr>
          <w:rFonts w:ascii="仿宋" w:eastAsia="仿宋" w:hAnsi="仿宋" w:cs="Times New Roman" w:hint="eastAsia"/>
          <w:sz w:val="32"/>
          <w:szCs w:val="32"/>
        </w:rPr>
        <w:t>（二）隆尧县退役军人事务局是县政府工作部门，为正科级。县退役军人事务局内设机构为：综合办公室、拥军优抚股。</w:t>
      </w:r>
    </w:p>
    <w:p w14:paraId="3EC7BFAE" w14:textId="77777777" w:rsidR="00507105" w:rsidRDefault="00000000">
      <w:pPr>
        <w:spacing w:line="620" w:lineRule="atLeast"/>
        <w:ind w:firstLineChars="150" w:firstLine="480"/>
        <w:rPr>
          <w:rFonts w:ascii="仿宋" w:eastAsia="仿宋" w:hAnsi="仿宋" w:hint="eastAsia"/>
          <w:sz w:val="32"/>
          <w:szCs w:val="32"/>
        </w:rPr>
      </w:pPr>
      <w:r>
        <w:rPr>
          <w:rFonts w:ascii="仿宋" w:eastAsia="仿宋" w:hAnsi="仿宋" w:cs="Times New Roman" w:hint="eastAsia"/>
          <w:sz w:val="32"/>
          <w:szCs w:val="32"/>
        </w:rPr>
        <w:lastRenderedPageBreak/>
        <w:t>（三）主要职责：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14:paraId="101153E0" w14:textId="77777777" w:rsidR="00507105" w:rsidRDefault="00000000">
      <w:pPr>
        <w:spacing w:line="620" w:lineRule="exact"/>
        <w:ind w:firstLineChars="113" w:firstLine="362"/>
        <w:rPr>
          <w:rFonts w:ascii="仿宋" w:eastAsia="仿宋" w:hAnsi="仿宋" w:cs="Times New Roman" w:hint="eastAsia"/>
          <w:sz w:val="32"/>
          <w:szCs w:val="32"/>
        </w:rPr>
      </w:pPr>
      <w:r>
        <w:rPr>
          <w:rFonts w:ascii="仿宋" w:eastAsia="仿宋" w:hAnsi="仿宋" w:hint="eastAsia"/>
          <w:sz w:val="32"/>
          <w:szCs w:val="32"/>
        </w:rPr>
        <w:t>（四</w:t>
      </w:r>
      <w:r>
        <w:rPr>
          <w:rFonts w:ascii="仿宋" w:eastAsia="仿宋" w:hAnsi="仿宋" w:cs="Times New Roman" w:hint="eastAsia"/>
          <w:sz w:val="32"/>
          <w:szCs w:val="32"/>
        </w:rPr>
        <w:t>）当年取得的主要事业成效。</w:t>
      </w:r>
    </w:p>
    <w:p w14:paraId="03CB6DCE" w14:textId="77777777" w:rsidR="00507105" w:rsidRDefault="00000000">
      <w:pPr>
        <w:spacing w:line="620" w:lineRule="exact"/>
        <w:ind w:firstLineChars="213" w:firstLine="682"/>
        <w:rPr>
          <w:rFonts w:ascii="仿宋" w:eastAsia="仿宋" w:hAnsi="仿宋" w:cs="Times New Roman" w:hint="eastAsia"/>
          <w:sz w:val="32"/>
          <w:szCs w:val="32"/>
        </w:rPr>
      </w:pPr>
      <w:r>
        <w:rPr>
          <w:rFonts w:ascii="仿宋" w:eastAsia="仿宋" w:hAnsi="仿宋" w:cs="Times New Roman" w:hint="eastAsia"/>
          <w:sz w:val="32"/>
          <w:szCs w:val="32"/>
        </w:rPr>
        <w:t>隆尧县退役军人事务局成立后，在县委、县政府领导下，在同志们的积极配合下，顺利完成了当年上级安排的工作。一是办公场所搬迁后，及时配备办公设备，完善服务大厅设备和各项规章制度，使日常办公走上正规渠道；二是顺利完成了部分退役士兵社会保险接续工作；三是顺利完成安置机关事业单位退役士兵社会保险补缴工作；四是顺利完成2019年转业士官工作分配和待安置期间社会保险缴纳工作；五是成立了退役军人关爱基金会和</w:t>
      </w:r>
      <w:r>
        <w:rPr>
          <w:rFonts w:ascii="仿宋" w:eastAsia="仿宋" w:hAnsi="仿宋" w:cs="Times New Roman" w:hint="eastAsia"/>
          <w:sz w:val="32"/>
          <w:szCs w:val="32"/>
        </w:rPr>
        <w:lastRenderedPageBreak/>
        <w:t>就业创业促进会。</w:t>
      </w:r>
    </w:p>
    <w:p w14:paraId="2E401882" w14:textId="77777777" w:rsidR="00507105" w:rsidRDefault="00000000">
      <w:pPr>
        <w:spacing w:line="620" w:lineRule="atLeast"/>
        <w:ind w:firstLineChars="250" w:firstLine="800"/>
        <w:rPr>
          <w:rFonts w:ascii="Times New Roman" w:eastAsia="宋体" w:hAnsi="Times New Roman" w:cs="Times New Roman"/>
          <w:sz w:val="32"/>
          <w:szCs w:val="32"/>
        </w:rPr>
      </w:pPr>
      <w:r>
        <w:rPr>
          <w:rFonts w:ascii="黑体" w:eastAsia="黑体" w:hAnsi="黑体" w:cs="Times New Roman" w:hint="eastAsia"/>
          <w:sz w:val="32"/>
          <w:szCs w:val="32"/>
        </w:rPr>
        <w:t>二、资金使用及管理情况</w:t>
      </w:r>
    </w:p>
    <w:p w14:paraId="6BF8EE31" w14:textId="77777777" w:rsidR="00507105" w:rsidRDefault="00000000">
      <w:pPr>
        <w:spacing w:line="620" w:lineRule="atLeast"/>
        <w:ind w:firstLine="640"/>
        <w:rPr>
          <w:rFonts w:ascii="Times New Roman" w:eastAsia="宋体" w:hAnsi="Times New Roman" w:cs="Times New Roman"/>
          <w:sz w:val="32"/>
          <w:szCs w:val="32"/>
        </w:rPr>
      </w:pPr>
      <w:r>
        <w:rPr>
          <w:rFonts w:ascii="仿宋" w:eastAsia="仿宋" w:hAnsi="仿宋" w:cs="Times New Roman" w:hint="eastAsia"/>
          <w:sz w:val="32"/>
          <w:szCs w:val="32"/>
        </w:rPr>
        <w:t>（一）总投入资金33761648.16元，其中财政拨款收入33761648.16元。其中：一般公共预算资金33436648.16元；政府性基金预算资金325000元。</w:t>
      </w:r>
    </w:p>
    <w:p w14:paraId="47D6CC21" w14:textId="77777777" w:rsidR="00507105" w:rsidRDefault="00000000">
      <w:pPr>
        <w:spacing w:line="620" w:lineRule="atLeast"/>
        <w:ind w:firstLine="640"/>
        <w:rPr>
          <w:rFonts w:ascii="Times New Roman" w:eastAsia="宋体" w:hAnsi="Times New Roman" w:cs="Times New Roman"/>
          <w:sz w:val="32"/>
          <w:szCs w:val="32"/>
        </w:rPr>
      </w:pPr>
      <w:r>
        <w:rPr>
          <w:rFonts w:ascii="仿宋" w:eastAsia="仿宋" w:hAnsi="仿宋" w:cs="Times New Roman" w:hint="eastAsia"/>
          <w:sz w:val="32"/>
          <w:szCs w:val="32"/>
        </w:rPr>
        <w:t>（二）财政资金使用情况。</w:t>
      </w:r>
    </w:p>
    <w:p w14:paraId="1661F16C" w14:textId="77777777" w:rsidR="00507105" w:rsidRDefault="00000000">
      <w:pPr>
        <w:spacing w:line="620" w:lineRule="atLeast"/>
        <w:ind w:firstLine="640"/>
        <w:rPr>
          <w:rFonts w:ascii="仿宋" w:eastAsia="仿宋" w:hAnsi="仿宋" w:hint="eastAsia"/>
          <w:sz w:val="32"/>
          <w:szCs w:val="32"/>
        </w:rPr>
      </w:pPr>
      <w:r>
        <w:rPr>
          <w:rFonts w:ascii="仿宋" w:eastAsia="仿宋" w:hAnsi="仿宋" w:cs="Times New Roman" w:hint="eastAsia"/>
          <w:sz w:val="32"/>
          <w:szCs w:val="32"/>
        </w:rPr>
        <w:t>一般公共预算资金33436648.16元中社会保障和就业支出31897939.16万元，卫生健康支出1538709元；政府性基金预算资金325000元中城乡社区支出80000元，其他支出245000</w:t>
      </w:r>
      <w:r>
        <w:rPr>
          <w:rFonts w:ascii="仿宋" w:eastAsia="仿宋" w:hAnsi="仿宋" w:hint="eastAsia"/>
          <w:sz w:val="32"/>
          <w:szCs w:val="32"/>
        </w:rPr>
        <w:t>元。</w:t>
      </w:r>
    </w:p>
    <w:p w14:paraId="46777122" w14:textId="77777777" w:rsidR="00507105" w:rsidRDefault="00000000">
      <w:pPr>
        <w:spacing w:line="620" w:lineRule="atLeast"/>
        <w:ind w:firstLine="640"/>
        <w:rPr>
          <w:rFonts w:ascii="仿宋" w:eastAsia="仿宋" w:hAnsi="仿宋" w:cs="Times New Roman" w:hint="eastAsia"/>
          <w:sz w:val="32"/>
          <w:szCs w:val="32"/>
        </w:rPr>
      </w:pPr>
      <w:r>
        <w:rPr>
          <w:rFonts w:ascii="仿宋" w:eastAsia="仿宋" w:hAnsi="仿宋" w:cs="Times New Roman" w:hint="eastAsia"/>
          <w:sz w:val="32"/>
          <w:szCs w:val="32"/>
        </w:rPr>
        <w:t>（三）县退役军人事务局对资金有专门的管理办法，制度完善，执行情况良好。项目经费严格按照单位的财务制度和预算支出范围使用。县退役军人事务局履职尽责组织运行良好，年度各项工作目标任务基本达成。</w:t>
      </w:r>
    </w:p>
    <w:p w14:paraId="6F3C0854" w14:textId="77777777" w:rsidR="00507105" w:rsidRDefault="00000000">
      <w:pPr>
        <w:spacing w:line="620" w:lineRule="atLeast"/>
        <w:ind w:firstLine="641"/>
        <w:rPr>
          <w:rFonts w:ascii="Times New Roman" w:eastAsia="宋体" w:hAnsi="Times New Roman" w:cs="Times New Roman"/>
          <w:sz w:val="32"/>
          <w:szCs w:val="32"/>
        </w:rPr>
      </w:pPr>
      <w:r>
        <w:rPr>
          <w:rFonts w:ascii="黑体" w:eastAsia="黑体" w:hAnsi="黑体" w:cs="Times New Roman" w:hint="eastAsia"/>
          <w:sz w:val="32"/>
          <w:szCs w:val="32"/>
        </w:rPr>
        <w:t>三、项目绩效情况</w:t>
      </w:r>
    </w:p>
    <w:p w14:paraId="6D187CB1" w14:textId="77777777" w:rsidR="00507105" w:rsidRDefault="00000000">
      <w:pPr>
        <w:spacing w:line="620" w:lineRule="atLeast"/>
        <w:ind w:firstLine="641"/>
        <w:rPr>
          <w:rFonts w:ascii="仿宋" w:eastAsia="仿宋" w:hAnsi="仿宋" w:cs="Times New Roman" w:hint="eastAsia"/>
          <w:sz w:val="32"/>
          <w:szCs w:val="32"/>
        </w:rPr>
      </w:pPr>
      <w:r>
        <w:rPr>
          <w:rFonts w:ascii="仿宋" w:eastAsia="仿宋" w:hAnsi="仿宋" w:cs="Times New Roman" w:hint="eastAsia"/>
          <w:sz w:val="32"/>
          <w:szCs w:val="32"/>
        </w:rPr>
        <w:t>1、优抚对象补助资金</w:t>
      </w:r>
    </w:p>
    <w:p w14:paraId="5F748E01" w14:textId="77777777" w:rsidR="00507105" w:rsidRDefault="00000000">
      <w:pPr>
        <w:spacing w:line="620" w:lineRule="atLeast"/>
        <w:ind w:firstLine="641"/>
        <w:rPr>
          <w:rFonts w:ascii="仿宋" w:eastAsia="仿宋" w:hAnsi="仿宋" w:cs="Times New Roman" w:hint="eastAsia"/>
          <w:bCs/>
          <w:sz w:val="32"/>
          <w:szCs w:val="32"/>
        </w:rPr>
      </w:pPr>
      <w:r>
        <w:rPr>
          <w:rFonts w:ascii="仿宋" w:eastAsia="仿宋" w:hAnsi="仿宋" w:cs="Times New Roman" w:hint="eastAsia"/>
          <w:bCs/>
          <w:sz w:val="32"/>
          <w:szCs w:val="32"/>
        </w:rPr>
        <w:t>认真贯彻执行《军人抚恤优待条例》。老复员军人定补、三属定期抚恤金、残疾军人抚恤金、带病回乡、参战、涉核退役人员补助金及</w:t>
      </w:r>
      <w:r>
        <w:rPr>
          <w:rFonts w:ascii="仿宋" w:eastAsia="仿宋" w:hAnsi="仿宋" w:cs="Times New Roman"/>
          <w:bCs/>
          <w:sz w:val="32"/>
          <w:szCs w:val="32"/>
        </w:rPr>
        <w:t>60</w:t>
      </w:r>
      <w:r>
        <w:rPr>
          <w:rFonts w:ascii="仿宋" w:eastAsia="仿宋" w:hAnsi="仿宋" w:cs="Times New Roman" w:hint="eastAsia"/>
          <w:bCs/>
          <w:sz w:val="32"/>
          <w:szCs w:val="32"/>
        </w:rPr>
        <w:t>周岁退役士兵生活补助、烈士子女生活补助每月及时足额发放到位，使优抚对象的基本生活得到有效保障。</w:t>
      </w:r>
    </w:p>
    <w:p w14:paraId="1578B85F" w14:textId="77777777" w:rsidR="00507105" w:rsidRDefault="00000000">
      <w:pPr>
        <w:spacing w:line="620" w:lineRule="atLeast"/>
        <w:ind w:firstLine="641"/>
        <w:rPr>
          <w:rFonts w:ascii="仿宋" w:eastAsia="仿宋" w:hAnsi="仿宋" w:cs="Times New Roman" w:hint="eastAsia"/>
          <w:sz w:val="32"/>
          <w:szCs w:val="32"/>
        </w:rPr>
      </w:pPr>
      <w:r>
        <w:rPr>
          <w:rFonts w:ascii="仿宋" w:eastAsia="仿宋" w:hAnsi="仿宋" w:cs="Times New Roman" w:hint="eastAsia"/>
          <w:sz w:val="32"/>
          <w:szCs w:val="32"/>
        </w:rPr>
        <w:t>2、优抚对象医疗补助资金</w:t>
      </w:r>
    </w:p>
    <w:p w14:paraId="5345DF97" w14:textId="77777777" w:rsidR="00507105" w:rsidRDefault="00000000">
      <w:pPr>
        <w:spacing w:line="620" w:lineRule="atLeast"/>
        <w:ind w:firstLine="641"/>
        <w:rPr>
          <w:rFonts w:ascii="仿宋" w:eastAsia="仿宋" w:hAnsi="仿宋" w:cs="Times New Roman" w:hint="eastAsia"/>
          <w:sz w:val="32"/>
          <w:szCs w:val="32"/>
        </w:rPr>
      </w:pPr>
      <w:r>
        <w:rPr>
          <w:rFonts w:ascii="仿宋" w:eastAsia="仿宋" w:hAnsi="仿宋" w:cs="Times New Roman" w:hint="eastAsia"/>
          <w:sz w:val="32"/>
          <w:szCs w:val="32"/>
        </w:rPr>
        <w:lastRenderedPageBreak/>
        <w:t>针对我县重点优抚对象，通过发放优抚对象医疗补助资金，对优抚对象参保参合缴费、住院和门诊费用进行补助，有效的帮助优抚对象解决医疗难的问题。</w:t>
      </w:r>
    </w:p>
    <w:p w14:paraId="3A9F7DD8" w14:textId="77777777" w:rsidR="00507105" w:rsidRDefault="00000000">
      <w:pPr>
        <w:spacing w:line="620" w:lineRule="atLeast"/>
        <w:ind w:firstLine="641"/>
        <w:rPr>
          <w:rFonts w:ascii="仿宋" w:eastAsia="仿宋" w:hAnsi="仿宋" w:cs="Times New Roman" w:hint="eastAsia"/>
          <w:sz w:val="32"/>
          <w:szCs w:val="32"/>
        </w:rPr>
      </w:pPr>
      <w:r>
        <w:rPr>
          <w:rFonts w:ascii="仿宋" w:eastAsia="仿宋" w:hAnsi="仿宋" w:cs="Times New Roman" w:hint="eastAsia"/>
          <w:sz w:val="32"/>
          <w:szCs w:val="32"/>
        </w:rPr>
        <w:t>3、退役安置补助资金</w:t>
      </w:r>
    </w:p>
    <w:p w14:paraId="13ABA715" w14:textId="77777777" w:rsidR="00507105" w:rsidRDefault="00000000">
      <w:pPr>
        <w:pStyle w:val="aa"/>
        <w:shd w:val="clear" w:color="auto" w:fill="FFFFFF"/>
        <w:spacing w:beforeAutospacing="0" w:afterAutospacing="0" w:line="620" w:lineRule="atLeast"/>
        <w:ind w:firstLine="641"/>
        <w:jc w:val="both"/>
        <w:rPr>
          <w:rFonts w:ascii="仿宋" w:eastAsia="仿宋" w:hAnsi="仿宋" w:cs="仿宋_GB2312" w:hint="eastAsia"/>
          <w:color w:val="000000"/>
          <w:sz w:val="32"/>
          <w:szCs w:val="32"/>
          <w:shd w:val="clear" w:color="auto" w:fill="FFFFFF"/>
        </w:rPr>
      </w:pPr>
      <w:r>
        <w:rPr>
          <w:rFonts w:ascii="仿宋" w:eastAsia="仿宋" w:hAnsi="仿宋" w:hint="eastAsia"/>
          <w:kern w:val="2"/>
          <w:sz w:val="32"/>
          <w:szCs w:val="32"/>
        </w:rPr>
        <w:t>为了更好的提升退役士兵的就业技能，定期开展退役士兵业务技能培训、生活帮扶和文体娱乐活动，搭建就业创业服务平台，积极为退伍军人排忧解难。通过发放各项军休经费，提高接收军队离退休干部及家属、遗属医疗、生活住房等保障待遇，维护服务管理机构正常运转，提高无军籍职工生活待遇，保持无军籍职工队伍基本稳定</w:t>
      </w:r>
      <w:r>
        <w:rPr>
          <w:rFonts w:ascii="仿宋" w:eastAsia="仿宋" w:hAnsi="仿宋" w:hint="eastAsia"/>
          <w:sz w:val="32"/>
          <w:szCs w:val="32"/>
        </w:rPr>
        <w:t>。</w:t>
      </w:r>
    </w:p>
    <w:p w14:paraId="3B357B6A" w14:textId="77777777" w:rsidR="00507105" w:rsidRDefault="00000000">
      <w:pPr>
        <w:spacing w:line="620" w:lineRule="atLeast"/>
        <w:rPr>
          <w:rFonts w:ascii="Times New Roman" w:eastAsia="宋体" w:hAnsi="Times New Roman" w:cs="Times New Roman"/>
          <w:sz w:val="32"/>
          <w:szCs w:val="32"/>
        </w:rPr>
      </w:pPr>
      <w:r>
        <w:rPr>
          <w:rFonts w:ascii="宋体" w:eastAsia="宋体" w:hAnsi="宋体" w:cs="Times New Roman" w:hint="eastAsia"/>
          <w:sz w:val="32"/>
          <w:szCs w:val="32"/>
        </w:rPr>
        <w:t xml:space="preserve">  </w:t>
      </w:r>
      <w:r>
        <w:rPr>
          <w:rFonts w:ascii="黑体" w:eastAsia="黑体" w:hAnsi="黑体" w:cs="Times New Roman" w:hint="eastAsia"/>
          <w:sz w:val="32"/>
          <w:szCs w:val="32"/>
        </w:rPr>
        <w:t>四、其他需要说明的问题</w:t>
      </w:r>
    </w:p>
    <w:p w14:paraId="0DCC607C" w14:textId="3E5916DE" w:rsidR="00507105" w:rsidRDefault="00000000">
      <w:pPr>
        <w:spacing w:line="620" w:lineRule="atLeast"/>
        <w:ind w:firstLine="640"/>
        <w:rPr>
          <w:rFonts w:ascii="Times New Roman" w:eastAsia="宋体" w:hAnsi="Times New Roman" w:cs="Times New Roman"/>
          <w:sz w:val="32"/>
          <w:szCs w:val="32"/>
        </w:rPr>
      </w:pPr>
      <w:r>
        <w:rPr>
          <w:rFonts w:ascii="仿宋" w:eastAsia="仿宋" w:hAnsi="仿宋" w:cs="Times New Roman" w:hint="eastAsia"/>
          <w:sz w:val="32"/>
          <w:szCs w:val="32"/>
        </w:rPr>
        <w:t>（一）由于县退役军人事务局于2019年1月成立，当年预算资金民政局于2019年5月划转过来我单位，我县优抚对象和军休人员银行化资金由县财政局预算股代发，所以2019年上半年优抚资金仍由民政局发放。本报告中的涉及该项财务数据所属期间为2019年8月至12月。</w:t>
      </w:r>
    </w:p>
    <w:p w14:paraId="749E39C1" w14:textId="77777777" w:rsidR="00507105" w:rsidRDefault="00000000">
      <w:pPr>
        <w:spacing w:line="620" w:lineRule="exact"/>
        <w:ind w:firstLineChars="213" w:firstLine="682"/>
        <w:rPr>
          <w:rFonts w:ascii="仿宋" w:eastAsia="仿宋" w:hAnsi="仿宋" w:cs="Times New Roman" w:hint="eastAsia"/>
          <w:sz w:val="32"/>
          <w:szCs w:val="32"/>
        </w:rPr>
      </w:pPr>
      <w:r>
        <w:rPr>
          <w:rFonts w:ascii="仿宋" w:eastAsia="仿宋" w:hAnsi="仿宋" w:cs="Times New Roman" w:hint="eastAsia"/>
          <w:sz w:val="32"/>
          <w:szCs w:val="32"/>
        </w:rPr>
        <w:t>（二）隆尧县光荣院资产由民政局整体划转过来，年末资产为其他用车一辆，价值5万元。</w:t>
      </w:r>
    </w:p>
    <w:p w14:paraId="751A909B" w14:textId="77777777" w:rsidR="00507105" w:rsidRDefault="00000000">
      <w:pPr>
        <w:spacing w:line="620" w:lineRule="exact"/>
        <w:ind w:firstLineChars="213" w:firstLine="682"/>
        <w:rPr>
          <w:rFonts w:ascii="仿宋" w:eastAsia="仿宋" w:hAnsi="仿宋" w:cs="Times New Roman" w:hint="eastAsia"/>
          <w:sz w:val="32"/>
          <w:szCs w:val="32"/>
        </w:rPr>
      </w:pPr>
      <w:r>
        <w:rPr>
          <w:rFonts w:ascii="仿宋" w:eastAsia="仿宋" w:hAnsi="仿宋" w:cs="Times New Roman" w:hint="eastAsia"/>
          <w:sz w:val="32"/>
          <w:szCs w:val="32"/>
        </w:rPr>
        <w:t>（三）我局为 2019年新成立单位，项目预算资金由民政局划转过来，所以没有三公经费预算资金。</w:t>
      </w:r>
    </w:p>
    <w:p w14:paraId="172A6EF1" w14:textId="77777777" w:rsidR="00507105" w:rsidRDefault="00507105">
      <w:pPr>
        <w:spacing w:line="220" w:lineRule="atLeast"/>
      </w:pPr>
    </w:p>
    <w:p w14:paraId="51EEC4EE" w14:textId="77777777" w:rsidR="00507105" w:rsidRDefault="00507105">
      <w:pPr>
        <w:rPr>
          <w:rFonts w:ascii="仿宋" w:eastAsia="仿宋" w:hAnsi="仿宋" w:cs="仿宋" w:hint="eastAsia"/>
          <w:b/>
          <w:bCs/>
          <w:sz w:val="30"/>
          <w:szCs w:val="30"/>
        </w:rPr>
      </w:pPr>
    </w:p>
    <w:sectPr w:rsidR="00507105">
      <w:footerReference w:type="even" r:id="rId6"/>
      <w:footerReference w:type="default" r:id="rId7"/>
      <w:pgSz w:w="11906" w:h="16838"/>
      <w:pgMar w:top="1985" w:right="1418" w:bottom="1985" w:left="1418" w:header="851" w:footer="1701" w:gutter="0"/>
      <w:cols w:space="425"/>
      <w:docGrid w:type="lines" w:linePitch="3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9C838" w14:textId="77777777" w:rsidR="00163401" w:rsidRDefault="00163401">
      <w:r>
        <w:separator/>
      </w:r>
    </w:p>
  </w:endnote>
  <w:endnote w:type="continuationSeparator" w:id="0">
    <w:p w14:paraId="6805E71F" w14:textId="77777777" w:rsidR="00163401" w:rsidRDefault="00163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F1871" w14:textId="77777777" w:rsidR="00507105" w:rsidRDefault="00000000">
    <w:pPr>
      <w:pStyle w:val="a6"/>
      <w:framePr w:wrap="around" w:vAnchor="text" w:hAnchor="margin" w:xAlign="outside" w:y="1"/>
      <w:rPr>
        <w:rStyle w:val="ac"/>
      </w:rPr>
    </w:pPr>
    <w:r>
      <w:rPr>
        <w:rStyle w:val="ac"/>
      </w:rPr>
      <w:fldChar w:fldCharType="begin"/>
    </w:r>
    <w:r>
      <w:rPr>
        <w:rStyle w:val="ac"/>
      </w:rPr>
      <w:instrText xml:space="preserve">PAGE  </w:instrText>
    </w:r>
    <w:r>
      <w:rPr>
        <w:rStyle w:val="ac"/>
      </w:rPr>
      <w:fldChar w:fldCharType="end"/>
    </w:r>
  </w:p>
  <w:p w14:paraId="230987C9" w14:textId="77777777" w:rsidR="00507105" w:rsidRDefault="00507105">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D21D5" w14:textId="77777777" w:rsidR="00507105" w:rsidRDefault="00000000">
    <w:pPr>
      <w:pStyle w:val="a6"/>
      <w:framePr w:wrap="around" w:vAnchor="text" w:hAnchor="margin" w:xAlign="outside" w:y="1"/>
      <w:rPr>
        <w:rStyle w:val="ac"/>
        <w:rFonts w:ascii="宋体" w:eastAsia="宋体" w:hAnsi="宋体" w:hint="eastAsia"/>
        <w:sz w:val="28"/>
        <w:szCs w:val="28"/>
      </w:rPr>
    </w:pPr>
    <w:r>
      <w:rPr>
        <w:rStyle w:val="ac"/>
        <w:rFonts w:ascii="宋体" w:eastAsia="宋体" w:hAnsi="宋体" w:hint="eastAsia"/>
        <w:sz w:val="28"/>
        <w:szCs w:val="28"/>
      </w:rPr>
      <w:t>-</w:t>
    </w:r>
    <w:r>
      <w:rPr>
        <w:rStyle w:val="ac"/>
        <w:rFonts w:ascii="宋体" w:eastAsia="宋体" w:hAnsi="宋体"/>
        <w:sz w:val="28"/>
        <w:szCs w:val="28"/>
      </w:rPr>
      <w:fldChar w:fldCharType="begin"/>
    </w:r>
    <w:r>
      <w:rPr>
        <w:rStyle w:val="ac"/>
        <w:rFonts w:ascii="宋体" w:eastAsia="宋体" w:hAnsi="宋体"/>
        <w:sz w:val="28"/>
        <w:szCs w:val="28"/>
      </w:rPr>
      <w:instrText xml:space="preserve">PAGE  </w:instrText>
    </w:r>
    <w:r>
      <w:rPr>
        <w:rStyle w:val="ac"/>
        <w:rFonts w:ascii="宋体" w:eastAsia="宋体" w:hAnsi="宋体"/>
        <w:sz w:val="28"/>
        <w:szCs w:val="28"/>
      </w:rPr>
      <w:fldChar w:fldCharType="separate"/>
    </w:r>
    <w:r>
      <w:rPr>
        <w:rStyle w:val="ac"/>
        <w:rFonts w:ascii="宋体" w:eastAsia="宋体" w:hAnsi="宋体"/>
        <w:sz w:val="28"/>
        <w:szCs w:val="28"/>
      </w:rPr>
      <w:t>6</w:t>
    </w:r>
    <w:r>
      <w:rPr>
        <w:rStyle w:val="ac"/>
        <w:rFonts w:ascii="宋体" w:eastAsia="宋体" w:hAnsi="宋体"/>
        <w:sz w:val="28"/>
        <w:szCs w:val="28"/>
      </w:rPr>
      <w:fldChar w:fldCharType="end"/>
    </w:r>
    <w:r>
      <w:rPr>
        <w:rStyle w:val="ac"/>
        <w:rFonts w:ascii="宋体" w:eastAsia="宋体" w:hAnsi="宋体" w:hint="eastAsia"/>
        <w:sz w:val="28"/>
        <w:szCs w:val="28"/>
      </w:rPr>
      <w:t>-</w:t>
    </w:r>
  </w:p>
  <w:p w14:paraId="0D67B2B6" w14:textId="77777777" w:rsidR="00507105" w:rsidRDefault="00507105">
    <w:pPr>
      <w:pStyle w:val="a6"/>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0A38BC" w14:textId="77777777" w:rsidR="00163401" w:rsidRDefault="00163401">
      <w:r>
        <w:separator/>
      </w:r>
    </w:p>
  </w:footnote>
  <w:footnote w:type="continuationSeparator" w:id="0">
    <w:p w14:paraId="4C584C1D" w14:textId="77777777" w:rsidR="00163401" w:rsidRDefault="001634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313"/>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042933"/>
    <w:rsid w:val="00002F2C"/>
    <w:rsid w:val="000070A8"/>
    <w:rsid w:val="00016CA4"/>
    <w:rsid w:val="000324AE"/>
    <w:rsid w:val="00042933"/>
    <w:rsid w:val="0008033E"/>
    <w:rsid w:val="0008759D"/>
    <w:rsid w:val="00094F2B"/>
    <w:rsid w:val="000B0A83"/>
    <w:rsid w:val="000B6322"/>
    <w:rsid w:val="000C2CC1"/>
    <w:rsid w:val="000D6B82"/>
    <w:rsid w:val="000E3464"/>
    <w:rsid w:val="000E4A5A"/>
    <w:rsid w:val="00103547"/>
    <w:rsid w:val="00163401"/>
    <w:rsid w:val="0017068B"/>
    <w:rsid w:val="00185A3C"/>
    <w:rsid w:val="00192D5A"/>
    <w:rsid w:val="001C59B3"/>
    <w:rsid w:val="001E0886"/>
    <w:rsid w:val="001F7E31"/>
    <w:rsid w:val="002071BC"/>
    <w:rsid w:val="00225AE6"/>
    <w:rsid w:val="00235F0F"/>
    <w:rsid w:val="00255783"/>
    <w:rsid w:val="00290BA1"/>
    <w:rsid w:val="0029603B"/>
    <w:rsid w:val="002A50B8"/>
    <w:rsid w:val="002A6AEA"/>
    <w:rsid w:val="002F2268"/>
    <w:rsid w:val="0033227F"/>
    <w:rsid w:val="003C50C2"/>
    <w:rsid w:val="0041099F"/>
    <w:rsid w:val="00436235"/>
    <w:rsid w:val="00436A1D"/>
    <w:rsid w:val="004379D7"/>
    <w:rsid w:val="004A68B1"/>
    <w:rsid w:val="004B64F3"/>
    <w:rsid w:val="004E3B64"/>
    <w:rsid w:val="005020C5"/>
    <w:rsid w:val="0050710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008D"/>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A5E6B"/>
    <w:rsid w:val="00EB16A8"/>
    <w:rsid w:val="00EC7904"/>
    <w:rsid w:val="00F051ED"/>
    <w:rsid w:val="00F55EEE"/>
    <w:rsid w:val="00F72E93"/>
    <w:rsid w:val="00F87A11"/>
    <w:rsid w:val="00FB454A"/>
    <w:rsid w:val="00FB7E01"/>
    <w:rsid w:val="00FE5F4C"/>
    <w:rsid w:val="00FF39F6"/>
    <w:rsid w:val="05374814"/>
    <w:rsid w:val="0F8F6BFC"/>
    <w:rsid w:val="3791647A"/>
    <w:rsid w:val="3DC0324B"/>
    <w:rsid w:val="455969D8"/>
    <w:rsid w:val="48F3579E"/>
    <w:rsid w:val="526A3656"/>
    <w:rsid w:val="5D643D56"/>
    <w:rsid w:val="69BD0A47"/>
    <w:rsid w:val="71A911C9"/>
    <w:rsid w:val="7CCC21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897FF"/>
  <w15:docId w15:val="{D8234A53-720B-4B60-9A00-B6752F85A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spacing w:before="100" w:beforeAutospacing="1" w:after="100" w:afterAutospacing="1"/>
      <w:jc w:val="left"/>
      <w:outlineLvl w:val="0"/>
    </w:pPr>
    <w:rPr>
      <w:rFonts w:ascii="宋体" w:eastAsia="宋体" w:hAnsi="宋体" w:cs="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pPr>
      <w:autoSpaceDE w:val="0"/>
      <w:autoSpaceDN w:val="0"/>
      <w:adjustRightInd w:val="0"/>
      <w:snapToGrid w:val="0"/>
      <w:spacing w:line="588" w:lineRule="atLeast"/>
    </w:pPr>
    <w:rPr>
      <w:rFonts w:ascii="宋体" w:eastAsia="仿宋_GB2312" w:hAnsi="宋体"/>
      <w:spacing w:val="-2"/>
      <w:sz w:val="32"/>
      <w:szCs w:val="24"/>
    </w:rPr>
  </w:style>
  <w:style w:type="paragraph" w:styleId="a4">
    <w:name w:val="Plain Text"/>
    <w:basedOn w:val="a"/>
    <w:link w:val="a5"/>
    <w:qFormat/>
    <w:rPr>
      <w:rFonts w:ascii="宋体" w:eastAsia="宋体" w:hAnsi="Courier New" w:cs="Courier New"/>
      <w:szCs w:val="21"/>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b">
    <w:name w:val="Strong"/>
    <w:basedOn w:val="a0"/>
    <w:uiPriority w:val="22"/>
    <w:qFormat/>
    <w:rPr>
      <w:b/>
      <w:bCs/>
    </w:rPr>
  </w:style>
  <w:style w:type="character" w:styleId="ac">
    <w:name w:val="page number"/>
    <w:basedOn w:val="a0"/>
    <w:uiPriority w:val="99"/>
    <w:semiHidden/>
    <w:unhideWhenUsed/>
    <w:qFormat/>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纯文本 字符"/>
    <w:basedOn w:val="a0"/>
    <w:link w:val="a4"/>
    <w:qFormat/>
    <w:rPr>
      <w:rFonts w:ascii="宋体" w:eastAsia="宋体" w:hAnsi="Courier New" w:cs="Courier New"/>
      <w:szCs w:val="21"/>
    </w:rPr>
  </w:style>
  <w:style w:type="character" w:customStyle="1" w:styleId="10">
    <w:name w:val="标题 1 字符"/>
    <w:basedOn w:val="a0"/>
    <w:link w:val="1"/>
    <w:uiPriority w:val="9"/>
    <w:qFormat/>
    <w:rPr>
      <w:rFonts w:ascii="宋体" w:eastAsia="宋体" w:hAnsi="宋体" w:cs="宋体"/>
      <w:b/>
      <w:kern w:val="44"/>
      <w:sz w:val="48"/>
      <w:szCs w:val="48"/>
    </w:rPr>
  </w:style>
  <w:style w:type="character" w:customStyle="1" w:styleId="font31">
    <w:name w:val="font31"/>
    <w:basedOn w:val="a0"/>
    <w:qFormat/>
    <w:rPr>
      <w:rFonts w:ascii="宋体" w:eastAsia="宋体" w:hAnsi="宋体" w:cs="宋体" w:hint="eastAsia"/>
      <w:b/>
      <w:color w:val="000000"/>
      <w:sz w:val="36"/>
      <w:szCs w:val="3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10</Pages>
  <Words>1048</Words>
  <Characters>5974</Characters>
  <Application>Microsoft Office Word</Application>
  <DocSecurity>0</DocSecurity>
  <Lines>49</Lines>
  <Paragraphs>14</Paragraphs>
  <ScaleCrop>false</ScaleCrop>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77</cp:revision>
  <cp:lastPrinted>2018-11-29T03:23:00Z</cp:lastPrinted>
  <dcterms:created xsi:type="dcterms:W3CDTF">2016-02-22T07:07:00Z</dcterms:created>
  <dcterms:modified xsi:type="dcterms:W3CDTF">2025-05-27T13:59:00Z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eyJoZGlkIjoiOTQ4YWRkYTg3MTVmMGEwYjk5NGM4YjY3ODE4ZWQ3Y2YiLCJ1c2VySWQiOiIxMzA3OTA2MTI2In0=</vt:lpwstr>
  </property>
  <property fmtid="{D5CDD505-2E9C-101B-9397-08002B2CF9AE}" pid="4" name="ICV">
    <vt:lpwstr>F39D49A6058F49D5953D8C84CF22A82F_12</vt:lpwstr>
  </property>
</Properties>
</file>