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44"/>
          <w:szCs w:val="44"/>
        </w:rPr>
      </w:pPr>
      <w:r>
        <w:rPr>
          <w:rFonts w:hint="eastAsia" w:ascii="黑体" w:hAnsi="黑体" w:eastAsia="黑体"/>
          <w:sz w:val="44"/>
          <w:szCs w:val="44"/>
        </w:rPr>
        <w:t>隆尧县总工会</w:t>
      </w:r>
    </w:p>
    <w:p>
      <w:pPr>
        <w:jc w:val="center"/>
        <w:rPr>
          <w:rFonts w:ascii="黑体" w:hAnsi="黑体" w:eastAsia="黑体"/>
          <w:sz w:val="44"/>
          <w:szCs w:val="44"/>
        </w:rPr>
      </w:pPr>
      <w:r>
        <w:rPr>
          <w:rFonts w:hint="eastAsia" w:ascii="黑体" w:hAnsi="黑体" w:eastAsia="黑体"/>
          <w:sz w:val="44"/>
          <w:szCs w:val="44"/>
        </w:rPr>
        <w:t>2020年预算公开情况说明</w:t>
      </w:r>
    </w:p>
    <w:p>
      <w:pPr>
        <w:jc w:val="center"/>
        <w:rPr>
          <w:rFonts w:cs="Times New Roman" w:asciiTheme="minorEastAsia" w:hAnsiTheme="minorEastAsia" w:eastAsiaTheme="minorEastAsia"/>
          <w:sz w:val="28"/>
          <w:szCs w:val="28"/>
        </w:rPr>
      </w:pPr>
    </w:p>
    <w:p>
      <w:pPr>
        <w:ind w:firstLine="560" w:firstLineChars="20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按照</w:t>
      </w:r>
      <w:r>
        <w:rPr>
          <w:rFonts w:hint="eastAsia" w:cs="Times New Roman" w:asciiTheme="minorEastAsia" w:hAnsiTheme="minorEastAsia" w:eastAsiaTheme="minorEastAsia"/>
          <w:sz w:val="28"/>
          <w:szCs w:val="28"/>
        </w:rPr>
        <w:t>《预算法》、</w:t>
      </w:r>
      <w:r>
        <w:rPr>
          <w:rFonts w:cs="Times New Roman" w:asciiTheme="minorEastAsia" w:hAnsiTheme="minorEastAsia" w:eastAsiaTheme="minorEastAsia"/>
          <w:sz w:val="28"/>
          <w:szCs w:val="28"/>
        </w:rPr>
        <w:t>《地方预决算公开操作规程》和《河北省省级预算公开办法》</w:t>
      </w:r>
      <w:r>
        <w:rPr>
          <w:rFonts w:hint="eastAsia" w:cs="Times New Roman" w:asciiTheme="minorEastAsia" w:hAnsiTheme="minorEastAsia" w:eastAsiaTheme="minorEastAsia"/>
          <w:sz w:val="28"/>
          <w:szCs w:val="28"/>
        </w:rPr>
        <w:t>规定</w:t>
      </w:r>
      <w:r>
        <w:rPr>
          <w:rFonts w:cs="Times New Roman" w:asciiTheme="minorEastAsia" w:hAnsiTheme="minorEastAsia" w:eastAsiaTheme="minorEastAsia"/>
          <w:sz w:val="28"/>
          <w:szCs w:val="28"/>
        </w:rPr>
        <w:t>，现将</w:t>
      </w:r>
      <w:r>
        <w:rPr>
          <w:rFonts w:hint="eastAsia" w:cs="Times New Roman" w:asciiTheme="minorEastAsia" w:hAnsiTheme="minorEastAsia" w:eastAsiaTheme="minorEastAsia"/>
          <w:sz w:val="28"/>
          <w:szCs w:val="28"/>
        </w:rPr>
        <w:t>隆尧县总工会</w:t>
      </w: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20</w:t>
      </w:r>
      <w:r>
        <w:rPr>
          <w:rFonts w:cs="Times New Roman" w:asciiTheme="minorEastAsia" w:hAnsiTheme="minorEastAsia" w:eastAsiaTheme="minorEastAsia"/>
          <w:sz w:val="28"/>
          <w:szCs w:val="28"/>
        </w:rPr>
        <w:t>年部门预算公开如下：</w:t>
      </w:r>
    </w:p>
    <w:p>
      <w:pPr>
        <w:ind w:firstLine="640"/>
        <w:rPr>
          <w:rFonts w:cs="Times New Roman" w:asciiTheme="minorEastAsia" w:hAnsiTheme="minorEastAsia" w:eastAsiaTheme="minorEastAsia"/>
          <w:b/>
          <w:sz w:val="28"/>
          <w:szCs w:val="28"/>
        </w:rPr>
      </w:pPr>
      <w:r>
        <w:rPr>
          <w:rFonts w:hint="eastAsia" w:cs="Times New Roman" w:asciiTheme="minorEastAsia" w:hAnsiTheme="minorEastAsia" w:eastAsiaTheme="minorEastAsia"/>
          <w:b/>
          <w:sz w:val="28"/>
          <w:szCs w:val="28"/>
        </w:rPr>
        <w:t>一、部门职责及机构设置情况</w:t>
      </w:r>
    </w:p>
    <w:p>
      <w:pPr>
        <w:ind w:firstLine="560" w:firstLineChars="20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部门</w:t>
      </w:r>
      <w:r>
        <w:rPr>
          <w:rFonts w:cs="Times New Roman" w:asciiTheme="minorEastAsia" w:hAnsiTheme="minorEastAsia" w:eastAsiaTheme="minorEastAsia"/>
          <w:sz w:val="28"/>
          <w:szCs w:val="28"/>
        </w:rPr>
        <w:t>职责：</w:t>
      </w:r>
    </w:p>
    <w:p>
      <w:pPr>
        <w:spacing w:line="500" w:lineRule="exact"/>
        <w:ind w:firstLine="560"/>
        <w:rPr>
          <w:rFonts w:asciiTheme="minorEastAsia" w:hAnsiTheme="minorEastAsia" w:eastAsiaTheme="minorEastAsia"/>
          <w:sz w:val="28"/>
          <w:szCs w:val="28"/>
        </w:rPr>
      </w:pPr>
      <w:r>
        <w:rPr>
          <w:rFonts w:asciiTheme="minorEastAsia" w:hAnsiTheme="minorEastAsia" w:eastAsiaTheme="minorEastAsia"/>
          <w:sz w:val="28"/>
          <w:szCs w:val="28"/>
        </w:rPr>
        <w:t xml:space="preserve">  （一）、组织联系职工群众的职能：</w:t>
      </w:r>
      <w:r>
        <w:rPr>
          <w:rFonts w:asciiTheme="minorEastAsia" w:hAnsiTheme="minorEastAsia" w:eastAsiaTheme="minorEastAsia"/>
          <w:sz w:val="28"/>
          <w:szCs w:val="28"/>
        </w:rPr>
        <w:br w:type="textWrapping"/>
      </w:r>
      <w:r>
        <w:rPr>
          <w:rFonts w:asciiTheme="minorEastAsia" w:hAnsiTheme="minorEastAsia" w:eastAsiaTheme="minorEastAsia"/>
          <w:sz w:val="28"/>
          <w:szCs w:val="28"/>
        </w:rPr>
        <w:t xml:space="preserve">    工会组织是历史上形成的工人群众最容易接受的一种组织形式。工人阶级要实现自己的历史使命,必须通过工会使工人阶级作为一种阶级组织起来。在社会主义条件下,工会仍然作为工人阶级的一种重要的组织形式继续存在着。工会组织联系职工群众的职能的实质是,通过工会最广泛的把职工群众组织起来,建立起党和职工群众、国家和职工群众之间的联系:通过工会的日常工作,不断地把党的纲领、任务和政策同职工群众的意愿和要求紧密结合起来,成为职工群众的自觉行动,从而使工会运动同实现工人阶级历史使命结合起来。 </w:t>
      </w:r>
      <w:r>
        <w:rPr>
          <w:rFonts w:asciiTheme="minorEastAsia" w:hAnsiTheme="minorEastAsia" w:eastAsiaTheme="minorEastAsia"/>
          <w:sz w:val="28"/>
          <w:szCs w:val="28"/>
        </w:rPr>
        <w:br w:type="textWrapping"/>
      </w:r>
      <w:r>
        <w:rPr>
          <w:rFonts w:asciiTheme="minorEastAsia" w:hAnsiTheme="minorEastAsia" w:eastAsiaTheme="minorEastAsia"/>
          <w:sz w:val="28"/>
          <w:szCs w:val="28"/>
        </w:rPr>
        <w:t xml:space="preserve">    （二）、保护职工群众利益的职能：    </w:t>
      </w:r>
    </w:p>
    <w:p>
      <w:pPr>
        <w:spacing w:line="500" w:lineRule="exact"/>
        <w:ind w:firstLine="560"/>
        <w:rPr>
          <w:rFonts w:asciiTheme="minorEastAsia" w:hAnsiTheme="minorEastAsia" w:eastAsiaTheme="minorEastAsia"/>
          <w:sz w:val="28"/>
          <w:szCs w:val="28"/>
        </w:rPr>
      </w:pPr>
      <w:r>
        <w:rPr>
          <w:rFonts w:asciiTheme="minorEastAsia" w:hAnsiTheme="minorEastAsia" w:eastAsiaTheme="minorEastAsia"/>
          <w:sz w:val="28"/>
          <w:szCs w:val="28"/>
        </w:rPr>
        <w:t>工会本来就是工人群众自愿联合起来维护自己利益的组织,工人阶级成为自己国家的领导阶级之后,工会的保护职能依然存在,在社会主义条件下,工会为了密切联系群众,必须履行保护职工利益的职责,要通过自己的活动,坚决维护职工的合法利益,切实为职工多办事、办好事；同时,工会作为国家领导阶级的群众组织,必须承担保护自己国家的义务,要教育职工提高对国家、集体、个人三者利益一致的认识,自觉地以个人利益服从国家和集体利益,眼前利益服从长远利益。</w:t>
      </w:r>
      <w:r>
        <w:rPr>
          <w:rFonts w:asciiTheme="minorEastAsia" w:hAnsiTheme="minorEastAsia" w:eastAsiaTheme="minorEastAsia"/>
          <w:sz w:val="28"/>
          <w:szCs w:val="28"/>
        </w:rPr>
        <w:br w:type="textWrapping"/>
      </w:r>
      <w:r>
        <w:rPr>
          <w:rFonts w:asciiTheme="minorEastAsia" w:hAnsiTheme="minorEastAsia" w:eastAsiaTheme="minorEastAsia"/>
          <w:sz w:val="28"/>
          <w:szCs w:val="28"/>
        </w:rPr>
        <w:t xml:space="preserve">    （三）、教育职工群众的职能：    </w:t>
      </w:r>
    </w:p>
    <w:p>
      <w:pPr>
        <w:spacing w:line="500" w:lineRule="exact"/>
        <w:ind w:firstLine="560"/>
        <w:rPr>
          <w:rFonts w:asciiTheme="minorEastAsia" w:hAnsiTheme="minorEastAsia" w:eastAsiaTheme="minorEastAsia"/>
          <w:sz w:val="28"/>
          <w:szCs w:val="28"/>
        </w:rPr>
      </w:pPr>
      <w:r>
        <w:rPr>
          <w:rFonts w:asciiTheme="minorEastAsia" w:hAnsiTheme="minorEastAsia" w:eastAsiaTheme="minorEastAsia"/>
          <w:sz w:val="28"/>
          <w:szCs w:val="28"/>
        </w:rPr>
        <w:t>教育职工群众认识工人阶级在新时期的地位和肩负的历史责任,不断提高他们的思想政治素质和科学文化素质,发挥工人阶级在社会主义现代化建设中的主导作用,是工会当前最重要的工作。</w:t>
      </w:r>
      <w:r>
        <w:rPr>
          <w:rFonts w:asciiTheme="minorEastAsia" w:hAnsiTheme="minorEastAsia" w:eastAsiaTheme="minorEastAsia"/>
          <w:sz w:val="28"/>
          <w:szCs w:val="28"/>
        </w:rPr>
        <w:br w:type="textWrapping"/>
      </w:r>
      <w:r>
        <w:rPr>
          <w:rFonts w:asciiTheme="minorEastAsia" w:hAnsiTheme="minorEastAsia" w:eastAsiaTheme="minorEastAsia"/>
          <w:sz w:val="28"/>
          <w:szCs w:val="28"/>
        </w:rPr>
        <w:t xml:space="preserve">    （四）、代表和吸引职工群众参与国家建设和管理的职能： </w:t>
      </w:r>
    </w:p>
    <w:p>
      <w:pPr>
        <w:spacing w:line="500" w:lineRule="exact"/>
        <w:ind w:firstLine="560"/>
        <w:rPr>
          <w:rFonts w:asciiTheme="minorEastAsia" w:hAnsiTheme="minorEastAsia" w:eastAsiaTheme="minorEastAsia"/>
          <w:sz w:val="28"/>
          <w:szCs w:val="28"/>
        </w:rPr>
      </w:pPr>
      <w:r>
        <w:rPr>
          <w:rFonts w:asciiTheme="minorEastAsia" w:hAnsiTheme="minorEastAsia" w:eastAsiaTheme="minorEastAsia"/>
          <w:sz w:val="28"/>
          <w:szCs w:val="28"/>
        </w:rPr>
        <w:t xml:space="preserve">  工会参与国家建设和管理,主要通过自己的活动,组织吸引职工参与管理，增强职工主人翁责任感,发挥职工建设社会主义的积极性和创造性。</w:t>
      </w:r>
    </w:p>
    <w:p>
      <w:pPr>
        <w:ind w:firstLine="560" w:firstLineChars="200"/>
        <w:rPr>
          <w:rFonts w:cs="Times New Roman" w:asciiTheme="minorEastAsia" w:hAnsiTheme="minorEastAsia" w:eastAsiaTheme="minorEastAsia"/>
          <w:sz w:val="28"/>
          <w:szCs w:val="28"/>
        </w:rPr>
      </w:pPr>
    </w:p>
    <w:p>
      <w:pPr>
        <w:ind w:firstLine="562" w:firstLineChars="200"/>
        <w:rPr>
          <w:rFonts w:cs="Times New Roman" w:asciiTheme="minorEastAsia" w:hAnsiTheme="minorEastAsia" w:eastAsiaTheme="minorEastAsia"/>
          <w:b/>
          <w:sz w:val="28"/>
          <w:szCs w:val="28"/>
        </w:rPr>
      </w:pPr>
      <w:r>
        <w:rPr>
          <w:rFonts w:hint="eastAsia" w:cs="Times New Roman" w:asciiTheme="minorEastAsia" w:hAnsiTheme="minorEastAsia" w:eastAsiaTheme="minorEastAsia"/>
          <w:b/>
          <w:sz w:val="28"/>
          <w:szCs w:val="28"/>
        </w:rPr>
        <w:t>机构设置：</w:t>
      </w:r>
    </w:p>
    <w:p>
      <w:pPr>
        <w:jc w:val="center"/>
        <w:outlineLvl w:val="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部门</w:t>
      </w:r>
      <w:r>
        <w:rPr>
          <w:rFonts w:hint="eastAsia" w:cs="Times New Roman" w:asciiTheme="minorEastAsia" w:hAnsiTheme="minorEastAsia" w:eastAsiaTheme="minorEastAsia"/>
          <w:sz w:val="28"/>
          <w:szCs w:val="28"/>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cs="Times New Roman" w:asciiTheme="minorEastAsia" w:hAnsiTheme="minorEastAsia" w:eastAsiaTheme="minorEastAsia"/>
                <w:b/>
                <w:sz w:val="28"/>
                <w:szCs w:val="28"/>
              </w:rPr>
            </w:pPr>
            <w:r>
              <w:rPr>
                <w:rFonts w:cs="Times New Roman" w:asciiTheme="minorEastAsia" w:hAnsiTheme="minorEastAsia" w:eastAsiaTheme="minorEastAsia"/>
                <w:b/>
                <w:sz w:val="28"/>
                <w:szCs w:val="28"/>
              </w:rPr>
              <w:t>单位名称</w:t>
            </w:r>
          </w:p>
        </w:tc>
        <w:tc>
          <w:tcPr>
            <w:tcW w:w="1134" w:type="dxa"/>
            <w:vMerge w:val="restart"/>
            <w:vAlign w:val="center"/>
          </w:tcPr>
          <w:p>
            <w:pPr>
              <w:spacing w:line="300" w:lineRule="exact"/>
              <w:jc w:val="center"/>
              <w:rPr>
                <w:rFonts w:cs="Times New Roman" w:asciiTheme="minorEastAsia" w:hAnsiTheme="minorEastAsia" w:eastAsiaTheme="minorEastAsia"/>
                <w:b/>
                <w:sz w:val="28"/>
                <w:szCs w:val="28"/>
              </w:rPr>
            </w:pPr>
            <w:r>
              <w:rPr>
                <w:rFonts w:cs="Times New Roman" w:asciiTheme="minorEastAsia" w:hAnsiTheme="minorEastAsia" w:eastAsiaTheme="minorEastAsia"/>
                <w:b/>
                <w:sz w:val="28"/>
                <w:szCs w:val="28"/>
              </w:rPr>
              <w:t>单位性质</w:t>
            </w:r>
          </w:p>
        </w:tc>
        <w:tc>
          <w:tcPr>
            <w:tcW w:w="1276" w:type="dxa"/>
            <w:vMerge w:val="restart"/>
            <w:vAlign w:val="center"/>
          </w:tcPr>
          <w:p>
            <w:pPr>
              <w:spacing w:line="300" w:lineRule="exact"/>
              <w:jc w:val="center"/>
              <w:rPr>
                <w:rFonts w:cs="Times New Roman" w:asciiTheme="minorEastAsia" w:hAnsiTheme="minorEastAsia" w:eastAsiaTheme="minorEastAsia"/>
                <w:b/>
                <w:sz w:val="28"/>
                <w:szCs w:val="28"/>
              </w:rPr>
            </w:pPr>
            <w:r>
              <w:rPr>
                <w:rFonts w:cs="Times New Roman" w:asciiTheme="minorEastAsia" w:hAnsiTheme="minorEastAsia" w:eastAsiaTheme="minorEastAsia"/>
                <w:b/>
                <w:sz w:val="28"/>
                <w:szCs w:val="28"/>
              </w:rPr>
              <w:t>单位规格</w:t>
            </w:r>
          </w:p>
        </w:tc>
        <w:tc>
          <w:tcPr>
            <w:tcW w:w="2902" w:type="dxa"/>
            <w:vMerge w:val="restart"/>
            <w:vAlign w:val="center"/>
          </w:tcPr>
          <w:p>
            <w:pPr>
              <w:spacing w:line="300" w:lineRule="exact"/>
              <w:jc w:val="center"/>
              <w:rPr>
                <w:rFonts w:cs="Times New Roman" w:asciiTheme="minorEastAsia" w:hAnsiTheme="minorEastAsia" w:eastAsiaTheme="minorEastAsia"/>
                <w:b/>
                <w:sz w:val="28"/>
                <w:szCs w:val="28"/>
              </w:rPr>
            </w:pPr>
            <w:r>
              <w:rPr>
                <w:rFonts w:cs="Times New Roman" w:asciiTheme="minorEastAsia" w:hAnsiTheme="minorEastAsia" w:eastAsiaTheme="minorEastAsia"/>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cs="Times New Roman" w:asciiTheme="minorEastAsia" w:hAnsiTheme="minorEastAsia" w:eastAsiaTheme="minorEastAsia"/>
                <w:sz w:val="28"/>
                <w:szCs w:val="28"/>
              </w:rPr>
            </w:pPr>
          </w:p>
        </w:tc>
        <w:tc>
          <w:tcPr>
            <w:tcW w:w="1134" w:type="dxa"/>
            <w:vMerge w:val="continue"/>
            <w:vAlign w:val="center"/>
          </w:tcPr>
          <w:p>
            <w:pPr>
              <w:spacing w:line="300" w:lineRule="exact"/>
              <w:jc w:val="left"/>
              <w:outlineLvl w:val="0"/>
              <w:rPr>
                <w:rFonts w:cs="Times New Roman" w:asciiTheme="minorEastAsia" w:hAnsiTheme="minorEastAsia" w:eastAsiaTheme="minorEastAsia"/>
                <w:sz w:val="28"/>
                <w:szCs w:val="28"/>
              </w:rPr>
            </w:pPr>
          </w:p>
        </w:tc>
        <w:tc>
          <w:tcPr>
            <w:tcW w:w="1276" w:type="dxa"/>
            <w:vMerge w:val="continue"/>
            <w:vAlign w:val="center"/>
          </w:tcPr>
          <w:p>
            <w:pPr>
              <w:spacing w:line="300" w:lineRule="exact"/>
              <w:jc w:val="left"/>
              <w:outlineLvl w:val="0"/>
              <w:rPr>
                <w:rFonts w:cs="Times New Roman" w:asciiTheme="minorEastAsia" w:hAnsiTheme="minorEastAsia" w:eastAsiaTheme="minorEastAsia"/>
                <w:sz w:val="28"/>
                <w:szCs w:val="28"/>
              </w:rPr>
            </w:pPr>
          </w:p>
        </w:tc>
        <w:tc>
          <w:tcPr>
            <w:tcW w:w="2902" w:type="dxa"/>
            <w:vMerge w:val="continue"/>
            <w:vAlign w:val="center"/>
          </w:tcPr>
          <w:p>
            <w:pPr>
              <w:spacing w:line="300" w:lineRule="exact"/>
              <w:jc w:val="left"/>
              <w:outlineLvl w:val="0"/>
              <w:rPr>
                <w:rFonts w:cs="Times New Roman" w:asciiTheme="minorEastAsia" w:hAnsiTheme="minorEastAsia" w:eastAsiaTheme="minorEastAsia"/>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cs="Times New Roman" w:asciiTheme="minorEastAsia" w:hAnsiTheme="minorEastAsia" w:eastAsiaTheme="minorEastAsia"/>
                <w:sz w:val="28"/>
                <w:szCs w:val="28"/>
              </w:rPr>
            </w:pPr>
            <w:r>
              <w:rPr>
                <w:rFonts w:hint="eastAsia" w:asciiTheme="minorEastAsia" w:hAnsiTheme="minorEastAsia" w:eastAsiaTheme="minorEastAsia"/>
                <w:sz w:val="28"/>
                <w:szCs w:val="28"/>
              </w:rPr>
              <w:t>隆尧县总工会</w:t>
            </w:r>
          </w:p>
        </w:tc>
        <w:tc>
          <w:tcPr>
            <w:tcW w:w="1134" w:type="dxa"/>
            <w:vAlign w:val="center"/>
          </w:tcPr>
          <w:p>
            <w:pPr>
              <w:spacing w:line="300" w:lineRule="exact"/>
              <w:jc w:val="center"/>
              <w:rPr>
                <w:rFonts w:cs="Times New Roman" w:asciiTheme="minorEastAsia" w:hAnsiTheme="minorEastAsia" w:eastAsiaTheme="minorEastAsia"/>
                <w:sz w:val="28"/>
                <w:szCs w:val="28"/>
              </w:rPr>
            </w:pPr>
            <w:r>
              <w:rPr>
                <w:rFonts w:hint="eastAsia" w:asciiTheme="minorEastAsia" w:hAnsiTheme="minorEastAsia" w:eastAsiaTheme="minorEastAsia"/>
                <w:sz w:val="28"/>
                <w:szCs w:val="28"/>
              </w:rPr>
              <w:t>行政</w:t>
            </w:r>
          </w:p>
        </w:tc>
        <w:tc>
          <w:tcPr>
            <w:tcW w:w="1276" w:type="dxa"/>
            <w:vAlign w:val="center"/>
          </w:tcPr>
          <w:p>
            <w:pPr>
              <w:spacing w:line="300" w:lineRule="exact"/>
              <w:jc w:val="center"/>
              <w:rPr>
                <w:rFonts w:cs="Times New Roman" w:asciiTheme="minorEastAsia" w:hAnsiTheme="minorEastAsia" w:eastAsiaTheme="minorEastAsia"/>
                <w:sz w:val="28"/>
                <w:szCs w:val="28"/>
              </w:rPr>
            </w:pPr>
            <w:r>
              <w:rPr>
                <w:rFonts w:hint="eastAsia" w:asciiTheme="minorEastAsia" w:hAnsiTheme="minorEastAsia" w:eastAsiaTheme="minorEastAsia"/>
                <w:sz w:val="28"/>
                <w:szCs w:val="28"/>
              </w:rPr>
              <w:t>正科级</w:t>
            </w:r>
          </w:p>
        </w:tc>
        <w:tc>
          <w:tcPr>
            <w:tcW w:w="2902" w:type="dxa"/>
            <w:vAlign w:val="center"/>
          </w:tcPr>
          <w:p>
            <w:pPr>
              <w:spacing w:line="300" w:lineRule="exact"/>
              <w:jc w:val="center"/>
              <w:rPr>
                <w:rFonts w:cs="Times New Roman" w:asciiTheme="minorEastAsia" w:hAnsiTheme="minorEastAsia" w:eastAsiaTheme="minorEastAsia"/>
                <w:sz w:val="28"/>
                <w:szCs w:val="28"/>
              </w:rPr>
            </w:pPr>
            <w:r>
              <w:rPr>
                <w:rFonts w:hint="eastAsia" w:asciiTheme="minorEastAsia" w:hAnsiTheme="minorEastAsia" w:eastAsiaTheme="minorEastAsia"/>
                <w:sz w:val="28"/>
                <w:szCs w:val="28"/>
              </w:rPr>
              <w:t>财政性资金基本保证</w:t>
            </w:r>
          </w:p>
        </w:tc>
      </w:tr>
    </w:tbl>
    <w:p>
      <w:pPr>
        <w:rPr>
          <w:rFonts w:asciiTheme="minorEastAsia" w:hAnsiTheme="minorEastAsia" w:eastAsiaTheme="minorEastAsia"/>
          <w:sz w:val="28"/>
          <w:szCs w:val="28"/>
        </w:rPr>
      </w:pPr>
    </w:p>
    <w:p>
      <w:pPr>
        <w:ind w:firstLine="64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二、部门预算安排的总体情况</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按照预算管理有关规定，目前我</w:t>
      </w:r>
      <w:r>
        <w:rPr>
          <w:rFonts w:hint="eastAsia" w:cs="Times New Roman" w:asciiTheme="minorEastAsia" w:hAnsiTheme="minorEastAsia" w:eastAsiaTheme="minorEastAsia"/>
          <w:sz w:val="28"/>
          <w:szCs w:val="28"/>
        </w:rPr>
        <w:t>县</w:t>
      </w:r>
      <w:r>
        <w:rPr>
          <w:rFonts w:cs="Times New Roman" w:asciiTheme="minorEastAsia" w:hAnsiTheme="minorEastAsia" w:eastAsiaTheme="minorEastAsia"/>
          <w:sz w:val="28"/>
          <w:szCs w:val="28"/>
        </w:rPr>
        <w:t>部门预算的编制实行综合预算</w:t>
      </w:r>
      <w:r>
        <w:rPr>
          <w:rFonts w:hint="eastAsia" w:cs="Times New Roman" w:asciiTheme="minorEastAsia" w:hAnsiTheme="minorEastAsia" w:eastAsiaTheme="minorEastAsia"/>
          <w:sz w:val="28"/>
          <w:szCs w:val="28"/>
        </w:rPr>
        <w:t>管理</w:t>
      </w:r>
      <w:r>
        <w:rPr>
          <w:rFonts w:cs="Times New Roman" w:asciiTheme="minorEastAsia" w:hAnsiTheme="minorEastAsia" w:eastAsiaTheme="minorEastAsia"/>
          <w:sz w:val="28"/>
          <w:szCs w:val="28"/>
        </w:rPr>
        <w:t>，即全部收入和支出都反映的预算中。</w:t>
      </w:r>
      <w:r>
        <w:rPr>
          <w:rFonts w:hint="eastAsia" w:cs="Times New Roman" w:asciiTheme="minorEastAsia" w:hAnsiTheme="minorEastAsia" w:eastAsiaTheme="minorEastAsia"/>
          <w:sz w:val="28"/>
          <w:szCs w:val="28"/>
        </w:rPr>
        <w:t>隆尧县总工会</w:t>
      </w:r>
      <w:r>
        <w:rPr>
          <w:rFonts w:cs="Times New Roman" w:asciiTheme="minorEastAsia" w:hAnsiTheme="minorEastAsia" w:eastAsiaTheme="minorEastAsia"/>
          <w:sz w:val="28"/>
          <w:szCs w:val="28"/>
        </w:rPr>
        <w:t>收支包含在部门预算中。</w:t>
      </w:r>
    </w:p>
    <w:p>
      <w:pPr>
        <w:ind w:firstLine="64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1、</w:t>
      </w:r>
      <w:r>
        <w:rPr>
          <w:rFonts w:cs="Times New Roman" w:asciiTheme="minorEastAsia" w:hAnsiTheme="minorEastAsia" w:eastAsiaTheme="minorEastAsia"/>
          <w:sz w:val="28"/>
          <w:szCs w:val="28"/>
        </w:rPr>
        <w:t>收入说明</w:t>
      </w:r>
    </w:p>
    <w:p>
      <w:pPr>
        <w:ind w:firstLine="64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反映本部门当年全部收入。2020年预算收入359.22万元，其中：一般公共预算收入359.22万元，基金预算收入0万元，财政专户核拨收入0万元，其他来源收入0万元。</w:t>
      </w:r>
    </w:p>
    <w:p>
      <w:pPr>
        <w:ind w:firstLine="64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2、</w:t>
      </w:r>
      <w:r>
        <w:rPr>
          <w:rFonts w:cs="Times New Roman" w:asciiTheme="minorEastAsia" w:hAnsiTheme="minorEastAsia" w:eastAsiaTheme="minorEastAsia"/>
          <w:sz w:val="28"/>
          <w:szCs w:val="28"/>
        </w:rPr>
        <w:t>支出说明</w:t>
      </w:r>
    </w:p>
    <w:p>
      <w:pPr>
        <w:ind w:firstLine="64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收支预算总表支出栏、基本支出表、项目支出表按经济分类和支出功能分类科目编制，反映隆尧县总工会年度部门预算中支出预算的总体情况。2020年部门支出预算为359.22万元，其中基本支出48.32万元，包括人员经费45.38万元和日常公用经费2.94万元；项目支出310.9万元。</w:t>
      </w:r>
    </w:p>
    <w:p>
      <w:pPr>
        <w:ind w:firstLine="64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3、</w:t>
      </w:r>
      <w:r>
        <w:rPr>
          <w:rFonts w:cs="Times New Roman" w:asciiTheme="minorEastAsia" w:hAnsiTheme="minorEastAsia" w:eastAsiaTheme="minorEastAsia"/>
          <w:sz w:val="28"/>
          <w:szCs w:val="28"/>
        </w:rPr>
        <w:t>比上年增减情况</w:t>
      </w:r>
    </w:p>
    <w:p>
      <w:pPr>
        <w:ind w:firstLine="640"/>
        <w:rPr>
          <w:rFonts w:cs="Times New Roman" w:asciiTheme="minorEastAsia" w:hAnsiTheme="minorEastAsia" w:eastAsiaTheme="minorEastAsia"/>
          <w:sz w:val="28"/>
          <w:szCs w:val="28"/>
        </w:rPr>
      </w:pPr>
      <w:r>
        <w:rPr>
          <w:rFonts w:hint="eastAsia" w:cs="Times New Roman" w:asciiTheme="minorEastAsia" w:hAnsiTheme="minorEastAsia" w:eastAsiaTheme="minorEastAsia"/>
          <w:color w:val="000000"/>
          <w:sz w:val="28"/>
          <w:szCs w:val="28"/>
        </w:rPr>
        <w:t>2020年部门预算收支安排</w:t>
      </w:r>
      <w:r>
        <w:rPr>
          <w:rFonts w:hint="eastAsia" w:cs="Times New Roman" w:asciiTheme="minorEastAsia" w:hAnsiTheme="minorEastAsia" w:eastAsiaTheme="minorEastAsia"/>
          <w:sz w:val="28"/>
          <w:szCs w:val="28"/>
        </w:rPr>
        <w:t>359.22</w:t>
      </w:r>
      <w:r>
        <w:rPr>
          <w:rFonts w:hint="eastAsia" w:cs="Times New Roman" w:asciiTheme="minorEastAsia" w:hAnsiTheme="minorEastAsia" w:eastAsiaTheme="minorEastAsia"/>
          <w:color w:val="000000"/>
          <w:sz w:val="28"/>
          <w:szCs w:val="28"/>
        </w:rPr>
        <w:t>万元，</w:t>
      </w:r>
      <w:r>
        <w:rPr>
          <w:rFonts w:hint="eastAsia" w:cs="Times New Roman" w:asciiTheme="minorEastAsia" w:hAnsiTheme="minorEastAsia" w:eastAsiaTheme="minorEastAsia"/>
          <w:sz w:val="28"/>
          <w:szCs w:val="28"/>
        </w:rPr>
        <w:t>较2019年减少20.15万元，其中：基本支出增长1.95万元，主要是人员工资上涨增加日常公用经费；项目支出减少22.1万元，主要原因是县财政压缩预算，财政划拨工会经费减少。</w:t>
      </w:r>
    </w:p>
    <w:p>
      <w:pPr>
        <w:autoSpaceDE w:val="0"/>
        <w:autoSpaceDN w:val="0"/>
        <w:adjustRightInd w:val="0"/>
        <w:ind w:firstLine="840" w:firstLineChars="300"/>
        <w:jc w:val="left"/>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三、机关运行经费安排情况</w:t>
      </w:r>
    </w:p>
    <w:p>
      <w:pPr>
        <w:autoSpaceDE w:val="0"/>
        <w:autoSpaceDN w:val="0"/>
        <w:adjustRightInd w:val="0"/>
        <w:ind w:left="198" w:firstLine="560" w:firstLineChars="200"/>
        <w:jc w:val="left"/>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2020年，我部门机关运行经费共计安排2.94万元，主要用于其他交通费用支出。</w:t>
      </w:r>
    </w:p>
    <w:p>
      <w:pPr>
        <w:autoSpaceDE w:val="0"/>
        <w:autoSpaceDN w:val="0"/>
        <w:adjustRightInd w:val="0"/>
        <w:ind w:left="198" w:firstLine="560" w:firstLineChars="200"/>
        <w:jc w:val="left"/>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四、财政拨款</w:t>
      </w:r>
      <w:r>
        <w:rPr>
          <w:rFonts w:cs="Times New Roman" w:asciiTheme="minorEastAsia" w:hAnsiTheme="minorEastAsia" w:eastAsiaTheme="minorEastAsia"/>
          <w:sz w:val="28"/>
          <w:szCs w:val="28"/>
        </w:rPr>
        <w:t>“</w:t>
      </w:r>
      <w:r>
        <w:rPr>
          <w:rFonts w:hint="eastAsia" w:cs="Times New Roman" w:asciiTheme="minorEastAsia" w:hAnsiTheme="minorEastAsia" w:eastAsiaTheme="minorEastAsia"/>
          <w:sz w:val="28"/>
          <w:szCs w:val="28"/>
        </w:rPr>
        <w:t>三公</w:t>
      </w:r>
      <w:r>
        <w:rPr>
          <w:rFonts w:cs="Times New Roman" w:asciiTheme="minorEastAsia" w:hAnsiTheme="minorEastAsia" w:eastAsiaTheme="minorEastAsia"/>
          <w:sz w:val="28"/>
          <w:szCs w:val="28"/>
        </w:rPr>
        <w:t>”</w:t>
      </w:r>
      <w:r>
        <w:rPr>
          <w:rFonts w:hint="eastAsia" w:cs="Times New Roman" w:asciiTheme="minorEastAsia" w:hAnsiTheme="minorEastAsia" w:eastAsiaTheme="minorEastAsia"/>
          <w:sz w:val="28"/>
          <w:szCs w:val="28"/>
        </w:rPr>
        <w:t>经费预算情况及增减变化原因</w:t>
      </w:r>
    </w:p>
    <w:p>
      <w:pPr>
        <w:autoSpaceDE w:val="0"/>
        <w:autoSpaceDN w:val="0"/>
        <w:adjustRightInd w:val="0"/>
        <w:spacing w:line="560" w:lineRule="exact"/>
        <w:ind w:left="198" w:firstLine="560" w:firstLineChars="20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2020年，我单位“三公”经费预算安排0万元。其中因公出国（境）费0万元；公务用车购置及运维费0万元，较上年持平；公务接待费0万元，较上年持平。</w:t>
      </w:r>
    </w:p>
    <w:p>
      <w:pPr>
        <w:autoSpaceDE w:val="0"/>
        <w:autoSpaceDN w:val="0"/>
        <w:adjustRightInd w:val="0"/>
        <w:ind w:left="198" w:firstLine="560" w:firstLineChars="200"/>
        <w:jc w:val="left"/>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五、绩效预算信息</w:t>
      </w:r>
    </w:p>
    <w:p>
      <w:pPr>
        <w:autoSpaceDE w:val="0"/>
        <w:autoSpaceDN w:val="0"/>
        <w:adjustRightInd w:val="0"/>
        <w:ind w:left="198" w:firstLine="562" w:firstLineChars="200"/>
        <w:jc w:val="left"/>
        <w:rPr>
          <w:rFonts w:cs="Times New Roman" w:asciiTheme="minorEastAsia" w:hAnsiTheme="minorEastAsia" w:eastAsiaTheme="minorEastAsia"/>
          <w:b/>
          <w:sz w:val="28"/>
          <w:szCs w:val="28"/>
        </w:rPr>
      </w:pPr>
      <w:bookmarkStart w:id="0" w:name="_Toc471398463"/>
      <w:r>
        <w:rPr>
          <w:rFonts w:cs="Times New Roman" w:asciiTheme="minorEastAsia" w:hAnsiTheme="minorEastAsia" w:eastAsiaTheme="minorEastAsia"/>
          <w:b/>
          <w:sz w:val="28"/>
          <w:szCs w:val="28"/>
        </w:rPr>
        <w:t>总体绩效目标：</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2020年是贯彻落实党的</w:t>
      </w:r>
      <w:bookmarkStart w:id="5" w:name="_GoBack"/>
      <w:bookmarkEnd w:id="5"/>
      <w:r>
        <w:rPr>
          <w:rFonts w:hint="eastAsia" w:cs="方正仿宋_GBK" w:asciiTheme="minorEastAsia" w:hAnsiTheme="minorEastAsia" w:eastAsiaTheme="minorEastAsia"/>
          <w:sz w:val="28"/>
          <w:szCs w:val="28"/>
        </w:rPr>
        <w:t>十九届四中全会精神的开局之后，是实施“十三五”规划，决胜全面建成小康社会的收官之年，也是持续深化工会改革，加快推进产业工人队伍建设的重要一年。为全面做好2020年的工作，现根据县委、县政府第四季度重点工作推进会议的要求，制定如下工作思路和主要目标：</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以党的十九大精神和</w:t>
      </w:r>
      <w:r>
        <w:rPr>
          <w:rFonts w:hint="eastAsia" w:cs="方正仿宋_GBK" w:asciiTheme="minorEastAsia" w:hAnsiTheme="minorEastAsia" w:eastAsiaTheme="minorEastAsia"/>
          <w:sz w:val="28"/>
          <w:szCs w:val="28"/>
          <w:lang w:val="en-US" w:eastAsia="zh-CN"/>
        </w:rPr>
        <w:t>党的</w:t>
      </w:r>
      <w:r>
        <w:rPr>
          <w:rFonts w:hint="eastAsia" w:cs="方正仿宋_GBK" w:asciiTheme="minorEastAsia" w:hAnsiTheme="minorEastAsia" w:eastAsiaTheme="minorEastAsia"/>
          <w:sz w:val="28"/>
          <w:szCs w:val="28"/>
        </w:rPr>
        <w:t>十九届四中全会精神为指导，深入贯彻习近平新时代中国特色社会主义思想，特别是关于工会工作和工人阶级的重要论述，紧紧围绕县委、县政府“11446”发展思路和“135”布局，牢牢把握为实现中华民族伟大复兴的中国梦而奋斗这个中国工人运动的时代主题，按照“强基础、补短板、增活力、创品牌”的整体思路，进一步加强工会机关党的建设，优化工会职能，为建设经济强县，幸福隆尧贡献力量，发挥主力军作用，确保整体工作继续保持全市先进位次。</w:t>
      </w:r>
    </w:p>
    <w:p>
      <w:pPr>
        <w:autoSpaceDE w:val="0"/>
        <w:autoSpaceDN w:val="0"/>
        <w:adjustRightInd w:val="0"/>
        <w:ind w:left="198" w:firstLine="562" w:firstLineChars="200"/>
        <w:jc w:val="left"/>
        <w:rPr>
          <w:rFonts w:cs="Times New Roman" w:asciiTheme="minorEastAsia" w:hAnsiTheme="minorEastAsia" w:eastAsiaTheme="minorEastAsia"/>
          <w:b/>
          <w:sz w:val="28"/>
          <w:szCs w:val="28"/>
        </w:rPr>
      </w:pPr>
      <w:r>
        <w:rPr>
          <w:rFonts w:hint="eastAsia" w:cs="Times New Roman" w:asciiTheme="minorEastAsia" w:hAnsiTheme="minorEastAsia" w:eastAsiaTheme="minorEastAsia"/>
          <w:b/>
          <w:sz w:val="28"/>
          <w:szCs w:val="28"/>
        </w:rPr>
        <w:t>职责分类绩效目标：</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一、加强理论武装，切实把学习习近平新时代中国特色社会主义思想作为首要任务</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1、认真贯彻落实中央办公厅最近印发的《2019—2023年全国党员教育培训工作规划》要求，结合“不忘初心、牢记使命”主题教育整改工作，进一步提高认识，细化措施，完善长效机制，切实把学习理论，加强思想武装，作为全年工作的首要任务。</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2、紧密结合工会工作的根本任务和干部职工思想实际，分层次分类型办好培训班、读书班、研讨班，组织党员干部认真学习马列主义、毛泽东思想、邓小平理论、“三个代表”重要思想、科学发展观、习近平新时代中国特色社会主义思想，特别是关于工会工作和工人阶级的重要论述，学习十九大和</w:t>
      </w:r>
      <w:r>
        <w:rPr>
          <w:rFonts w:hint="eastAsia" w:cs="方正仿宋_GBK" w:asciiTheme="minorEastAsia" w:hAnsiTheme="minorEastAsia" w:eastAsiaTheme="minorEastAsia"/>
          <w:sz w:val="28"/>
          <w:szCs w:val="28"/>
          <w:lang w:val="en-US" w:eastAsia="zh-CN"/>
        </w:rPr>
        <w:t>党的</w:t>
      </w:r>
      <w:r>
        <w:rPr>
          <w:rFonts w:hint="eastAsia" w:cs="方正仿宋_GBK" w:asciiTheme="minorEastAsia" w:hAnsiTheme="minorEastAsia" w:eastAsiaTheme="minorEastAsia"/>
          <w:sz w:val="28"/>
          <w:szCs w:val="28"/>
        </w:rPr>
        <w:t>十九届四中全会精神。领导班子和工会机关要发挥示范带动作用，先学一步，深学一层。不断增强学思践悟的自觉性、坚定性。提高运用党的创新理论指导实践，推动工会工作的能力。</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3、抓好全县广大职工的思想引领。要把“不忘初心、牢记使命”主题教育向基层拓展，向广大职工覆盖，引导全县广大职工坚定不移听党话、跟党走。3月份通过调研起草拟定《加强产业工人队伍思想政治工作的若干措施》。</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 xml:space="preserve">   二、以扩面、提质为着力点，全面提升基层工会建设水平</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1、继续抓好“小三级”（乡镇、村、企业）工会扩面、提质工程，积极探索新型经济社会组织、就业群体的组织覆盖和工作覆盖。上半年集中抓好在快递、物流行业、农业园区、农业专业合作社的建会工作。</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2、突出抓好非公企业的建会工作。通过排底摸查，积极推进规模以上新建非公企业的建会工作。2020年末，全县职工100人以上非公企业建会达到全覆盖，25人以上非公企业工会组织的覆盖率达到70%以上。</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3、深入开展基层工会规范化建设。乡镇和工业园区总工会全部达到规范化建设标准，企业和村级工会要以建设“实力工会、活力工会”为标准，将更大力量、更多资源向基层倾斜，不断增强基层工会的履职能力和服务职工的水平，使基层工会真正建起来、转起来、活起来。</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三、持续推进工会改革创新，进一步加大产业工人队伍建设改革力度</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1.以《隆尧县工会改革方案》为抓手，结合党的十九届四中全会提出的“坚持和完善中国特色社会主义制度，推进国家治理体系和治理能力现代化”的新要求和工会实际，持续推进工会工作制度创新、内容创新、方法创新，着力在建机制、强功能、增实效上下功夫，求突破。</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2.突出抓好新时期产业工人队伍建设改革工作。进一步加大贯彻落实《中共隆尧县委、县人民政府关于推进新时期产业工人队伍建设改革的实施意见》的力度。县总工会要充分发挥牵头协调作用，凝聚所有职能部门、行业、机构的作用，形成产业工人队伍建设改革的坚强合力。在工作中，要下气力抓好提高政治待遇、权益保障、政治业务培训、劳动和技能竞赛、拓展发展空间、劳模和先进典型评选表彰等几项重点工作。一季度，进一步健全调查研究、工作例会、挂账督查等工作制度，确保各项工作有序展开。年内总结、推广3-5个不同类型、不同行业推进产业工人队伍建设改革的典型经验。</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四、围绕中心服务大局，在推进县域经济高质量发展上展现新作为</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1、实施职工素质提升工程。紧扣县委“11446”发展思路和“135”发展布局，结合全县产业结构调整的新动态，大力开展就业技能培训、岗位技能培训、创业创新培训和安全技能培训。通过培训，提高企业的核心竞争力和企业效益，助推企业高质量发展。</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2、围绕</w:t>
      </w:r>
      <w:r>
        <w:rPr>
          <w:rFonts w:hint="eastAsia" w:cs="方正仿宋_GBK" w:asciiTheme="minorEastAsia" w:hAnsiTheme="minorEastAsia" w:eastAsiaTheme="minorEastAsia"/>
          <w:sz w:val="28"/>
          <w:szCs w:val="28"/>
          <w:lang w:eastAsia="zh-CN"/>
        </w:rPr>
        <w:t>创新驱动发展战略</w:t>
      </w:r>
      <w:r>
        <w:rPr>
          <w:rFonts w:hint="eastAsia" w:cs="方正仿宋_GBK" w:asciiTheme="minorEastAsia" w:hAnsiTheme="minorEastAsia" w:eastAsiaTheme="minorEastAsia"/>
          <w:sz w:val="28"/>
          <w:szCs w:val="28"/>
        </w:rPr>
        <w:t>和绿色低碳发展，开展劳动和技能竞赛。要不断拓展竞赛领域和内涵，扩大竞赛覆盖面。上半年和下半年要分别组织2次区域性、行业性职业技能竞赛。</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3、推动劳动竞赛向下延伸。基层工会和企业要以五小（小发明、小创造、小改革、小攻关、小建议）活动为载体，推动劳动竞赛下沉到车间，班组，吸引广大职工普遍开展岗位练兵、技术比武活动，为提高产品质量和企业效益，贡献聪明才智。“五一”国际劳动节拟评选表彰一批职工（劳模）创新工作室、金牌工人、技术工匠，创新能手，把劳动竞赛打造成工会围绕中心服务大局的工作品牌。</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五、聚焦工会主责主业，竭诚为职工解难题办实事</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1、进一步完善和落实以职工代表大会为基本形式的企事业单位民主管理制度，深入开展和谐劳动关系创建活动。下半年，对创建活动进行一次检查、评比活动。</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2、认真贯彻落实《河北省工会劳动法律监督条例》等涉及职工切身利益的法律、法规、条例和政策文件，畅通职工维权渠道，开展好普法宣传教育和职工法律援助活动。充分发挥各级工会职工服务中心和互联网、微信平台的作用、解决服务职工“最后一公里”的问题。</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3、建立健全职工梯度帮扶机制。在做好“春送岗位、夏送清凉、金秋助学、冬送温暖”常态化、品牌化帮扶工作的同时，突出抓好对建档立卡城市困难职工和工会分包农村困难群众的帮扶工作，要按照“两不愁三保障”，的标准确保年末完成城镇职工脱困解困工作。同时，通过总结工作，吸收外地成熟经验，扩大职工普惠服务范围，增强广大职工群众的幸福感、获得感。</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4、组织开展职工喜闻乐见、丰富多彩的文体活动，使广大职工时刻保持昂扬向上的精神状态。围绕“书香隆尧”建设，广泛开展职工读书活动，大力发展职工文化和企业文化，培养职工文化人才，继续做好职工系列读本的编印出版工作。利用“五一”、“七一”、“十一”等重大节日组织篮球、乒乓球、羽毛球等体育比赛，举办职工书画展、文艺演出等。“五一”国际劳动节联合县电视台举办一场职工文艺晚会。</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六、切实转变作风，加强各级工会领导班子建设</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1、始终坚定正确政治方向。认真落实“不忘初心、牢记使命”主题教育整改措施，扎实推进县总工会领导班子和各级工会干部的思想政治建设。引导工会广大干部牢固树立“四个意识”、坚定“四个自信”、做到“两个”维护，始终在政治思想上同以习近平</w:t>
      </w:r>
      <w:r>
        <w:rPr>
          <w:rFonts w:hint="eastAsia" w:cs="方正仿宋_GBK" w:asciiTheme="minorEastAsia" w:hAnsiTheme="minorEastAsia" w:eastAsiaTheme="minorEastAsia"/>
          <w:sz w:val="28"/>
          <w:szCs w:val="28"/>
          <w:lang w:val="en-US" w:eastAsia="zh-CN"/>
        </w:rPr>
        <w:t>同志</w:t>
      </w:r>
      <w:r>
        <w:rPr>
          <w:rFonts w:hint="eastAsia" w:cs="方正仿宋_GBK" w:asciiTheme="minorEastAsia" w:hAnsiTheme="minorEastAsia" w:eastAsiaTheme="minorEastAsia"/>
          <w:sz w:val="28"/>
          <w:szCs w:val="28"/>
        </w:rPr>
        <w:t>为核心的党中央保持高度一致，时刻保持昂扬向上的精神状态和干事创业的激情。</w:t>
      </w:r>
    </w:p>
    <w:p>
      <w:pPr>
        <w:spacing w:line="500" w:lineRule="exact"/>
        <w:ind w:firstLine="560" w:firstLineChars="200"/>
        <w:jc w:val="left"/>
        <w:rPr>
          <w:rFonts w:cs="方正仿宋_GBK" w:asciiTheme="minorEastAsia" w:hAnsiTheme="minorEastAsia" w:eastAsiaTheme="minorEastAsia"/>
          <w:sz w:val="28"/>
          <w:szCs w:val="28"/>
        </w:rPr>
      </w:pPr>
      <w:r>
        <w:rPr>
          <w:rFonts w:hint="eastAsia" w:cs="方正仿宋_GBK" w:asciiTheme="minorEastAsia" w:hAnsiTheme="minorEastAsia" w:eastAsiaTheme="minorEastAsia"/>
          <w:sz w:val="28"/>
          <w:szCs w:val="28"/>
        </w:rPr>
        <w:t>2、全面加强党风廉政建设。认真履行县总工会党组全面从严治党和党风廉政建设的主体责任。认真学习党章党规党纪，坚持“三严三实”要求，落实中央八项规定精神，坚决抵制和纠正“四风”问题，严明政治纪律和政治规矩，塑造风清气正的政治生态，努力建设一支干净干事、担当有为的工会干部队伍，为促进工会工作改革，推动隆尧高质量发展，建设“经济强县、幸福隆尧”贡献工会力量。</w:t>
      </w:r>
    </w:p>
    <w:p>
      <w:pPr>
        <w:ind w:firstLine="703" w:firstLineChars="250"/>
        <w:outlineLvl w:val="0"/>
        <w:rPr>
          <w:rFonts w:cs="Times New Roman" w:asciiTheme="minorEastAsia" w:hAnsiTheme="minorEastAsia" w:eastAsiaTheme="minorEastAsia"/>
          <w:b/>
          <w:sz w:val="28"/>
          <w:szCs w:val="28"/>
        </w:rPr>
      </w:pPr>
      <w:r>
        <w:rPr>
          <w:rFonts w:hint="eastAsia" w:cs="Times New Roman" w:asciiTheme="minorEastAsia" w:hAnsiTheme="minorEastAsia" w:eastAsiaTheme="minorEastAsia"/>
          <w:b/>
          <w:sz w:val="28"/>
          <w:szCs w:val="28"/>
        </w:rPr>
        <w:t>部门职责及工作活动绩效目标指标：</w:t>
      </w:r>
      <w:bookmarkEnd w:id="0"/>
      <w:bookmarkStart w:id="1" w:name="_Toc1995555"/>
    </w:p>
    <w:p>
      <w:pPr>
        <w:ind w:firstLine="562" w:firstLineChars="200"/>
        <w:jc w:val="left"/>
        <w:outlineLvl w:val="1"/>
        <w:rPr>
          <w:rFonts w:cs="宋体" w:asciiTheme="minorEastAsia" w:hAnsiTheme="minorEastAsia" w:eastAsiaTheme="minorEastAsia"/>
          <w:b/>
          <w:sz w:val="28"/>
          <w:szCs w:val="28"/>
        </w:rPr>
      </w:pPr>
      <w:r>
        <w:rPr>
          <w:rFonts w:hint="eastAsia" w:cs="方正仿宋_GBK" w:asciiTheme="minorEastAsia" w:hAnsiTheme="minorEastAsia" w:eastAsiaTheme="minorEastAsia"/>
          <w:b/>
          <w:sz w:val="28"/>
          <w:szCs w:val="28"/>
        </w:rPr>
        <w:t>1、工会经费绩效目标表</w:t>
      </w:r>
      <w:bookmarkStart w:id="2" w:name="_Toc16722"/>
      <w:r>
        <w:rPr>
          <w:rFonts w:hint="eastAsia" w:asciiTheme="minorEastAsia" w:hAnsiTheme="minorEastAsia" w:eastAsiaTheme="minorEastAsia"/>
          <w:sz w:val="28"/>
          <w:szCs w:val="28"/>
        </w:rPr>
        <w:fldChar w:fldCharType="begin"/>
      </w:r>
      <w:r>
        <w:rPr>
          <w:rFonts w:hint="eastAsia" w:cs="方正仿宋_GBK" w:asciiTheme="minorEastAsia" w:hAnsiTheme="minorEastAsia" w:eastAsiaTheme="minorEastAsia"/>
          <w:b/>
          <w:sz w:val="28"/>
          <w:szCs w:val="28"/>
        </w:rPr>
        <w:instrText xml:space="preserve"> TC 1、工会经费绩效目标表 \f C \l 1 </w:instrText>
      </w:r>
      <w:r>
        <w:rPr>
          <w:rFonts w:hint="eastAsia" w:cs="方正仿宋_GBK" w:asciiTheme="minorEastAsia" w:hAnsiTheme="minorEastAsia" w:eastAsiaTheme="minorEastAsia"/>
          <w:b/>
          <w:sz w:val="28"/>
          <w:szCs w:val="28"/>
        </w:rPr>
        <w:fldChar w:fldCharType="end"/>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711002隆尧县总工会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项目编码</w:t>
            </w:r>
          </w:p>
        </w:tc>
        <w:tc>
          <w:tcPr>
            <w:tcW w:w="2410" w:type="dxa"/>
            <w:gridSpan w:val="2"/>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711-0301-YXN-2M2G</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项目名称</w:t>
            </w:r>
          </w:p>
        </w:tc>
        <w:tc>
          <w:tcPr>
            <w:tcW w:w="4281" w:type="dxa"/>
            <w:gridSpan w:val="3"/>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工会经费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预算规模及资金用途</w:t>
            </w:r>
          </w:p>
        </w:tc>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预算数</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2260000.00</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其中：财政资金</w:t>
            </w:r>
          </w:p>
        </w:tc>
        <w:tc>
          <w:tcPr>
            <w:tcW w:w="130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2260000.00</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其他资金</w:t>
            </w:r>
          </w:p>
        </w:tc>
        <w:tc>
          <w:tcPr>
            <w:tcW w:w="1701" w:type="dxa"/>
            <w:vAlign w:val="center"/>
          </w:tcPr>
          <w:p>
            <w:pPr>
              <w:spacing w:line="300" w:lineRule="exact"/>
              <w:jc w:val="left"/>
              <w:rPr>
                <w:rFonts w:cs="方正书宋_GBK" w:asciiTheme="minorEastAsia" w:hAnsiTheme="minorEastAsia" w:eastAsiaTheme="minorEastAsia"/>
                <w:b/>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cs="方正仿宋_GBK" w:asciiTheme="minorEastAsia" w:hAnsiTheme="minorEastAsia" w:eastAsiaTheme="minorEastAsia"/>
                <w:b/>
                <w:sz w:val="28"/>
                <w:szCs w:val="28"/>
              </w:rPr>
            </w:pPr>
          </w:p>
        </w:tc>
        <w:tc>
          <w:tcPr>
            <w:tcW w:w="8279" w:type="dxa"/>
            <w:gridSpan w:val="6"/>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用于县级工会各项工作的正常运行。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资金支出计划（%）</w:t>
            </w:r>
          </w:p>
        </w:tc>
        <w:tc>
          <w:tcPr>
            <w:tcW w:w="2410"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3月底</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6月底</w:t>
            </w:r>
          </w:p>
        </w:tc>
        <w:tc>
          <w:tcPr>
            <w:tcW w:w="130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10月底</w:t>
            </w:r>
          </w:p>
        </w:tc>
        <w:tc>
          <w:tcPr>
            <w:tcW w:w="2977"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cs="方正仿宋_GBK" w:asciiTheme="minorEastAsia" w:hAnsiTheme="minorEastAsia" w:eastAsiaTheme="minorEastAsia"/>
                <w:b/>
                <w:sz w:val="28"/>
                <w:szCs w:val="28"/>
              </w:rPr>
            </w:pPr>
          </w:p>
        </w:tc>
        <w:tc>
          <w:tcPr>
            <w:tcW w:w="2410"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25.00</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50.00</w:t>
            </w:r>
          </w:p>
        </w:tc>
        <w:tc>
          <w:tcPr>
            <w:tcW w:w="130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85.00</w:t>
            </w:r>
          </w:p>
        </w:tc>
        <w:tc>
          <w:tcPr>
            <w:tcW w:w="2977"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绩效目标</w:t>
            </w:r>
          </w:p>
        </w:tc>
        <w:tc>
          <w:tcPr>
            <w:tcW w:w="8279" w:type="dxa"/>
            <w:gridSpan w:val="6"/>
            <w:tcBorders>
              <w:bottom w:val="nil"/>
            </w:tcBorders>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1、足额划拨工会经费。</w:t>
            </w:r>
          </w:p>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2、按时划拨工会经费。</w:t>
            </w:r>
          </w:p>
        </w:tc>
      </w:tr>
    </w:tbl>
    <w:p>
      <w:pPr>
        <w:spacing w:line="14" w:lineRule="exact"/>
        <w:ind w:firstLine="562" w:firstLineChars="200"/>
        <w:jc w:val="center"/>
        <w:rPr>
          <w:rFonts w:cs="宋体" w:asciiTheme="minorEastAsia" w:hAnsiTheme="minorEastAsia" w:eastAsiaTheme="minorEastAsia"/>
          <w:b/>
          <w:sz w:val="28"/>
          <w:szCs w:val="28"/>
        </w:rPr>
      </w:pPr>
      <w:r>
        <w:rPr>
          <w:rFonts w:hint="eastAsia" w:cs="方正书宋_GBK" w:asciiTheme="minorEastAsia" w:hAnsiTheme="minorEastAsia" w:eastAsiaTheme="minorEastAsia"/>
          <w:b/>
          <w:sz w:val="28"/>
          <w:szCs w:val="2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一级指标</w:t>
            </w:r>
          </w:p>
        </w:tc>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二级指标</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三级指标</w:t>
            </w:r>
          </w:p>
        </w:tc>
        <w:tc>
          <w:tcPr>
            <w:tcW w:w="2892"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绩效指标描述</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指标值</w:t>
            </w:r>
          </w:p>
        </w:tc>
        <w:tc>
          <w:tcPr>
            <w:tcW w:w="1701"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产出指标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数量指标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覆盖率</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划拨工会经费足额到位。</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≥95百分比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cs="方正书宋_GBK" w:asciiTheme="minorEastAsia" w:hAnsiTheme="minorEastAsia" w:eastAsiaTheme="minorEastAsia"/>
                <w:b/>
                <w:sz w:val="28"/>
                <w:szCs w:val="28"/>
              </w:rPr>
            </w:pP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时效指标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完成率</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按照要求和计划完成研究任务项目中的比例（百分比）</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≥95百分比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效果指标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社会效益指标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社会稳定水平</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促进社会稳定水平逐步提高</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≥95百分比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cs="方正书宋_GBK" w:asciiTheme="minorEastAsia" w:hAnsiTheme="minorEastAsia" w:eastAsiaTheme="minorEastAsia"/>
                <w:b/>
                <w:sz w:val="28"/>
                <w:szCs w:val="28"/>
              </w:rPr>
            </w:pP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可持续影响指标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长期使用性</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能够长期较好地开展工会工作，长期满足人民群众的需求。</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≥95百分比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满意度指标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服务对象满意度指标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群众满意度</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群众满意数量占总数的比例。</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≥95百分比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工会法</w:t>
            </w:r>
          </w:p>
        </w:tc>
      </w:tr>
    </w:tbl>
    <w:p>
      <w:pPr>
        <w:spacing w:line="300" w:lineRule="exact"/>
        <w:ind w:firstLine="562" w:firstLineChars="200"/>
        <w:jc w:val="left"/>
        <w:rPr>
          <w:rFonts w:cs="方正书宋_GBK" w:asciiTheme="minorEastAsia" w:hAnsiTheme="minorEastAsia" w:eastAsiaTheme="minorEastAsia"/>
          <w:b/>
          <w:sz w:val="28"/>
          <w:szCs w:val="28"/>
        </w:rPr>
        <w:sectPr>
          <w:pgSz w:w="11906" w:h="16838"/>
          <w:pgMar w:top="1984" w:right="1304" w:bottom="1134" w:left="1304" w:header="851" w:footer="992" w:gutter="0"/>
          <w:cols w:space="720" w:num="1"/>
          <w:docGrid w:type="lines" w:linePitch="312" w:charSpace="0"/>
        </w:sectPr>
      </w:pPr>
    </w:p>
    <w:p>
      <w:pPr>
        <w:spacing w:line="300" w:lineRule="exact"/>
        <w:ind w:firstLine="562" w:firstLineChars="200"/>
        <w:jc w:val="left"/>
        <w:rPr>
          <w:rFonts w:cs="方正书宋_GBK" w:asciiTheme="minorEastAsia" w:hAnsiTheme="minorEastAsia" w:eastAsiaTheme="minorEastAsia"/>
          <w:b/>
          <w:sz w:val="28"/>
          <w:szCs w:val="28"/>
        </w:rPr>
      </w:pPr>
    </w:p>
    <w:p>
      <w:pPr>
        <w:ind w:firstLine="562" w:firstLineChars="200"/>
        <w:jc w:val="left"/>
        <w:outlineLvl w:val="1"/>
        <w:rPr>
          <w:rFonts w:cs="宋体" w:asciiTheme="minorEastAsia" w:hAnsiTheme="minorEastAsia" w:eastAsiaTheme="minorEastAsia"/>
          <w:b/>
          <w:sz w:val="28"/>
          <w:szCs w:val="28"/>
        </w:rPr>
      </w:pPr>
      <w:r>
        <w:rPr>
          <w:rFonts w:hint="eastAsia" w:cs="方正仿宋_GBK" w:asciiTheme="minorEastAsia" w:hAnsiTheme="minorEastAsia" w:eastAsiaTheme="minorEastAsia"/>
          <w:b/>
          <w:sz w:val="28"/>
          <w:szCs w:val="28"/>
        </w:rPr>
        <w:t>2、工会经费绩效目标表</w:t>
      </w:r>
      <w:bookmarkStart w:id="3" w:name="_Toc31184"/>
      <w:r>
        <w:rPr>
          <w:rFonts w:hint="eastAsia" w:asciiTheme="minorEastAsia" w:hAnsiTheme="minorEastAsia" w:eastAsiaTheme="minorEastAsia"/>
          <w:sz w:val="28"/>
          <w:szCs w:val="28"/>
        </w:rPr>
        <w:fldChar w:fldCharType="begin"/>
      </w:r>
      <w:r>
        <w:rPr>
          <w:rFonts w:hint="eastAsia" w:cs="方正仿宋_GBK" w:asciiTheme="minorEastAsia" w:hAnsiTheme="minorEastAsia" w:eastAsiaTheme="minorEastAsia"/>
          <w:b/>
          <w:sz w:val="28"/>
          <w:szCs w:val="28"/>
        </w:rPr>
        <w:instrText xml:space="preserve"> TC 2、工会经费绩效目标表 \f C \l 1 </w:instrText>
      </w:r>
      <w:r>
        <w:rPr>
          <w:rFonts w:hint="eastAsia" w:cs="方正仿宋_GBK" w:asciiTheme="minorEastAsia" w:hAnsiTheme="minorEastAsia" w:eastAsiaTheme="minorEastAsia"/>
          <w:b/>
          <w:sz w:val="28"/>
          <w:szCs w:val="28"/>
        </w:rPr>
        <w:fldChar w:fldCharType="end"/>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711002隆尧县总工会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项目编码</w:t>
            </w:r>
          </w:p>
        </w:tc>
        <w:tc>
          <w:tcPr>
            <w:tcW w:w="2410" w:type="dxa"/>
            <w:gridSpan w:val="2"/>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711-0301-YXN-MT84</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项目名称</w:t>
            </w:r>
          </w:p>
        </w:tc>
        <w:tc>
          <w:tcPr>
            <w:tcW w:w="4281" w:type="dxa"/>
            <w:gridSpan w:val="3"/>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工会经费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预算规模及资金用途</w:t>
            </w:r>
          </w:p>
        </w:tc>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预算数</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740000.00</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其中：财政资金</w:t>
            </w:r>
          </w:p>
        </w:tc>
        <w:tc>
          <w:tcPr>
            <w:tcW w:w="130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740000.00</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其他资金</w:t>
            </w:r>
          </w:p>
        </w:tc>
        <w:tc>
          <w:tcPr>
            <w:tcW w:w="1701" w:type="dxa"/>
            <w:vAlign w:val="center"/>
          </w:tcPr>
          <w:p>
            <w:pPr>
              <w:spacing w:line="300" w:lineRule="exact"/>
              <w:jc w:val="left"/>
              <w:rPr>
                <w:rFonts w:cs="方正书宋_GBK" w:asciiTheme="minorEastAsia" w:hAnsiTheme="minorEastAsia" w:eastAsiaTheme="minorEastAsia"/>
                <w:b/>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cs="方正仿宋_GBK" w:asciiTheme="minorEastAsia" w:hAnsiTheme="minorEastAsia" w:eastAsiaTheme="minorEastAsia"/>
                <w:b/>
                <w:sz w:val="28"/>
                <w:szCs w:val="28"/>
              </w:rPr>
            </w:pPr>
          </w:p>
        </w:tc>
        <w:tc>
          <w:tcPr>
            <w:tcW w:w="8279" w:type="dxa"/>
            <w:gridSpan w:val="6"/>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资金用于对单位在职人员缴纳住房公积金、养老保险、职业年金、医疗保险的单位缴费部分。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资金支出计划（%）</w:t>
            </w:r>
          </w:p>
        </w:tc>
        <w:tc>
          <w:tcPr>
            <w:tcW w:w="2410"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3月底</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6月底</w:t>
            </w:r>
          </w:p>
        </w:tc>
        <w:tc>
          <w:tcPr>
            <w:tcW w:w="130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10月底</w:t>
            </w:r>
          </w:p>
        </w:tc>
        <w:tc>
          <w:tcPr>
            <w:tcW w:w="2977"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cs="方正仿宋_GBK" w:asciiTheme="minorEastAsia" w:hAnsiTheme="minorEastAsia" w:eastAsiaTheme="minorEastAsia"/>
                <w:b/>
                <w:sz w:val="28"/>
                <w:szCs w:val="28"/>
              </w:rPr>
            </w:pPr>
          </w:p>
        </w:tc>
        <w:tc>
          <w:tcPr>
            <w:tcW w:w="2410"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25.00</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50.00</w:t>
            </w:r>
          </w:p>
        </w:tc>
        <w:tc>
          <w:tcPr>
            <w:tcW w:w="130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85.00</w:t>
            </w:r>
          </w:p>
        </w:tc>
        <w:tc>
          <w:tcPr>
            <w:tcW w:w="2977"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绩效目标</w:t>
            </w:r>
          </w:p>
        </w:tc>
        <w:tc>
          <w:tcPr>
            <w:tcW w:w="8279" w:type="dxa"/>
            <w:gridSpan w:val="6"/>
            <w:tcBorders>
              <w:bottom w:val="nil"/>
            </w:tcBorders>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1、按时完成缴费。</w:t>
            </w:r>
          </w:p>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2、足额缴纳。</w:t>
            </w:r>
          </w:p>
        </w:tc>
      </w:tr>
    </w:tbl>
    <w:p>
      <w:pPr>
        <w:spacing w:line="14" w:lineRule="exact"/>
        <w:ind w:firstLine="562" w:firstLineChars="200"/>
        <w:jc w:val="center"/>
        <w:rPr>
          <w:rFonts w:cs="宋体" w:asciiTheme="minorEastAsia" w:hAnsiTheme="minorEastAsia" w:eastAsiaTheme="minorEastAsia"/>
          <w:b/>
          <w:sz w:val="28"/>
          <w:szCs w:val="28"/>
        </w:rPr>
      </w:pPr>
      <w:r>
        <w:rPr>
          <w:rFonts w:hint="eastAsia" w:cs="方正书宋_GBK" w:asciiTheme="minorEastAsia" w:hAnsiTheme="minorEastAsia" w:eastAsiaTheme="minorEastAsia"/>
          <w:b/>
          <w:sz w:val="28"/>
          <w:szCs w:val="2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一级指标</w:t>
            </w:r>
          </w:p>
        </w:tc>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二级指标</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三级指标</w:t>
            </w:r>
          </w:p>
        </w:tc>
        <w:tc>
          <w:tcPr>
            <w:tcW w:w="2892"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绩效指标描述</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指标值</w:t>
            </w:r>
          </w:p>
        </w:tc>
        <w:tc>
          <w:tcPr>
            <w:tcW w:w="1701"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产出指标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时效指标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完成率</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按照要求和计划完成任务的项目在所有立项项目中的比例（百分比）</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100百分比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cs="方正书宋_GBK" w:asciiTheme="minorEastAsia" w:hAnsiTheme="minorEastAsia" w:eastAsiaTheme="minorEastAsia"/>
                <w:b/>
                <w:sz w:val="28"/>
                <w:szCs w:val="28"/>
              </w:rPr>
            </w:pP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数量指标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覆盖率</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单位全体在职人员住房公积金养老保险医疗保险职业年金等单位缴费。</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100百分比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效果指标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可持续影响指标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序时完成</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能够便于工会长期较好地开展工作。</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≥95百分比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职工反映。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cs="方正书宋_GBK" w:asciiTheme="minorEastAsia" w:hAnsiTheme="minorEastAsia" w:eastAsiaTheme="minorEastAsia"/>
                <w:b/>
                <w:sz w:val="28"/>
                <w:szCs w:val="28"/>
              </w:rPr>
            </w:pP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社会效益指标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足额完成</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职工正常工作生活不受影响。</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≥95百分比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职工反映。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满意度指标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服务对象满意度指标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服务对象满意度</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单位在职职工的满意程度。</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≥0百分比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职工意见。</w:t>
            </w:r>
          </w:p>
        </w:tc>
      </w:tr>
    </w:tbl>
    <w:p>
      <w:pPr>
        <w:spacing w:line="300" w:lineRule="exact"/>
        <w:ind w:firstLine="562" w:firstLineChars="200"/>
        <w:jc w:val="left"/>
        <w:rPr>
          <w:rFonts w:cs="方正书宋_GBK" w:asciiTheme="minorEastAsia" w:hAnsiTheme="minorEastAsia" w:eastAsiaTheme="minorEastAsia"/>
          <w:b/>
          <w:sz w:val="28"/>
          <w:szCs w:val="28"/>
        </w:rPr>
        <w:sectPr>
          <w:pgSz w:w="11906" w:h="16838"/>
          <w:pgMar w:top="1984" w:right="1304" w:bottom="1134" w:left="1304" w:header="851" w:footer="992" w:gutter="0"/>
          <w:cols w:space="720" w:num="1"/>
          <w:docGrid w:type="lines" w:linePitch="312" w:charSpace="0"/>
        </w:sectPr>
      </w:pPr>
    </w:p>
    <w:p>
      <w:pPr>
        <w:spacing w:line="300" w:lineRule="exact"/>
        <w:ind w:firstLine="562" w:firstLineChars="200"/>
        <w:jc w:val="left"/>
        <w:rPr>
          <w:rFonts w:cs="方正书宋_GBK" w:asciiTheme="minorEastAsia" w:hAnsiTheme="minorEastAsia" w:eastAsiaTheme="minorEastAsia"/>
          <w:b/>
          <w:sz w:val="28"/>
          <w:szCs w:val="28"/>
        </w:rPr>
      </w:pPr>
    </w:p>
    <w:p>
      <w:pPr>
        <w:ind w:firstLine="562" w:firstLineChars="200"/>
        <w:jc w:val="left"/>
        <w:outlineLvl w:val="1"/>
        <w:rPr>
          <w:rFonts w:cs="宋体" w:asciiTheme="minorEastAsia" w:hAnsiTheme="minorEastAsia" w:eastAsiaTheme="minorEastAsia"/>
          <w:b/>
          <w:sz w:val="28"/>
          <w:szCs w:val="28"/>
        </w:rPr>
      </w:pPr>
      <w:r>
        <w:rPr>
          <w:rFonts w:hint="eastAsia" w:cs="方正仿宋_GBK" w:asciiTheme="minorEastAsia" w:hAnsiTheme="minorEastAsia" w:eastAsiaTheme="minorEastAsia"/>
          <w:b/>
          <w:sz w:val="28"/>
          <w:szCs w:val="28"/>
        </w:rPr>
        <w:t>3、冀财行[2019]46号/提前下达2020年困难职工及劳模帮扶救助专项资金绩效目标表</w:t>
      </w:r>
      <w:bookmarkStart w:id="4" w:name="_Toc2712"/>
      <w:r>
        <w:rPr>
          <w:rFonts w:hint="eastAsia" w:asciiTheme="minorEastAsia" w:hAnsiTheme="minorEastAsia" w:eastAsiaTheme="minorEastAsia"/>
          <w:sz w:val="28"/>
          <w:szCs w:val="28"/>
        </w:rPr>
        <w:fldChar w:fldCharType="begin"/>
      </w:r>
      <w:r>
        <w:rPr>
          <w:rFonts w:hint="eastAsia" w:cs="方正仿宋_GBK" w:asciiTheme="minorEastAsia" w:hAnsiTheme="minorEastAsia" w:eastAsiaTheme="minorEastAsia"/>
          <w:b/>
          <w:sz w:val="28"/>
          <w:szCs w:val="28"/>
        </w:rPr>
        <w:instrText xml:space="preserve"> TC 3、冀财行[2019]46号/提前下达2020年困难职工及劳模帮扶救助专项资金绩效目标表 \f C \l 1 </w:instrText>
      </w:r>
      <w:r>
        <w:rPr>
          <w:rFonts w:hint="eastAsia" w:cs="方正仿宋_GBK" w:asciiTheme="minorEastAsia" w:hAnsiTheme="minorEastAsia" w:eastAsiaTheme="minorEastAsia"/>
          <w:b/>
          <w:sz w:val="28"/>
          <w:szCs w:val="28"/>
        </w:rPr>
        <w:fldChar w:fldCharType="end"/>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711002隆尧县总工会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项目编码</w:t>
            </w:r>
          </w:p>
        </w:tc>
        <w:tc>
          <w:tcPr>
            <w:tcW w:w="2410" w:type="dxa"/>
            <w:gridSpan w:val="2"/>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711-0102-YXN-WFS0</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项目名称</w:t>
            </w:r>
          </w:p>
        </w:tc>
        <w:tc>
          <w:tcPr>
            <w:tcW w:w="4281" w:type="dxa"/>
            <w:gridSpan w:val="3"/>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冀财行[2019]46号/提前下达2020年困难职工及劳模帮扶救助专项资金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预算规模及资金用途</w:t>
            </w:r>
          </w:p>
        </w:tc>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预算数</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109000.00</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其中：财政资金</w:t>
            </w:r>
          </w:p>
        </w:tc>
        <w:tc>
          <w:tcPr>
            <w:tcW w:w="130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109000.00</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其他资金</w:t>
            </w:r>
          </w:p>
        </w:tc>
        <w:tc>
          <w:tcPr>
            <w:tcW w:w="1701" w:type="dxa"/>
            <w:vAlign w:val="center"/>
          </w:tcPr>
          <w:p>
            <w:pPr>
              <w:spacing w:line="300" w:lineRule="exact"/>
              <w:jc w:val="left"/>
              <w:rPr>
                <w:rFonts w:cs="方正书宋_GBK" w:asciiTheme="minorEastAsia" w:hAnsiTheme="minorEastAsia" w:eastAsiaTheme="minorEastAsia"/>
                <w:b/>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cs="方正仿宋_GBK" w:asciiTheme="minorEastAsia" w:hAnsiTheme="minorEastAsia" w:eastAsiaTheme="minorEastAsia"/>
                <w:b/>
                <w:sz w:val="28"/>
                <w:szCs w:val="28"/>
              </w:rPr>
            </w:pPr>
          </w:p>
        </w:tc>
        <w:tc>
          <w:tcPr>
            <w:tcW w:w="8279" w:type="dxa"/>
            <w:gridSpan w:val="6"/>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用于对困难职工及劳模帮扶救助。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资金支出计划（%）</w:t>
            </w:r>
          </w:p>
        </w:tc>
        <w:tc>
          <w:tcPr>
            <w:tcW w:w="2410"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3月底</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6月底</w:t>
            </w:r>
          </w:p>
        </w:tc>
        <w:tc>
          <w:tcPr>
            <w:tcW w:w="130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10月底</w:t>
            </w:r>
          </w:p>
        </w:tc>
        <w:tc>
          <w:tcPr>
            <w:tcW w:w="2977"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cs="方正仿宋_GBK" w:asciiTheme="minorEastAsia" w:hAnsiTheme="minorEastAsia" w:eastAsiaTheme="minorEastAsia"/>
                <w:b/>
                <w:sz w:val="28"/>
                <w:szCs w:val="28"/>
              </w:rPr>
            </w:pPr>
          </w:p>
        </w:tc>
        <w:tc>
          <w:tcPr>
            <w:tcW w:w="2410"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30.00</w:t>
            </w:r>
          </w:p>
        </w:tc>
        <w:tc>
          <w:tcPr>
            <w:tcW w:w="1588"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60.00</w:t>
            </w:r>
          </w:p>
        </w:tc>
        <w:tc>
          <w:tcPr>
            <w:tcW w:w="130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90.00</w:t>
            </w:r>
          </w:p>
        </w:tc>
        <w:tc>
          <w:tcPr>
            <w:tcW w:w="2977" w:type="dxa"/>
            <w:gridSpan w:val="2"/>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绩效目标</w:t>
            </w:r>
          </w:p>
        </w:tc>
        <w:tc>
          <w:tcPr>
            <w:tcW w:w="8279" w:type="dxa"/>
            <w:gridSpan w:val="6"/>
            <w:tcBorders>
              <w:bottom w:val="nil"/>
            </w:tcBorders>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1、困难职工及劳模受到救助。</w:t>
            </w:r>
          </w:p>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2、及时救助。</w:t>
            </w:r>
          </w:p>
        </w:tc>
      </w:tr>
    </w:tbl>
    <w:p>
      <w:pPr>
        <w:spacing w:line="14" w:lineRule="exact"/>
        <w:ind w:firstLine="562" w:firstLineChars="200"/>
        <w:jc w:val="center"/>
        <w:rPr>
          <w:rFonts w:cs="宋体" w:asciiTheme="minorEastAsia" w:hAnsiTheme="minorEastAsia" w:eastAsiaTheme="minorEastAsia"/>
          <w:b/>
          <w:sz w:val="28"/>
          <w:szCs w:val="28"/>
        </w:rPr>
      </w:pPr>
      <w:r>
        <w:rPr>
          <w:rFonts w:hint="eastAsia" w:cs="方正书宋_GBK" w:asciiTheme="minorEastAsia" w:hAnsiTheme="minorEastAsia" w:eastAsiaTheme="minorEastAsia"/>
          <w:b/>
          <w:sz w:val="28"/>
          <w:szCs w:val="2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一级指标</w:t>
            </w:r>
          </w:p>
        </w:tc>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二级指标</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三级指标</w:t>
            </w:r>
          </w:p>
        </w:tc>
        <w:tc>
          <w:tcPr>
            <w:tcW w:w="2892"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绩效指标描述</w:t>
            </w:r>
          </w:p>
        </w:tc>
        <w:tc>
          <w:tcPr>
            <w:tcW w:w="1276"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指标值</w:t>
            </w:r>
          </w:p>
        </w:tc>
        <w:tc>
          <w:tcPr>
            <w:tcW w:w="1701"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产出指标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数量指标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覆盖率</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对困难职工及劳模帮扶救助的覆盖情况</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≥90百分比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受助对象满意率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cs="方正书宋_GBK" w:asciiTheme="minorEastAsia" w:hAnsiTheme="minorEastAsia" w:eastAsiaTheme="minorEastAsia"/>
                <w:b/>
                <w:sz w:val="28"/>
                <w:szCs w:val="28"/>
              </w:rPr>
            </w:pP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时效指标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扶助资金到位率</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实际到位扶助资金占应到位资金的比例</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≥90百分比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受助对象满意率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效果指标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社会效益指标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社会稳定水平</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通过实施计划生育扶助政策促进社会稳定水平逐步提高</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≥90百分比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cs="方正书宋_GBK" w:asciiTheme="minorEastAsia" w:hAnsiTheme="minorEastAsia" w:eastAsiaTheme="minorEastAsia"/>
                <w:b/>
                <w:sz w:val="28"/>
                <w:szCs w:val="28"/>
              </w:rPr>
            </w:pP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可持续影响指标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长期使用性</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能够长期满足困难职工正常生活的需求。</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≥90百分比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满意度指标</w:t>
            </w:r>
          </w:p>
        </w:tc>
        <w:tc>
          <w:tcPr>
            <w:tcW w:w="1134"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服务对象满意度指标</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群众满意度</w:t>
            </w:r>
          </w:p>
        </w:tc>
        <w:tc>
          <w:tcPr>
            <w:tcW w:w="2892"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群众满意数量占总数的比例。</w:t>
            </w:r>
          </w:p>
        </w:tc>
        <w:tc>
          <w:tcPr>
            <w:tcW w:w="1276"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≥90百分比</w:t>
            </w:r>
          </w:p>
        </w:tc>
        <w:tc>
          <w:tcPr>
            <w:tcW w:w="1701" w:type="dxa"/>
            <w:vAlign w:val="center"/>
          </w:tcPr>
          <w:p>
            <w:pPr>
              <w:spacing w:line="300" w:lineRule="exact"/>
              <w:jc w:val="left"/>
              <w:rPr>
                <w:rFonts w:cs="方正书宋_GBK" w:asciiTheme="minorEastAsia" w:hAnsiTheme="minorEastAsia" w:eastAsiaTheme="minorEastAsia"/>
                <w:b/>
                <w:sz w:val="28"/>
                <w:szCs w:val="28"/>
              </w:rPr>
            </w:pPr>
            <w:r>
              <w:rPr>
                <w:rFonts w:hint="eastAsia" w:cs="方正书宋_GBK" w:asciiTheme="minorEastAsia" w:hAnsiTheme="minorEastAsia" w:eastAsiaTheme="minorEastAsia"/>
                <w:b/>
                <w:sz w:val="28"/>
                <w:szCs w:val="28"/>
              </w:rPr>
              <w:t>社会稳定</w:t>
            </w:r>
          </w:p>
        </w:tc>
      </w:tr>
    </w:tbl>
    <w:p>
      <w:pPr>
        <w:spacing w:line="300" w:lineRule="exact"/>
        <w:ind w:firstLine="562" w:firstLineChars="200"/>
        <w:jc w:val="left"/>
        <w:rPr>
          <w:rFonts w:cs="方正书宋_GBK" w:asciiTheme="minorEastAsia" w:hAnsiTheme="minorEastAsia" w:eastAsiaTheme="minorEastAsia"/>
          <w:b/>
          <w:sz w:val="28"/>
          <w:szCs w:val="28"/>
        </w:rPr>
        <w:sectPr>
          <w:pgSz w:w="11906" w:h="16838"/>
          <w:pgMar w:top="1984" w:right="1304" w:bottom="1134" w:left="1304" w:header="851" w:footer="992" w:gutter="0"/>
          <w:cols w:space="720" w:num="1"/>
          <w:docGrid w:type="lines" w:linePitch="312" w:charSpace="0"/>
        </w:sectPr>
      </w:pPr>
    </w:p>
    <w:bookmarkEnd w:id="1"/>
    <w:p>
      <w:pPr>
        <w:outlineLvl w:val="0"/>
        <w:rPr>
          <w:rFonts w:cs="Times New Roman" w:asciiTheme="minorEastAsia" w:hAnsiTheme="minorEastAsia" w:eastAsiaTheme="minorEastAsia"/>
          <w:sz w:val="28"/>
          <w:szCs w:val="28"/>
        </w:rPr>
      </w:pPr>
    </w:p>
    <w:p>
      <w:pPr>
        <w:pStyle w:val="5"/>
        <w:rPr>
          <w:rFonts w:asciiTheme="minorEastAsia" w:hAnsiTheme="minorEastAsia" w:eastAsiaTheme="minorEastAsia"/>
          <w:sz w:val="28"/>
          <w:szCs w:val="28"/>
        </w:rPr>
      </w:pPr>
      <w:r>
        <w:rPr>
          <w:rStyle w:val="10"/>
          <w:rFonts w:asciiTheme="minorEastAsia" w:hAnsiTheme="minorEastAsia" w:eastAsiaTheme="minorEastAsia"/>
          <w:sz w:val="28"/>
          <w:szCs w:val="28"/>
        </w:rPr>
        <w:sym w:font="Symbol" w:char="F020"/>
      </w:r>
      <w:r>
        <w:rPr>
          <w:rFonts w:hint="eastAsia" w:asciiTheme="minorEastAsia" w:hAnsiTheme="minorEastAsia" w:eastAsiaTheme="minorEastAsia"/>
          <w:sz w:val="28"/>
          <w:szCs w:val="28"/>
        </w:rPr>
        <w:t>备注：表中的年度预算数为项目支出，部门工作活动虽未安排项目支出，但由基本支出保障，由于基本支出无法拆分到相应的工作活动，因此部分工作活动没有列示年度预算数。</w:t>
      </w:r>
    </w:p>
    <w:p>
      <w:pPr>
        <w:spacing w:line="300" w:lineRule="exact"/>
        <w:jc w:val="left"/>
        <w:outlineLvl w:val="0"/>
        <w:rPr>
          <w:rFonts w:asciiTheme="minorEastAsia" w:hAnsiTheme="minorEastAsia" w:eastAsiaTheme="minorEastAsia"/>
          <w:sz w:val="28"/>
          <w:szCs w:val="28"/>
        </w:rPr>
        <w:sectPr>
          <w:pgSz w:w="16839" w:h="11907" w:orient="landscape"/>
          <w:pgMar w:top="1020" w:right="1361" w:bottom="1020" w:left="1361" w:header="851" w:footer="992" w:gutter="0"/>
          <w:cols w:space="720" w:num="1"/>
          <w:docGrid w:type="lines" w:linePitch="312" w:charSpace="0"/>
        </w:sectPr>
      </w:pPr>
    </w:p>
    <w:p>
      <w:pPr>
        <w:autoSpaceDE w:val="0"/>
        <w:autoSpaceDN w:val="0"/>
        <w:adjustRightInd w:val="0"/>
        <w:ind w:firstLine="840" w:firstLineChars="300"/>
        <w:jc w:val="left"/>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六、政府采购预算情况</w:t>
      </w:r>
    </w:p>
    <w:p>
      <w:pPr>
        <w:autoSpaceDE w:val="0"/>
        <w:autoSpaceDN w:val="0"/>
        <w:adjustRightInd w:val="0"/>
        <w:ind w:firstLine="840" w:firstLineChars="300"/>
        <w:jc w:val="left"/>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2020年，我单位无政府采购项目。</w:t>
      </w:r>
    </w:p>
    <w:p>
      <w:pPr>
        <w:autoSpaceDE w:val="0"/>
        <w:autoSpaceDN w:val="0"/>
        <w:adjustRightInd w:val="0"/>
        <w:ind w:firstLine="840" w:firstLineChars="300"/>
        <w:jc w:val="left"/>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七、国有资产信息</w:t>
      </w:r>
    </w:p>
    <w:p>
      <w:pPr>
        <w:widowControl/>
        <w:spacing w:line="580" w:lineRule="atLeast"/>
        <w:ind w:firstLine="640"/>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1、隆尧县总工会2019年末房屋建筑物资产价值为22万元（详见下表）。本年度本单位拟购置固定资产金额为0万元（详见政府采购预算表）。</w:t>
      </w:r>
    </w:p>
    <w:p>
      <w:pPr>
        <w:widowControl/>
        <w:spacing w:line="580" w:lineRule="atLeast"/>
        <w:ind w:firstLine="640"/>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2、按照《中华人民共和国工会法》规定，各级工会资产属于集体资产，隶属于中华全国总工会，不属于国有资产。</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3"/>
        <w:gridCol w:w="2256"/>
        <w:gridCol w:w="2257"/>
        <w:gridCol w:w="4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13540" w:type="dxa"/>
            <w:gridSpan w:val="4"/>
          </w:tcPr>
          <w:p>
            <w:pPr>
              <w:autoSpaceDE w:val="0"/>
              <w:autoSpaceDN w:val="0"/>
              <w:jc w:val="center"/>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隆尧县总工会固定资产占用情况表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6769"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编制部门：隆尧县总工会 </w:t>
            </w:r>
          </w:p>
        </w:tc>
        <w:tc>
          <w:tcPr>
            <w:tcW w:w="6771"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截止时间：2019年12月31日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项 目 </w:t>
            </w:r>
          </w:p>
        </w:tc>
        <w:tc>
          <w:tcPr>
            <w:tcW w:w="4513"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数量 </w:t>
            </w:r>
          </w:p>
        </w:tc>
        <w:tc>
          <w:tcPr>
            <w:tcW w:w="4514"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价值（金额单位：万元）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资产总额 </w:t>
            </w:r>
          </w:p>
        </w:tc>
        <w:tc>
          <w:tcPr>
            <w:tcW w:w="4513"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 </w:t>
            </w:r>
          </w:p>
        </w:tc>
        <w:tc>
          <w:tcPr>
            <w:tcW w:w="4514"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1、房屋（平方米） </w:t>
            </w:r>
          </w:p>
        </w:tc>
        <w:tc>
          <w:tcPr>
            <w:tcW w:w="4513"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1073</w:t>
            </w:r>
          </w:p>
        </w:tc>
        <w:tc>
          <w:tcPr>
            <w:tcW w:w="4514"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其中：办公用房（平方米） </w:t>
            </w:r>
          </w:p>
        </w:tc>
        <w:tc>
          <w:tcPr>
            <w:tcW w:w="4513"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1073</w:t>
            </w:r>
          </w:p>
        </w:tc>
        <w:tc>
          <w:tcPr>
            <w:tcW w:w="4514"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2、车辆（台、辆） </w:t>
            </w:r>
          </w:p>
        </w:tc>
        <w:tc>
          <w:tcPr>
            <w:tcW w:w="4513"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w:t>
            </w:r>
          </w:p>
        </w:tc>
        <w:tc>
          <w:tcPr>
            <w:tcW w:w="4514" w:type="dxa"/>
          </w:tcPr>
          <w:p>
            <w:pPr>
              <w:autoSpaceDE w:val="0"/>
              <w:autoSpaceDN w:val="0"/>
              <w:rPr>
                <w:rFonts w:asciiTheme="minorEastAsia" w:hAnsiTheme="minorEastAsia" w:eastAsiaTheme="minorEastAsia"/>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3、其他设备 </w:t>
            </w:r>
          </w:p>
        </w:tc>
        <w:tc>
          <w:tcPr>
            <w:tcW w:w="4513"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 </w:t>
            </w:r>
          </w:p>
        </w:tc>
        <w:tc>
          <w:tcPr>
            <w:tcW w:w="4514" w:type="dxa"/>
          </w:tcPr>
          <w:p>
            <w:pPr>
              <w:autoSpaceDE w:val="0"/>
              <w:autoSpaceDN w:val="0"/>
              <w:rPr>
                <w:rFonts w:asciiTheme="minorEastAsia" w:hAnsiTheme="minorEastAsia" w:eastAsiaTheme="minorEastAsia"/>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4、其他固定资产 </w:t>
            </w:r>
          </w:p>
        </w:tc>
        <w:tc>
          <w:tcPr>
            <w:tcW w:w="4513" w:type="dxa"/>
            <w:gridSpan w:val="2"/>
          </w:tcPr>
          <w:p>
            <w:pPr>
              <w:autoSpaceDE w:val="0"/>
              <w:autoSpaceDN w:val="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 </w:t>
            </w:r>
          </w:p>
        </w:tc>
        <w:tc>
          <w:tcPr>
            <w:tcW w:w="4514" w:type="dxa"/>
          </w:tcPr>
          <w:p>
            <w:pPr>
              <w:autoSpaceDE w:val="0"/>
              <w:autoSpaceDN w:val="0"/>
              <w:rPr>
                <w:rFonts w:asciiTheme="minorEastAsia" w:hAnsiTheme="minorEastAsia" w:eastAsiaTheme="minorEastAsia"/>
                <w:color w:val="000000"/>
                <w:sz w:val="28"/>
                <w:szCs w:val="28"/>
              </w:rPr>
            </w:pPr>
          </w:p>
        </w:tc>
      </w:tr>
    </w:tbl>
    <w:p>
      <w:pPr>
        <w:autoSpaceDE w:val="0"/>
        <w:autoSpaceDN w:val="0"/>
        <w:adjustRightInd w:val="0"/>
        <w:ind w:firstLine="840" w:firstLineChars="300"/>
        <w:jc w:val="left"/>
        <w:rPr>
          <w:rFonts w:cs="Times New Roman" w:asciiTheme="minorEastAsia" w:hAnsiTheme="minorEastAsia" w:eastAsiaTheme="minorEastAsia"/>
          <w:sz w:val="28"/>
          <w:szCs w:val="28"/>
        </w:rPr>
      </w:pPr>
    </w:p>
    <w:p>
      <w:pPr>
        <w:autoSpaceDE w:val="0"/>
        <w:autoSpaceDN w:val="0"/>
        <w:adjustRightInd w:val="0"/>
        <w:ind w:firstLine="560" w:firstLineChars="200"/>
        <w:jc w:val="left"/>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八、名词解释</w:t>
      </w:r>
    </w:p>
    <w:p>
      <w:pPr>
        <w:ind w:firstLine="560" w:firstLineChars="20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1、一般公共预算拨款收入：指县级财政当年拨付的资金。</w:t>
      </w:r>
    </w:p>
    <w:p>
      <w:pPr>
        <w:ind w:firstLine="560" w:firstLineChars="20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2、基本支出：指为保障机构正常运转、完成日常工作任务而发生的人员支出和公用支出。</w:t>
      </w:r>
    </w:p>
    <w:p>
      <w:pPr>
        <w:ind w:firstLine="560" w:firstLineChars="20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3、项目支出：指在基本支出之外为完成特定行政任务和事业发展目标所发生的支出。</w:t>
      </w:r>
    </w:p>
    <w:p>
      <w:pPr>
        <w:ind w:firstLine="562" w:firstLineChars="200"/>
        <w:rPr>
          <w:rFonts w:cs="宋体-方正超大字符集" w:asciiTheme="minorEastAsia" w:hAnsiTheme="minorEastAsia" w:eastAsiaTheme="minorEastAsia"/>
          <w:b/>
          <w:bCs/>
          <w:sz w:val="28"/>
          <w:szCs w:val="28"/>
        </w:rPr>
      </w:pPr>
      <w:r>
        <w:rPr>
          <w:rFonts w:hint="eastAsia" w:cs="宋体-方正超大字符集" w:asciiTheme="minorEastAsia" w:hAnsiTheme="minorEastAsia" w:eastAsiaTheme="minorEastAsia"/>
          <w:b/>
          <w:bCs/>
          <w:sz w:val="28"/>
          <w:szCs w:val="28"/>
        </w:rPr>
        <w:t>九、其他需要说明的事项</w:t>
      </w:r>
    </w:p>
    <w:p>
      <w:pPr>
        <w:ind w:firstLine="560" w:firstLineChars="200"/>
        <w:rPr>
          <w:rFonts w:cs="Times New Roman" w:asciiTheme="minorEastAsia" w:hAnsiTheme="minorEastAsia" w:eastAsiaTheme="minorEastAsia"/>
          <w:sz w:val="28"/>
          <w:szCs w:val="28"/>
        </w:rPr>
      </w:pPr>
      <w:r>
        <w:rPr>
          <w:rFonts w:hint="eastAsia" w:cs="Times New Roman" w:asciiTheme="minorEastAsia" w:hAnsiTheme="minorEastAsia" w:eastAsiaTheme="minorEastAsia"/>
          <w:sz w:val="28"/>
          <w:szCs w:val="28"/>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86"/>
    <w:family w:val="auto"/>
    <w:pitch w:val="default"/>
    <w:sig w:usb0="00000000" w:usb1="00000000" w:usb2="00000000" w:usb3="00000000" w:csb0="00040000" w:csb1="00000000"/>
  </w:font>
  <w:font w:name="方正书宋_GBK">
    <w:altName w:val="微软雅黑"/>
    <w:panose1 w:val="00000000000000000000"/>
    <w:charset w:val="86"/>
    <w:family w:val="auto"/>
    <w:pitch w:val="default"/>
    <w:sig w:usb0="00000000" w:usb1="00000000" w:usb2="00000000" w:usb3="00000000" w:csb0="00040000"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C67CC4"/>
    <w:rsid w:val="0000235E"/>
    <w:rsid w:val="000035FD"/>
    <w:rsid w:val="00033D64"/>
    <w:rsid w:val="000A3B3F"/>
    <w:rsid w:val="000E6EFD"/>
    <w:rsid w:val="00104FC9"/>
    <w:rsid w:val="00107405"/>
    <w:rsid w:val="00110A0E"/>
    <w:rsid w:val="00130298"/>
    <w:rsid w:val="00132629"/>
    <w:rsid w:val="00176BC2"/>
    <w:rsid w:val="00177818"/>
    <w:rsid w:val="00287672"/>
    <w:rsid w:val="002B5F46"/>
    <w:rsid w:val="002E4A4E"/>
    <w:rsid w:val="003E5097"/>
    <w:rsid w:val="003F4292"/>
    <w:rsid w:val="00420C52"/>
    <w:rsid w:val="00424C58"/>
    <w:rsid w:val="00457C6F"/>
    <w:rsid w:val="0046545D"/>
    <w:rsid w:val="00473C90"/>
    <w:rsid w:val="004C3665"/>
    <w:rsid w:val="004D6854"/>
    <w:rsid w:val="005257A6"/>
    <w:rsid w:val="005441DD"/>
    <w:rsid w:val="00577E6D"/>
    <w:rsid w:val="005A73FD"/>
    <w:rsid w:val="005C20F5"/>
    <w:rsid w:val="005D6133"/>
    <w:rsid w:val="006529CE"/>
    <w:rsid w:val="006F3D2E"/>
    <w:rsid w:val="00727564"/>
    <w:rsid w:val="007600C2"/>
    <w:rsid w:val="00791CBE"/>
    <w:rsid w:val="007941F0"/>
    <w:rsid w:val="007B26AE"/>
    <w:rsid w:val="00827C7B"/>
    <w:rsid w:val="008A2C76"/>
    <w:rsid w:val="0090416C"/>
    <w:rsid w:val="00950957"/>
    <w:rsid w:val="0096746F"/>
    <w:rsid w:val="00985AA1"/>
    <w:rsid w:val="009E10BF"/>
    <w:rsid w:val="009E1A9B"/>
    <w:rsid w:val="00A0215F"/>
    <w:rsid w:val="00A5050A"/>
    <w:rsid w:val="00A82EA6"/>
    <w:rsid w:val="00A916B7"/>
    <w:rsid w:val="00B40E2A"/>
    <w:rsid w:val="00BB03CA"/>
    <w:rsid w:val="00BC659A"/>
    <w:rsid w:val="00BD464D"/>
    <w:rsid w:val="00C036FA"/>
    <w:rsid w:val="00C32F8B"/>
    <w:rsid w:val="00C40AA4"/>
    <w:rsid w:val="00C67CC4"/>
    <w:rsid w:val="00CB31F4"/>
    <w:rsid w:val="00D00B48"/>
    <w:rsid w:val="00D02BDA"/>
    <w:rsid w:val="00D44C75"/>
    <w:rsid w:val="00D47B2E"/>
    <w:rsid w:val="00D84945"/>
    <w:rsid w:val="00E277B8"/>
    <w:rsid w:val="00EC3709"/>
    <w:rsid w:val="00EE7D73"/>
    <w:rsid w:val="00F17C14"/>
    <w:rsid w:val="00F73D27"/>
    <w:rsid w:val="00F862FB"/>
    <w:rsid w:val="00F8701C"/>
    <w:rsid w:val="00FD0D6B"/>
    <w:rsid w:val="00FE7645"/>
    <w:rsid w:val="02D17B65"/>
    <w:rsid w:val="0D34250C"/>
    <w:rsid w:val="298F7933"/>
    <w:rsid w:val="59C142D7"/>
    <w:rsid w:val="5E99EAD8"/>
    <w:rsid w:val="7FAF1B48"/>
    <w:rsid w:val="7FC76212"/>
    <w:rsid w:val="C2D18F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link w:val="14"/>
    <w:qFormat/>
    <w:uiPriority w:val="99"/>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qFormat/>
    <w:uiPriority w:val="99"/>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character" w:customStyle="1" w:styleId="14">
    <w:name w:val="脚注文本 Char"/>
    <w:basedOn w:val="9"/>
    <w:link w:val="5"/>
    <w:qFormat/>
    <w:uiPriority w:val="99"/>
    <w:rPr>
      <w:rFonts w:ascii="Calibri" w:hAnsi="Calibri" w:cs="黑体"/>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995</Words>
  <Characters>5676</Characters>
  <Lines>47</Lines>
  <Paragraphs>13</Paragraphs>
  <TotalTime>49</TotalTime>
  <ScaleCrop>false</ScaleCrop>
  <LinksUpToDate>false</LinksUpToDate>
  <CharactersWithSpaces>6658</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2020-02-10T18:50:00Z</dcterms:created>
  <dc:creator>guest</dc:creator>
  <cp:lastModifiedBy>守候幸福</cp:lastModifiedBy>
  <cp:lastPrinted>2017-02-11T01:57:00Z</cp:lastPrinted>
  <dcterms:modified xsi:type="dcterms:W3CDTF">2025-05-27T12:25:39Z</dcterms:modified>
  <dc:title>o</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y fmtid="{D5CDD505-2E9C-101B-9397-08002B2CF9AE}" pid="3" name="ICV">
    <vt:lpwstr>F22C02EFF9F007F857DF7F64FA62B698</vt:lpwstr>
  </property>
</Properties>
</file>