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8FC4FB">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5C7895AF">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val="en-US" w:eastAsia="zh-CN"/>
        </w:rPr>
        <w:t>信访局</w:t>
      </w:r>
      <w:r>
        <w:rPr>
          <w:rFonts w:hint="eastAsia" w:ascii="宋体" w:hAnsi="宋体"/>
          <w:b/>
          <w:sz w:val="44"/>
          <w:szCs w:val="44"/>
        </w:rPr>
        <w:t>2021年</w:t>
      </w:r>
    </w:p>
    <w:p w14:paraId="555404CF">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43916CFE">
      <w:pPr>
        <w:spacing w:line="480" w:lineRule="exact"/>
        <w:jc w:val="left"/>
        <w:rPr>
          <w:rFonts w:ascii="仿宋" w:hAnsi="仿宋" w:eastAsia="仿宋" w:cs="仿宋"/>
          <w:sz w:val="24"/>
          <w:szCs w:val="24"/>
        </w:rPr>
      </w:pPr>
      <w:r>
        <w:rPr>
          <w:rFonts w:hint="eastAsia" w:ascii="仿宋" w:hAnsi="仿宋" w:eastAsia="仿宋" w:cs="仿宋"/>
          <w:sz w:val="24"/>
          <w:szCs w:val="24"/>
        </w:rPr>
        <w:t>单位名称:</w:t>
      </w:r>
      <w:r>
        <w:rPr>
          <w:rFonts w:hint="eastAsia" w:ascii="仿宋" w:hAnsi="仿宋" w:eastAsia="仿宋" w:cs="仿宋"/>
          <w:sz w:val="24"/>
          <w:szCs w:val="24"/>
          <w:lang w:val="en-US" w:eastAsia="zh-CN"/>
        </w:rPr>
        <w:t>隆尧县信访局</w:t>
      </w:r>
      <w:r>
        <w:rPr>
          <w:rFonts w:hint="eastAsia" w:ascii="仿宋" w:hAnsi="仿宋" w:eastAsia="仿宋" w:cs="仿宋"/>
          <w:sz w:val="24"/>
          <w:szCs w:val="24"/>
        </w:rPr>
        <w:t xml:space="preserve"> (公章)      </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 xml:space="preserve">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24C035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12E4E814">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DE44C49">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5FB5F74F">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02A453D4">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1A672375">
            <w:pPr>
              <w:widowControl/>
              <w:spacing w:line="240" w:lineRule="exact"/>
              <w:jc w:val="left"/>
              <w:rPr>
                <w:b/>
              </w:rPr>
            </w:pPr>
            <w:r>
              <w:rPr>
                <w:rFonts w:ascii="仿宋_GB2312" w:hAnsi="新宋体" w:eastAsia="仿宋_GB2312" w:cs="仿宋_GB2312"/>
                <w:b/>
                <w:kern w:val="0"/>
                <w:sz w:val="24"/>
                <w:szCs w:val="24"/>
              </w:rPr>
              <w:t>得分</w:t>
            </w:r>
          </w:p>
        </w:tc>
      </w:tr>
      <w:tr w14:paraId="39C13E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C045AAB">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6BBB03A">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5DE6B61">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6F4A15EB">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405B418C">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23FCA9BE">
            <w:pPr>
              <w:rPr>
                <w:rFonts w:ascii="宋体"/>
                <w:szCs w:val="21"/>
              </w:rPr>
            </w:pPr>
          </w:p>
        </w:tc>
      </w:tr>
      <w:tr w14:paraId="0FB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123EF6F3">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79F165A4">
            <w:pPr>
              <w:widowControl/>
              <w:spacing w:line="240" w:lineRule="exact"/>
              <w:jc w:val="left"/>
              <w:rPr>
                <w:rFonts w:hint="default" w:eastAsiaTheme="minorEastAsia"/>
                <w:szCs w:val="21"/>
                <w:lang w:val="en-US" w:eastAsia="zh-CN"/>
              </w:rPr>
            </w:pPr>
            <w:r>
              <w:rPr>
                <w:rFonts w:hint="eastAsia" w:ascii="仿宋_GB2312" w:hAnsi="新宋体" w:eastAsia="仿宋_GB2312" w:cs="仿宋_GB2312"/>
                <w:kern w:val="0"/>
                <w:szCs w:val="21"/>
                <w:lang w:val="en-US" w:eastAsia="zh-CN"/>
              </w:rPr>
              <w:t>97</w:t>
            </w:r>
          </w:p>
        </w:tc>
      </w:tr>
      <w:tr w14:paraId="334820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4ED248E">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667E0C6">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6B3FE05F">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5C56576F">
            <w:pPr>
              <w:widowControl/>
              <w:spacing w:line="240" w:lineRule="exact"/>
              <w:jc w:val="left"/>
              <w:rPr>
                <w:rFonts w:ascii="仿宋_GB2312" w:hAnsi="新宋体" w:eastAsia="仿宋_GB2312" w:cs="仿宋_GB2312"/>
                <w:kern w:val="0"/>
                <w:szCs w:val="21"/>
              </w:rPr>
            </w:pPr>
          </w:p>
          <w:p w14:paraId="45C320A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64A9F61E">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32A8616B">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6EF2F7E3">
            <w:pPr>
              <w:widowControl/>
              <w:spacing w:line="240" w:lineRule="exact"/>
              <w:jc w:val="left"/>
              <w:rPr>
                <w:szCs w:val="21"/>
              </w:rPr>
            </w:pPr>
            <w:r>
              <w:rPr>
                <w:rFonts w:ascii="仿宋_GB2312" w:hAnsi="新宋体" w:eastAsia="仿宋_GB2312" w:cs="仿宋_GB2312"/>
                <w:kern w:val="0"/>
                <w:szCs w:val="21"/>
              </w:rPr>
              <w:t>符合（1）；</w:t>
            </w:r>
          </w:p>
          <w:p w14:paraId="172DCAC1">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090ACDC7">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1</w:t>
            </w:r>
          </w:p>
        </w:tc>
      </w:tr>
      <w:tr w14:paraId="1DCCA0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07C9FC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9E0C4C5">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2870A9C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7C8CC9F5">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5C0657D7">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2677D04E">
            <w:pPr>
              <w:widowControl/>
              <w:spacing w:line="240" w:lineRule="exact"/>
              <w:jc w:val="left"/>
              <w:rPr>
                <w:szCs w:val="21"/>
              </w:rPr>
            </w:pPr>
            <w:r>
              <w:rPr>
                <w:rFonts w:ascii="仿宋_GB2312" w:hAnsi="新宋体" w:eastAsia="仿宋_GB2312" w:cs="仿宋_GB2312"/>
                <w:kern w:val="0"/>
                <w:szCs w:val="21"/>
              </w:rPr>
              <w:t>评价要点：</w:t>
            </w:r>
          </w:p>
          <w:p w14:paraId="1B128F17">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7C9BAD49">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19AAE446">
            <w:pPr>
              <w:widowControl/>
              <w:spacing w:line="240" w:lineRule="exact"/>
              <w:jc w:val="left"/>
              <w:rPr>
                <w:szCs w:val="21"/>
              </w:rPr>
            </w:pPr>
            <w:r>
              <w:rPr>
                <w:rFonts w:ascii="仿宋_GB2312" w:hAnsi="新宋体" w:eastAsia="仿宋_GB2312" w:cs="仿宋_GB2312"/>
                <w:kern w:val="0"/>
                <w:szCs w:val="21"/>
              </w:rPr>
              <w:t>全部符合（2）；</w:t>
            </w:r>
          </w:p>
          <w:p w14:paraId="3CBE69E4">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0CC4DD35">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2</w:t>
            </w:r>
          </w:p>
        </w:tc>
      </w:tr>
      <w:tr w14:paraId="5C08B1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EE37AF7">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8588644">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287ED44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6B37F613">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E17EAF1">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5EFA22D2">
            <w:pPr>
              <w:widowControl/>
              <w:spacing w:line="240" w:lineRule="exact"/>
              <w:jc w:val="left"/>
              <w:rPr>
                <w:szCs w:val="21"/>
              </w:rPr>
            </w:pPr>
            <w:r>
              <w:rPr>
                <w:rFonts w:ascii="仿宋_GB2312" w:hAnsi="新宋体" w:eastAsia="仿宋_GB2312" w:cs="仿宋_GB2312"/>
                <w:kern w:val="0"/>
                <w:szCs w:val="21"/>
              </w:rPr>
              <w:t>评价要点：</w:t>
            </w:r>
          </w:p>
          <w:p w14:paraId="02C7BFD5">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6FCA42B4">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3D52DCE3">
            <w:pPr>
              <w:widowControl/>
              <w:spacing w:line="240" w:lineRule="exact"/>
              <w:jc w:val="left"/>
              <w:rPr>
                <w:szCs w:val="21"/>
              </w:rPr>
            </w:pPr>
            <w:r>
              <w:rPr>
                <w:rFonts w:ascii="仿宋_GB2312" w:hAnsi="新宋体" w:eastAsia="仿宋_GB2312" w:cs="仿宋_GB2312"/>
                <w:kern w:val="0"/>
                <w:szCs w:val="21"/>
              </w:rPr>
              <w:t>全部符合（2）；</w:t>
            </w:r>
          </w:p>
          <w:p w14:paraId="03DCA06C">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175CC3BD">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2</w:t>
            </w:r>
          </w:p>
        </w:tc>
      </w:tr>
      <w:tr w14:paraId="0F21A6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44889E0">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10526806">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0E50D486">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493FC34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074104B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1973D95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455D2B8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392EBC4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23F15C2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7365B30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30B186C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111F8BC8">
            <w:pPr>
              <w:widowControl/>
              <w:spacing w:line="240" w:lineRule="exact"/>
              <w:jc w:val="left"/>
              <w:rPr>
                <w:rFonts w:hint="default" w:eastAsiaTheme="minorEastAsia"/>
                <w:szCs w:val="21"/>
                <w:lang w:val="en-US" w:eastAsia="zh-CN"/>
              </w:rPr>
            </w:pPr>
            <w:r>
              <w:rPr>
                <w:rFonts w:hint="eastAsia" w:ascii="仿宋_GB2312" w:hAnsi="新宋体" w:eastAsia="仿宋_GB2312" w:cs="仿宋_GB2312"/>
                <w:kern w:val="0"/>
                <w:szCs w:val="21"/>
                <w:lang w:val="en-US" w:eastAsia="zh-CN"/>
              </w:rPr>
              <w:t>1</w:t>
            </w:r>
          </w:p>
        </w:tc>
      </w:tr>
      <w:tr w14:paraId="23DE3D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3E3D54E8">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18921228">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62F850D6">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14:paraId="748BE2D3">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p>
          <w:p w14:paraId="4018AB69">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0974803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43BDEF0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4F8AE9A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12F643B6">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41F2BAF2">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2</w:t>
            </w:r>
          </w:p>
        </w:tc>
      </w:tr>
      <w:tr w14:paraId="03ED82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5C011A39">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74D1B4F1">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7E843FB7">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2489B1BF">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p>
          <w:p w14:paraId="251CF09B">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p>
          <w:p w14:paraId="6C5F79B4">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087549D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01C72E7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6429EB6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15A78FFF">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788FB26F">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2</w:t>
            </w:r>
          </w:p>
        </w:tc>
      </w:tr>
      <w:tr w14:paraId="0CA710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03F230D">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00DEE6D">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6ABB348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62E2B431">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8D0236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75E8509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DD32FF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6F61FD5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625C11C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535D886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35BA4B70">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5</w:t>
            </w:r>
          </w:p>
        </w:tc>
      </w:tr>
      <w:tr w14:paraId="28570E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5108C7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0D81B4B">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22F4FFD">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4275C8EF">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F4C93F8">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3A765937">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28C8A01B">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5899F185">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3732FDA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3D140B7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69542189">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3</w:t>
            </w:r>
          </w:p>
        </w:tc>
      </w:tr>
      <w:tr w14:paraId="3E9AAF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13676D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AAB1C86">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98FDD19">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200EE094">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03149D5">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62562DE2">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A91101E">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1B69AB63">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490EE065">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5</w:t>
            </w:r>
          </w:p>
        </w:tc>
      </w:tr>
      <w:tr w14:paraId="6B6CFA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4FCA64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0522F7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EA06C7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02E37DA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71899E5A">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710592D">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0D1353BF">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003B664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53C6CCE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0C5F026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634C981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9861982">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3</w:t>
            </w:r>
          </w:p>
        </w:tc>
      </w:tr>
      <w:tr w14:paraId="05D6ED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AFFA7FD">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136AAA1">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C904EF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1C28719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0FCF1B79">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945979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5464039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58CBDDA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40B9297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37657D9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47BF075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66A88275">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4</w:t>
            </w:r>
          </w:p>
        </w:tc>
      </w:tr>
      <w:tr w14:paraId="74FE72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48048E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8D3E38F">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F5BB8C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029AA13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5F13E74B">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74B28E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49021C7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44202DB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55E8C32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19339EE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02CC087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2C3ABCB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49B2489">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4</w:t>
            </w:r>
          </w:p>
        </w:tc>
      </w:tr>
      <w:tr w14:paraId="55771B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A40FB6E">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219631A1">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1CB1662C">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0737DBD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402513E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6E9EEB49">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20BC4A9C">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6D2FB605">
            <w:pPr>
              <w:widowControl/>
              <w:spacing w:line="240" w:lineRule="exact"/>
              <w:jc w:val="left"/>
              <w:rPr>
                <w:szCs w:val="21"/>
              </w:rPr>
            </w:pPr>
            <w:r>
              <w:rPr>
                <w:rFonts w:ascii="仿宋_GB2312" w:hAnsi="新宋体" w:eastAsia="仿宋_GB2312" w:cs="仿宋_GB2312"/>
                <w:kern w:val="0"/>
                <w:szCs w:val="21"/>
              </w:rPr>
              <w:t>评价要点：</w:t>
            </w:r>
          </w:p>
          <w:p w14:paraId="3EC47E05">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4B32F470">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32F266B4">
            <w:pPr>
              <w:widowControl/>
              <w:spacing w:line="240" w:lineRule="exact"/>
              <w:jc w:val="left"/>
              <w:rPr>
                <w:szCs w:val="21"/>
              </w:rPr>
            </w:pPr>
            <w:r>
              <w:rPr>
                <w:rFonts w:ascii="仿宋_GB2312" w:hAnsi="新宋体" w:eastAsia="仿宋_GB2312" w:cs="仿宋_GB2312"/>
                <w:kern w:val="0"/>
                <w:szCs w:val="21"/>
              </w:rPr>
              <w:t>3.项目的重大开支经过评估论证；</w:t>
            </w:r>
          </w:p>
          <w:p w14:paraId="6F578068">
            <w:pPr>
              <w:widowControl/>
              <w:spacing w:line="240" w:lineRule="exact"/>
              <w:jc w:val="left"/>
              <w:rPr>
                <w:szCs w:val="21"/>
              </w:rPr>
            </w:pPr>
            <w:r>
              <w:rPr>
                <w:rFonts w:ascii="仿宋_GB2312" w:hAnsi="新宋体" w:eastAsia="仿宋_GB2312" w:cs="仿宋_GB2312"/>
                <w:kern w:val="0"/>
                <w:szCs w:val="21"/>
              </w:rPr>
              <w:t>4.符合部门预算批复的用途；</w:t>
            </w:r>
          </w:p>
          <w:p w14:paraId="5FE14AA1">
            <w:pPr>
              <w:widowControl/>
              <w:spacing w:line="240" w:lineRule="exact"/>
              <w:jc w:val="left"/>
              <w:rPr>
                <w:szCs w:val="21"/>
              </w:rPr>
            </w:pPr>
            <w:r>
              <w:rPr>
                <w:rFonts w:ascii="仿宋_GB2312" w:hAnsi="新宋体" w:eastAsia="仿宋_GB2312" w:cs="仿宋_GB2312"/>
                <w:kern w:val="0"/>
                <w:szCs w:val="21"/>
              </w:rPr>
              <w:t>5.不存在截留情况；</w:t>
            </w:r>
          </w:p>
          <w:p w14:paraId="5DA31896">
            <w:pPr>
              <w:widowControl/>
              <w:spacing w:line="240" w:lineRule="exact"/>
              <w:jc w:val="left"/>
              <w:rPr>
                <w:szCs w:val="21"/>
              </w:rPr>
            </w:pPr>
            <w:r>
              <w:rPr>
                <w:rFonts w:ascii="仿宋_GB2312" w:hAnsi="新宋体" w:eastAsia="仿宋_GB2312" w:cs="仿宋_GB2312"/>
                <w:kern w:val="0"/>
                <w:szCs w:val="21"/>
              </w:rPr>
              <w:t>6.不存在挤占情况；</w:t>
            </w:r>
          </w:p>
          <w:p w14:paraId="71C1E67C">
            <w:pPr>
              <w:widowControl/>
              <w:spacing w:line="240" w:lineRule="exact"/>
              <w:jc w:val="left"/>
              <w:rPr>
                <w:szCs w:val="21"/>
              </w:rPr>
            </w:pPr>
            <w:r>
              <w:rPr>
                <w:rFonts w:ascii="仿宋_GB2312" w:hAnsi="新宋体" w:eastAsia="仿宋_GB2312" w:cs="仿宋_GB2312"/>
                <w:kern w:val="0"/>
                <w:szCs w:val="21"/>
              </w:rPr>
              <w:t>7.不存在挪用情况；</w:t>
            </w:r>
          </w:p>
          <w:p w14:paraId="20DD00DC">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2E919BE7">
            <w:pPr>
              <w:widowControl/>
              <w:spacing w:line="240" w:lineRule="exact"/>
              <w:jc w:val="left"/>
              <w:rPr>
                <w:szCs w:val="21"/>
              </w:rPr>
            </w:pPr>
            <w:r>
              <w:rPr>
                <w:rFonts w:ascii="仿宋_GB2312" w:hAnsi="新宋体" w:eastAsia="仿宋_GB2312" w:cs="仿宋_GB2312"/>
                <w:kern w:val="0"/>
                <w:szCs w:val="21"/>
              </w:rPr>
              <w:t>全部符合（8）；</w:t>
            </w:r>
          </w:p>
          <w:p w14:paraId="27C7A9CE">
            <w:pPr>
              <w:widowControl/>
              <w:spacing w:line="240" w:lineRule="exact"/>
              <w:jc w:val="left"/>
              <w:rPr>
                <w:szCs w:val="21"/>
              </w:rPr>
            </w:pPr>
            <w:r>
              <w:rPr>
                <w:rFonts w:ascii="仿宋_GB2312" w:hAnsi="新宋体" w:eastAsia="仿宋_GB2312" w:cs="仿宋_GB2312"/>
                <w:kern w:val="0"/>
                <w:szCs w:val="21"/>
              </w:rPr>
              <w:t>符合其中七项（6）；</w:t>
            </w:r>
          </w:p>
          <w:p w14:paraId="25CCACD8">
            <w:pPr>
              <w:widowControl/>
              <w:spacing w:line="240" w:lineRule="exact"/>
              <w:jc w:val="left"/>
              <w:rPr>
                <w:szCs w:val="21"/>
              </w:rPr>
            </w:pPr>
            <w:r>
              <w:rPr>
                <w:rFonts w:ascii="仿宋_GB2312" w:hAnsi="新宋体" w:eastAsia="仿宋_GB2312" w:cs="仿宋_GB2312"/>
                <w:kern w:val="0"/>
                <w:szCs w:val="21"/>
              </w:rPr>
              <w:t>符合其中六项（4）；</w:t>
            </w:r>
          </w:p>
          <w:p w14:paraId="5BE48E81">
            <w:pPr>
              <w:widowControl/>
              <w:spacing w:line="240" w:lineRule="exact"/>
              <w:jc w:val="left"/>
              <w:rPr>
                <w:szCs w:val="21"/>
              </w:rPr>
            </w:pPr>
            <w:r>
              <w:rPr>
                <w:rFonts w:ascii="仿宋_GB2312" w:hAnsi="新宋体" w:eastAsia="仿宋_GB2312" w:cs="仿宋_GB2312"/>
                <w:kern w:val="0"/>
                <w:szCs w:val="21"/>
              </w:rPr>
              <w:t>符合其中五项（2）；</w:t>
            </w:r>
          </w:p>
          <w:p w14:paraId="75950419">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5847A18E">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8</w:t>
            </w:r>
          </w:p>
        </w:tc>
      </w:tr>
      <w:tr w14:paraId="457ECB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316D6A5">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D65A990">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409786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179D65C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2FD200FB">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64112D7">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783B6A05">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205CEE74">
            <w:pPr>
              <w:widowControl/>
              <w:spacing w:line="240" w:lineRule="exact"/>
              <w:jc w:val="left"/>
              <w:rPr>
                <w:szCs w:val="21"/>
              </w:rPr>
            </w:pPr>
            <w:r>
              <w:rPr>
                <w:rFonts w:ascii="仿宋_GB2312" w:hAnsi="新宋体" w:eastAsia="仿宋_GB2312" w:cs="仿宋_GB2312"/>
                <w:kern w:val="0"/>
                <w:szCs w:val="21"/>
              </w:rPr>
              <w:t>评价要点：</w:t>
            </w:r>
          </w:p>
          <w:p w14:paraId="3D551663">
            <w:pPr>
              <w:widowControl/>
              <w:spacing w:line="240" w:lineRule="exact"/>
              <w:jc w:val="left"/>
              <w:rPr>
                <w:szCs w:val="21"/>
              </w:rPr>
            </w:pPr>
            <w:r>
              <w:rPr>
                <w:rFonts w:ascii="仿宋_GB2312" w:hAnsi="新宋体" w:eastAsia="仿宋_GB2312" w:cs="仿宋_GB2312"/>
                <w:kern w:val="0"/>
                <w:szCs w:val="21"/>
              </w:rPr>
              <w:t>1.公开预决算信息；</w:t>
            </w:r>
          </w:p>
          <w:p w14:paraId="192DC288">
            <w:pPr>
              <w:widowControl/>
              <w:spacing w:line="240" w:lineRule="exact"/>
              <w:jc w:val="left"/>
              <w:rPr>
                <w:szCs w:val="21"/>
              </w:rPr>
            </w:pPr>
            <w:r>
              <w:rPr>
                <w:rFonts w:ascii="仿宋_GB2312" w:hAnsi="新宋体" w:eastAsia="仿宋_GB2312" w:cs="仿宋_GB2312"/>
                <w:kern w:val="0"/>
                <w:szCs w:val="21"/>
              </w:rPr>
              <w:t>2.按规定内容公开预决算信息；</w:t>
            </w:r>
          </w:p>
          <w:p w14:paraId="2968D271">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2D2DD489">
            <w:pPr>
              <w:widowControl/>
              <w:spacing w:line="240" w:lineRule="exact"/>
              <w:jc w:val="left"/>
              <w:rPr>
                <w:szCs w:val="21"/>
              </w:rPr>
            </w:pPr>
            <w:r>
              <w:rPr>
                <w:rFonts w:ascii="仿宋_GB2312" w:hAnsi="新宋体" w:eastAsia="仿宋_GB2312" w:cs="仿宋_GB2312"/>
                <w:kern w:val="0"/>
                <w:szCs w:val="21"/>
              </w:rPr>
              <w:t>全部符合（3）；</w:t>
            </w:r>
          </w:p>
          <w:p w14:paraId="07D0DEE8">
            <w:pPr>
              <w:widowControl/>
              <w:spacing w:line="240" w:lineRule="exact"/>
              <w:jc w:val="left"/>
              <w:rPr>
                <w:szCs w:val="21"/>
              </w:rPr>
            </w:pPr>
            <w:r>
              <w:rPr>
                <w:rFonts w:ascii="仿宋_GB2312" w:hAnsi="新宋体" w:eastAsia="仿宋_GB2312" w:cs="仿宋_GB2312"/>
                <w:kern w:val="0"/>
                <w:szCs w:val="21"/>
              </w:rPr>
              <w:t>符合其中两项（2）</w:t>
            </w:r>
          </w:p>
          <w:p w14:paraId="58AB597E">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1C3D6E24">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3</w:t>
            </w:r>
          </w:p>
        </w:tc>
      </w:tr>
      <w:tr w14:paraId="2294F8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E2FF6E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D5D3BF3">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4DBABC7">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53A66C99">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0981A91B">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E17CDFF">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4839672F">
            <w:pPr>
              <w:widowControl/>
              <w:spacing w:line="240" w:lineRule="exact"/>
              <w:jc w:val="left"/>
              <w:rPr>
                <w:szCs w:val="21"/>
              </w:rPr>
            </w:pPr>
            <w:r>
              <w:rPr>
                <w:rFonts w:ascii="仿宋_GB2312" w:hAnsi="新宋体" w:eastAsia="仿宋_GB2312" w:cs="仿宋_GB2312"/>
                <w:kern w:val="0"/>
                <w:szCs w:val="21"/>
              </w:rPr>
              <w:t>评价要点：</w:t>
            </w:r>
          </w:p>
          <w:p w14:paraId="08E27470">
            <w:pPr>
              <w:widowControl/>
              <w:spacing w:line="240" w:lineRule="exact"/>
              <w:jc w:val="left"/>
              <w:rPr>
                <w:szCs w:val="21"/>
              </w:rPr>
            </w:pPr>
            <w:r>
              <w:rPr>
                <w:rFonts w:ascii="仿宋_GB2312" w:hAnsi="新宋体" w:eastAsia="仿宋_GB2312" w:cs="仿宋_GB2312"/>
                <w:kern w:val="0"/>
                <w:szCs w:val="21"/>
              </w:rPr>
              <w:t>1.基本财务管理制度健全；</w:t>
            </w:r>
          </w:p>
          <w:p w14:paraId="71EACB20">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71CD5903">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2075DA26">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433D0181">
            <w:pPr>
              <w:widowControl/>
              <w:spacing w:line="240" w:lineRule="exact"/>
              <w:jc w:val="left"/>
              <w:rPr>
                <w:szCs w:val="21"/>
              </w:rPr>
            </w:pPr>
            <w:r>
              <w:rPr>
                <w:rFonts w:ascii="仿宋_GB2312" w:hAnsi="新宋体" w:eastAsia="仿宋_GB2312" w:cs="仿宋_GB2312"/>
                <w:kern w:val="0"/>
                <w:szCs w:val="21"/>
              </w:rPr>
              <w:t>符合全部四项（4）；</w:t>
            </w:r>
          </w:p>
          <w:p w14:paraId="4084DA62">
            <w:pPr>
              <w:widowControl/>
              <w:spacing w:line="240" w:lineRule="exact"/>
              <w:jc w:val="left"/>
              <w:rPr>
                <w:szCs w:val="21"/>
              </w:rPr>
            </w:pPr>
            <w:r>
              <w:rPr>
                <w:rFonts w:ascii="仿宋_GB2312" w:hAnsi="新宋体" w:eastAsia="仿宋_GB2312" w:cs="仿宋_GB2312"/>
                <w:kern w:val="0"/>
                <w:szCs w:val="21"/>
              </w:rPr>
              <w:t>符合其中三项（2）；</w:t>
            </w:r>
          </w:p>
          <w:p w14:paraId="60CB1ECE">
            <w:pPr>
              <w:widowControl/>
              <w:spacing w:line="240" w:lineRule="exact"/>
              <w:jc w:val="left"/>
              <w:rPr>
                <w:szCs w:val="21"/>
              </w:rPr>
            </w:pPr>
            <w:r>
              <w:rPr>
                <w:rFonts w:ascii="仿宋_GB2312" w:hAnsi="新宋体" w:eastAsia="仿宋_GB2312" w:cs="仿宋_GB2312"/>
                <w:kern w:val="0"/>
                <w:szCs w:val="21"/>
              </w:rPr>
              <w:t>符合其中两项（1）；</w:t>
            </w:r>
          </w:p>
          <w:p w14:paraId="37560A14">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5677FC28">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4</w:t>
            </w:r>
          </w:p>
        </w:tc>
      </w:tr>
      <w:tr w14:paraId="10387C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61EBC3B">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78843C6">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52EF1AF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596875F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5C047BEF">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42A5ACAD">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5765F081">
            <w:pPr>
              <w:widowControl/>
              <w:spacing w:line="240" w:lineRule="exact"/>
              <w:jc w:val="left"/>
              <w:rPr>
                <w:szCs w:val="21"/>
              </w:rPr>
            </w:pPr>
            <w:r>
              <w:rPr>
                <w:rFonts w:ascii="仿宋_GB2312" w:hAnsi="新宋体" w:eastAsia="仿宋_GB2312" w:cs="仿宋_GB2312"/>
                <w:kern w:val="0"/>
                <w:szCs w:val="21"/>
              </w:rPr>
              <w:t>评价要点：</w:t>
            </w:r>
          </w:p>
          <w:p w14:paraId="25B8A850">
            <w:pPr>
              <w:widowControl/>
              <w:spacing w:line="240" w:lineRule="exact"/>
              <w:jc w:val="left"/>
              <w:rPr>
                <w:szCs w:val="21"/>
              </w:rPr>
            </w:pPr>
            <w:r>
              <w:rPr>
                <w:rFonts w:ascii="仿宋_GB2312" w:hAnsi="新宋体" w:eastAsia="仿宋_GB2312" w:cs="仿宋_GB2312"/>
                <w:kern w:val="0"/>
                <w:szCs w:val="21"/>
              </w:rPr>
              <w:t>1.资产保存完整；</w:t>
            </w:r>
          </w:p>
          <w:p w14:paraId="09F72AC7">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val="en-US" w:eastAsia="zh-CN"/>
              </w:rPr>
              <w:t>账</w:t>
            </w:r>
            <w:r>
              <w:rPr>
                <w:rFonts w:ascii="仿宋_GB2312" w:hAnsi="新宋体" w:eastAsia="仿宋_GB2312" w:cs="仿宋_GB2312"/>
                <w:kern w:val="0"/>
                <w:szCs w:val="21"/>
              </w:rPr>
              <w:t>实相符；</w:t>
            </w:r>
            <w:bookmarkStart w:id="0" w:name="_GoBack"/>
            <w:bookmarkEnd w:id="0"/>
          </w:p>
          <w:p w14:paraId="7B1FCE5D">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7407FD5E">
            <w:pPr>
              <w:widowControl/>
              <w:spacing w:line="240" w:lineRule="exact"/>
              <w:jc w:val="left"/>
              <w:rPr>
                <w:szCs w:val="21"/>
              </w:rPr>
            </w:pPr>
            <w:r>
              <w:rPr>
                <w:rFonts w:ascii="仿宋_GB2312" w:hAnsi="新宋体" w:eastAsia="仿宋_GB2312" w:cs="仿宋_GB2312"/>
                <w:kern w:val="0"/>
                <w:szCs w:val="21"/>
              </w:rPr>
              <w:t>符合全部三项（3）；</w:t>
            </w:r>
          </w:p>
          <w:p w14:paraId="3A6BBE73">
            <w:pPr>
              <w:widowControl/>
              <w:spacing w:line="240" w:lineRule="exact"/>
              <w:jc w:val="left"/>
              <w:rPr>
                <w:szCs w:val="21"/>
              </w:rPr>
            </w:pPr>
            <w:r>
              <w:rPr>
                <w:rFonts w:ascii="仿宋_GB2312" w:hAnsi="新宋体" w:eastAsia="仿宋_GB2312" w:cs="仿宋_GB2312"/>
                <w:kern w:val="0"/>
                <w:szCs w:val="21"/>
              </w:rPr>
              <w:t>符合其中两项（2）；</w:t>
            </w:r>
          </w:p>
          <w:p w14:paraId="298488F0">
            <w:pPr>
              <w:widowControl/>
              <w:spacing w:line="240" w:lineRule="exact"/>
              <w:jc w:val="left"/>
              <w:rPr>
                <w:szCs w:val="21"/>
              </w:rPr>
            </w:pPr>
            <w:r>
              <w:rPr>
                <w:rFonts w:ascii="仿宋_GB2312" w:hAnsi="新宋体" w:eastAsia="仿宋_GB2312" w:cs="仿宋_GB2312"/>
                <w:kern w:val="0"/>
                <w:szCs w:val="21"/>
              </w:rPr>
              <w:t>符合其中一项（1）；</w:t>
            </w:r>
          </w:p>
          <w:p w14:paraId="3F85F45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2E38E8CE">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2</w:t>
            </w:r>
          </w:p>
        </w:tc>
      </w:tr>
      <w:tr w14:paraId="362AF2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16F195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F91EBFD">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45257B9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12E0A76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31F82469">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67454004">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2E7C4886">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2B5E8BDD">
            <w:pPr>
              <w:widowControl/>
              <w:spacing w:line="240" w:lineRule="exact"/>
              <w:jc w:val="left"/>
              <w:rPr>
                <w:rFonts w:hint="eastAsia" w:ascii="仿宋_GB2312" w:hAnsi="新宋体" w:eastAsia="仿宋_GB2312" w:cs="仿宋_GB2312"/>
                <w:kern w:val="0"/>
                <w:szCs w:val="21"/>
                <w:lang w:val="en-US" w:eastAsia="zh-CN"/>
              </w:rPr>
            </w:pPr>
            <w:r>
              <w:rPr>
                <w:rFonts w:hint="eastAsia" w:ascii="仿宋_GB2312" w:hAnsi="新宋体" w:eastAsia="仿宋_GB2312" w:cs="仿宋_GB2312"/>
                <w:kern w:val="0"/>
                <w:szCs w:val="21"/>
                <w:lang w:val="en-US" w:eastAsia="zh-CN"/>
              </w:rPr>
              <w:t>1.固定资产利用率大于或等于95%的，得满分；</w:t>
            </w:r>
          </w:p>
          <w:p w14:paraId="33F5A39B">
            <w:pPr>
              <w:widowControl/>
              <w:spacing w:line="240" w:lineRule="exact"/>
              <w:jc w:val="left"/>
              <w:rPr>
                <w:rFonts w:hint="eastAsia" w:ascii="仿宋_GB2312" w:hAnsi="新宋体" w:eastAsia="仿宋_GB2312" w:cs="仿宋_GB2312"/>
                <w:kern w:val="0"/>
                <w:szCs w:val="21"/>
                <w:lang w:val="en-US" w:eastAsia="zh-CN"/>
              </w:rPr>
            </w:pPr>
            <w:r>
              <w:rPr>
                <w:rFonts w:hint="eastAsia" w:ascii="仿宋_GB2312" w:hAnsi="新宋体" w:eastAsia="仿宋_GB2312" w:cs="仿宋_GB2312"/>
                <w:kern w:val="0"/>
                <w:szCs w:val="21"/>
                <w:lang w:val="en-US" w:eastAsia="zh-CN"/>
              </w:rPr>
              <w:t>2.固定资产利用率小于或等于85%的，得0分；</w:t>
            </w:r>
          </w:p>
          <w:p w14:paraId="2DE44388">
            <w:pPr>
              <w:widowControl/>
              <w:spacing w:line="240" w:lineRule="exact"/>
              <w:jc w:val="left"/>
              <w:rPr>
                <w:rFonts w:hint="eastAsia" w:ascii="仿宋_GB2312" w:hAnsi="新宋体" w:eastAsia="仿宋_GB2312" w:cs="仿宋_GB2312"/>
                <w:kern w:val="0"/>
                <w:szCs w:val="21"/>
                <w:lang w:val="en-US" w:eastAsia="zh-CN"/>
              </w:rPr>
            </w:pPr>
            <w:r>
              <w:rPr>
                <w:rFonts w:hint="eastAsia" w:ascii="仿宋_GB2312" w:hAnsi="新宋体" w:eastAsia="仿宋_GB2312" w:cs="仿宋_GB2312"/>
                <w:kern w:val="0"/>
                <w:szCs w:val="21"/>
                <w:lang w:val="en-US" w:eastAsia="zh-CN"/>
              </w:rPr>
              <w:t>3.固定资产利用率在85%-95%之间的，在0和满分之间计算确定：</w:t>
            </w:r>
          </w:p>
          <w:p w14:paraId="7053617D">
            <w:pPr>
              <w:widowControl/>
              <w:spacing w:line="240" w:lineRule="exact"/>
              <w:jc w:val="left"/>
              <w:rPr>
                <w:rFonts w:hint="eastAsia" w:ascii="仿宋_GB2312" w:hAnsi="新宋体" w:eastAsia="仿宋_GB2312" w:cs="仿宋_GB2312"/>
                <w:kern w:val="0"/>
                <w:szCs w:val="21"/>
                <w:lang w:val="en-US" w:eastAsia="zh-CN"/>
              </w:rPr>
            </w:pPr>
            <w:r>
              <w:rPr>
                <w:rFonts w:hint="eastAsia" w:ascii="仿宋_GB2312" w:hAnsi="新宋体" w:eastAsia="仿宋_GB2312" w:cs="仿宋_GB2312"/>
                <w:kern w:val="0"/>
                <w:szCs w:val="21"/>
                <w:lang w:val="en-US" w:eastAsia="zh-CN"/>
              </w:rPr>
              <w:t>得分=［某部门固定资产利用率-min（固定资产利用率）］/［max（固定资产利用率）-min（固定资产利用率）］×该指标分值。</w:t>
            </w:r>
          </w:p>
          <w:p w14:paraId="3BA1D893">
            <w:pPr>
              <w:widowControl/>
              <w:spacing w:line="240" w:lineRule="exact"/>
              <w:jc w:val="left"/>
              <w:rPr>
                <w:rFonts w:hint="eastAsia" w:ascii="仿宋_GB2312" w:hAnsi="新宋体" w:eastAsia="仿宋_GB2312" w:cs="仿宋_GB2312"/>
                <w:kern w:val="0"/>
                <w:szCs w:val="21"/>
                <w:lang w:val="en-US" w:eastAsia="zh-CN"/>
              </w:rPr>
            </w:pPr>
          </w:p>
        </w:tc>
        <w:tc>
          <w:tcPr>
            <w:tcW w:w="567" w:type="dxa"/>
            <w:tcBorders>
              <w:top w:val="single" w:color="auto" w:sz="4" w:space="0"/>
              <w:left w:val="single" w:color="auto" w:sz="4" w:space="0"/>
              <w:bottom w:val="single" w:color="000000" w:sz="4" w:space="0"/>
              <w:right w:val="single" w:color="000000" w:sz="4" w:space="0"/>
            </w:tcBorders>
            <w:vAlign w:val="center"/>
          </w:tcPr>
          <w:p w14:paraId="5EF8249A">
            <w:pPr>
              <w:widowControl/>
              <w:spacing w:line="240" w:lineRule="exact"/>
              <w:jc w:val="left"/>
              <w:rPr>
                <w:rFonts w:hint="eastAsia" w:ascii="仿宋_GB2312" w:hAnsi="新宋体" w:eastAsia="仿宋_GB2312" w:cs="仿宋_GB2312"/>
                <w:kern w:val="0"/>
                <w:szCs w:val="21"/>
                <w:lang w:val="en-US" w:eastAsia="zh-CN"/>
              </w:rPr>
            </w:pPr>
            <w:r>
              <w:rPr>
                <w:rFonts w:hint="eastAsia" w:ascii="仿宋_GB2312" w:hAnsi="新宋体" w:eastAsia="仿宋_GB2312" w:cs="仿宋_GB2312"/>
                <w:kern w:val="0"/>
                <w:szCs w:val="21"/>
                <w:lang w:val="en-US" w:eastAsia="zh-CN"/>
              </w:rPr>
              <w:t>3</w:t>
            </w:r>
          </w:p>
        </w:tc>
      </w:tr>
      <w:tr w14:paraId="350D91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8D18360">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00E8090">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18DAE3ED">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756051C0">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602CE88C">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1B45705B">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EE9362B">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p>
          <w:p w14:paraId="3AFD1CFF">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 xml:space="preserve">1.每项任务是否已制定了明确、具体、可量化、可衡量的绩效指标；           </w:t>
            </w:r>
          </w:p>
          <w:p w14:paraId="4A25EF3E">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2.每项任务绩效指标的完成情况，是全部完成、基本完成、未完成，还是未实施；</w:t>
            </w:r>
          </w:p>
          <w:p w14:paraId="68AC40B0">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3.每项任务实施效果情况，是优秀、良好、一般，还是无效果；</w:t>
            </w:r>
          </w:p>
          <w:p w14:paraId="1F35882D">
            <w:pPr>
              <w:widowControl/>
              <w:spacing w:line="240" w:lineRule="exact"/>
              <w:jc w:val="left"/>
              <w:textAlignment w:val="center"/>
              <w:rPr>
                <w:szCs w:val="21"/>
              </w:rPr>
            </w:pP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0A1A5255">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191F5417">
            <w:pPr>
              <w:widowControl/>
              <w:spacing w:line="240" w:lineRule="exact"/>
              <w:jc w:val="left"/>
              <w:rPr>
                <w:rFonts w:hint="default" w:eastAsiaTheme="minorEastAsia"/>
                <w:szCs w:val="21"/>
                <w:lang w:val="en-US" w:eastAsia="zh-CN"/>
              </w:rPr>
            </w:pPr>
            <w:r>
              <w:rPr>
                <w:rFonts w:hint="eastAsia" w:ascii="仿宋_GB2312" w:hAnsi="新宋体" w:eastAsia="仿宋_GB2312" w:cs="仿宋_GB2312"/>
                <w:kern w:val="0"/>
                <w:szCs w:val="21"/>
                <w:lang w:val="en-US" w:eastAsia="zh-CN"/>
              </w:rPr>
              <w:t>10</w:t>
            </w:r>
          </w:p>
        </w:tc>
      </w:tr>
      <w:tr w14:paraId="4FE00D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8BD2980">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8C09069">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5AD231B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5F363F8B">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31699A1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76A7F6C0">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286D871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104E7FF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633B886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17D1799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420590C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5E85B788">
            <w:pPr>
              <w:widowControl/>
              <w:spacing w:line="240" w:lineRule="exact"/>
              <w:jc w:val="left"/>
              <w:rPr>
                <w:rFonts w:hint="default" w:eastAsiaTheme="minorEastAsia"/>
                <w:szCs w:val="21"/>
                <w:lang w:val="en-US" w:eastAsia="zh-CN"/>
              </w:rPr>
            </w:pPr>
            <w:r>
              <w:rPr>
                <w:rFonts w:hint="eastAsia" w:ascii="仿宋_GB2312" w:hAnsi="新宋体" w:eastAsia="仿宋_GB2312" w:cs="仿宋_GB2312"/>
                <w:kern w:val="0"/>
                <w:szCs w:val="21"/>
                <w:lang w:val="en-US" w:eastAsia="zh-CN"/>
              </w:rPr>
              <w:t>15</w:t>
            </w:r>
          </w:p>
        </w:tc>
      </w:tr>
      <w:tr w14:paraId="04F663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D443017">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2C8AF1C2">
            <w:pPr>
              <w:widowControl/>
              <w:spacing w:line="240" w:lineRule="exact"/>
              <w:jc w:val="left"/>
              <w:rPr>
                <w:rFonts w:ascii="仿宋_GB2312" w:hAnsi="新宋体" w:eastAsia="仿宋_GB2312" w:cs="仿宋_GB2312"/>
                <w:kern w:val="0"/>
                <w:szCs w:val="21"/>
              </w:rPr>
            </w:pPr>
          </w:p>
          <w:p w14:paraId="6A6FDE4B">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1CC98138">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00F18C23">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244430CE">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7A1D31E">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58F1C4A6">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评价要点：</w:t>
            </w:r>
          </w:p>
          <w:p w14:paraId="37AAA439">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 xml:space="preserve">1.通过部门所属企事业单位改革，促进了企事业单位效益增长情况；          </w:t>
            </w:r>
          </w:p>
          <w:p w14:paraId="4E8568A1">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2.通过预算支出项目的实施，促进了行业生产能力增长，从而带动行业经济效益增长；</w:t>
            </w:r>
          </w:p>
          <w:p w14:paraId="37C2509B">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3.通过预算支出项目的实施，有效提高劳动效率，节约成本费用；</w:t>
            </w:r>
          </w:p>
          <w:p w14:paraId="7686520E">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4.通过预算支出项目的实施，降低了损耗，从而提高了生产效益；</w:t>
            </w:r>
          </w:p>
          <w:p w14:paraId="7F8F3DDB">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2C5D1479">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4DA3A465">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4</w:t>
            </w:r>
          </w:p>
        </w:tc>
      </w:tr>
      <w:tr w14:paraId="6C5A4A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5BE281B9">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24ACC879">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6FED52C">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3A26F52D">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64BB51C3">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5DAD5F69">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评价要点：</w:t>
            </w:r>
          </w:p>
          <w:p w14:paraId="3A616CED">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 xml:space="preserve">1.通过部门所属企事业单位的改革，促进了企事业单位可持续发展，带动就业增长情况；          </w:t>
            </w:r>
          </w:p>
          <w:p w14:paraId="70B6AF43">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2.通过预算支出项目的实施，是否明显促进了行业精神文明建设；</w:t>
            </w:r>
          </w:p>
          <w:p w14:paraId="37A647B9">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3.通过部门履职是否明显提高城乡居民生活水平，满足了人们日益增长的物质与文化生活需求；</w:t>
            </w:r>
          </w:p>
          <w:p w14:paraId="6663E5CE">
            <w:pPr>
              <w:widowControl/>
              <w:spacing w:line="240" w:lineRule="exac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4.通过预算项目的实施，是否提高了劳动生产率，降低了劳动强度，促进了劳动人民的身心健康；</w:t>
            </w:r>
          </w:p>
          <w:p w14:paraId="62619A8F">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150C838C">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3BD7A7CE">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5</w:t>
            </w:r>
          </w:p>
        </w:tc>
      </w:tr>
      <w:tr w14:paraId="60C315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39F1B643">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2DFC59FB">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8E001B9">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3D7C4B03">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25C2890E">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363C3B9D">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评价要点：</w:t>
            </w:r>
          </w:p>
          <w:p w14:paraId="2620CDD9">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p>
          <w:p w14:paraId="3AED5FAA">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2.通过履职有效地控制虚假、伪劣、霉变等劣质产品进入市场，影响了人民生活质量，净化地市场环境；</w:t>
            </w:r>
          </w:p>
          <w:p w14:paraId="6DC1CCB3">
            <w:pPr>
              <w:widowControl/>
              <w:spacing w:line="240" w:lineRule="exact"/>
              <w:jc w:val="left"/>
              <w:textAlignment w:val="center"/>
              <w:rPr>
                <w:rFonts w:hint="eastAsia" w:ascii="仿宋" w:hAnsi="仿宋" w:eastAsia="仿宋" w:cs="仿宋"/>
                <w:color w:val="000000"/>
                <w:kern w:val="0"/>
                <w:szCs w:val="21"/>
                <w:lang w:eastAsia="zh-CN"/>
              </w:rPr>
            </w:pPr>
            <w:r>
              <w:rPr>
                <w:rFonts w:hint="eastAsia" w:ascii="仿宋" w:hAnsi="仿宋" w:eastAsia="仿宋" w:cs="仿宋"/>
                <w:color w:val="000000"/>
                <w:kern w:val="0"/>
                <w:szCs w:val="21"/>
              </w:rPr>
              <w:t>3.通过预算支出项目的实施，是否达到减少污染物排放；</w:t>
            </w:r>
          </w:p>
          <w:p w14:paraId="59D72E38">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2A562B60">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1F9EC64D">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4</w:t>
            </w:r>
          </w:p>
        </w:tc>
      </w:tr>
      <w:tr w14:paraId="2CB2E6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3FF27DE">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2FFD2541">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15FD6CD">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153AE63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4885D4D5">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0BC957F4">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61CB3DC9">
            <w:pPr>
              <w:widowControl/>
              <w:spacing w:line="240" w:lineRule="exact"/>
              <w:jc w:val="left"/>
              <w:rPr>
                <w:rFonts w:hint="eastAsia" w:eastAsiaTheme="minorEastAsia"/>
                <w:szCs w:val="21"/>
                <w:lang w:val="en-US" w:eastAsia="zh-CN"/>
              </w:rPr>
            </w:pPr>
            <w:r>
              <w:rPr>
                <w:rFonts w:hint="eastAsia" w:ascii="仿宋_GB2312" w:hAnsi="新宋体" w:eastAsia="仿宋_GB2312" w:cs="仿宋_GB2312"/>
                <w:kern w:val="0"/>
                <w:szCs w:val="21"/>
                <w:lang w:val="en-US" w:eastAsia="zh-CN"/>
              </w:rPr>
              <w:t>5</w:t>
            </w:r>
          </w:p>
        </w:tc>
      </w:tr>
    </w:tbl>
    <w:p w14:paraId="1B9FD840">
      <w:pPr>
        <w:widowControl/>
        <w:spacing w:line="480" w:lineRule="exact"/>
        <w:jc w:val="left"/>
        <w:rPr>
          <w:rFonts w:ascii="仿宋" w:hAnsi="仿宋" w:eastAsia="仿宋" w:cs="仿宋"/>
          <w:kern w:val="0"/>
          <w:sz w:val="32"/>
          <w:szCs w:val="32"/>
          <w:shd w:val="clear" w:color="auto" w:fill="FFFFFF"/>
        </w:rPr>
      </w:pPr>
    </w:p>
    <w:p w14:paraId="2B0FD6CF">
      <w:pPr>
        <w:ind w:firstLine="780"/>
        <w:jc w:val="center"/>
        <w:rPr>
          <w:rFonts w:hint="eastAsia" w:cs="黑体" w:asciiTheme="minorEastAsia" w:hAnsiTheme="minorEastAsia"/>
          <w:b/>
          <w:bCs/>
          <w:sz w:val="44"/>
          <w:szCs w:val="44"/>
        </w:rPr>
      </w:pPr>
    </w:p>
    <w:p w14:paraId="7F68C833">
      <w:pPr>
        <w:ind w:firstLine="780"/>
        <w:jc w:val="center"/>
        <w:rPr>
          <w:rFonts w:hint="eastAsia" w:cs="黑体" w:asciiTheme="minorEastAsia" w:hAnsiTheme="minorEastAsia"/>
          <w:b/>
          <w:bCs/>
          <w:sz w:val="44"/>
          <w:szCs w:val="44"/>
          <w:lang w:val="en-US"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val="en-US" w:eastAsia="zh-CN"/>
        </w:rPr>
        <w:t>信访局</w:t>
      </w:r>
    </w:p>
    <w:p w14:paraId="046E034F">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7A7B8F36">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50FA87BF">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14:paraId="430981C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信访局是县委、县政府联合设立的主管信访工作的职能部门。主要职责是:</w:t>
      </w:r>
    </w:p>
    <w:p w14:paraId="5B09B32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 xml:space="preserve">1.依据党的路线、方针、政策和国家的法律、法规，受理、交办、转送信访人提出的信访事项。  </w:t>
      </w:r>
    </w:p>
    <w:p w14:paraId="0B5A802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 xml:space="preserve">2.贯彻落实各项信访工作制度，完成上级和本级党委、政府交由处理的信访事项。  </w:t>
      </w:r>
    </w:p>
    <w:p w14:paraId="6CA6463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 xml:space="preserve">3.指导各乡镇、县直部门的信访工作，负责对全县信访工作的协调处理和督查督办。  </w:t>
      </w:r>
    </w:p>
    <w:p w14:paraId="3A57AF5E">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 xml:space="preserve">4.负责全县信访干部的教育培训工作。  </w:t>
      </w:r>
    </w:p>
    <w:p w14:paraId="5355FD6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 xml:space="preserve">5.负责县信访工作领导小组办公室和县信访联席会议办公室的日常工作，完成领导小组和联席会议交办的工作任务。  </w:t>
      </w:r>
    </w:p>
    <w:p w14:paraId="0A42BD2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6.配合县委组织部做好到县信访局挂职锻炼干部的管理与考核。</w:t>
      </w:r>
    </w:p>
    <w:p w14:paraId="4AA56FB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7.完成领导交办的其他工作。</w:t>
      </w:r>
    </w:p>
    <w:p w14:paraId="404DED2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仿宋" w:hAnsi="仿宋" w:eastAsia="仿宋" w:cs="仿宋"/>
          <w:sz w:val="32"/>
          <w:szCs w:val="32"/>
        </w:rPr>
      </w:pPr>
      <w:r>
        <w:rPr>
          <w:rFonts w:hint="eastAsia" w:ascii="仿宋" w:hAnsi="仿宋" w:eastAsia="仿宋" w:cs="Times New Roman"/>
          <w:color w:val="000000"/>
          <w:sz w:val="30"/>
          <w:szCs w:val="24"/>
          <w:lang w:val="en-US" w:eastAsia="zh-CN"/>
        </w:rPr>
        <w:t>（二）内设机构：综合办公室、信息督查室、综合调研股、信访接待中心。</w:t>
      </w:r>
    </w:p>
    <w:p w14:paraId="7D7A4518">
      <w:pPr>
        <w:adjustRightInd w:val="0"/>
        <w:rPr>
          <w:rFonts w:hint="eastAsia" w:ascii="仿宋" w:hAnsi="仿宋" w:eastAsia="仿宋" w:cs="仿宋"/>
          <w:sz w:val="32"/>
          <w:szCs w:val="32"/>
        </w:rPr>
      </w:pPr>
      <w:r>
        <w:rPr>
          <w:rFonts w:hint="eastAsia" w:ascii="仿宋" w:hAnsi="仿宋" w:eastAsia="仿宋" w:cs="仿宋"/>
          <w:sz w:val="32"/>
          <w:szCs w:val="32"/>
        </w:rPr>
        <w:t xml:space="preserve">   （二）人员及资产情况。</w:t>
      </w:r>
    </w:p>
    <w:p w14:paraId="499AB0D9">
      <w:pPr>
        <w:adjustRightInd w:val="0"/>
        <w:ind w:firstLine="600" w:firstLineChars="200"/>
        <w:rPr>
          <w:rFonts w:hint="eastAsia" w:ascii="仿宋" w:hAnsi="仿宋" w:eastAsia="仿宋" w:cs="仿宋"/>
          <w:sz w:val="32"/>
          <w:szCs w:val="32"/>
        </w:rPr>
      </w:pPr>
      <w:r>
        <w:rPr>
          <w:rFonts w:hint="eastAsia" w:ascii="仿宋" w:hAnsi="仿宋" w:eastAsia="仿宋" w:cs="Times New Roman"/>
          <w:color w:val="000000"/>
          <w:sz w:val="30"/>
          <w:szCs w:val="24"/>
          <w:lang w:val="en-US" w:eastAsia="zh-CN"/>
        </w:rPr>
        <w:t>隆尧县信访局截至2021年末在职人员共计</w:t>
      </w:r>
      <w:r>
        <w:rPr>
          <w:rFonts w:hint="eastAsia" w:ascii="仿宋" w:hAnsi="仿宋" w:eastAsia="仿宋" w:cs="Times New Roman"/>
          <w:color w:val="auto"/>
          <w:sz w:val="30"/>
          <w:szCs w:val="24"/>
          <w:lang w:val="en-US" w:eastAsia="zh-CN"/>
        </w:rPr>
        <w:t>8人，其中：行政编制6名，事业编制人员2人。固定资产共计1802330.55元。</w:t>
      </w:r>
    </w:p>
    <w:p w14:paraId="2955C4F8">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部门履职总体目标。</w:t>
      </w:r>
    </w:p>
    <w:p w14:paraId="13EE26C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仿宋"/>
          <w:sz w:val="32"/>
          <w:szCs w:val="32"/>
        </w:rPr>
      </w:pPr>
      <w:r>
        <w:rPr>
          <w:rFonts w:hint="eastAsia" w:ascii="仿宋" w:hAnsi="仿宋" w:eastAsia="仿宋" w:cs="Times New Roman"/>
          <w:color w:val="000000"/>
          <w:sz w:val="30"/>
          <w:szCs w:val="24"/>
          <w:lang w:val="en-US" w:eastAsia="zh-CN"/>
        </w:rPr>
        <w:t>维护全县社会稳定和政治安定，进京、赴省集体上访严格按照上级规定目标完成，遏制进京“非访”，确保国家、省、市敏感时期零上访。为我县的经济发展起到保驾护航作用。</w:t>
      </w:r>
    </w:p>
    <w:p w14:paraId="0273ABEB">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年度整体绩效目标和工作任务。</w:t>
      </w:r>
    </w:p>
    <w:p w14:paraId="78CAE97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仿宋"/>
          <w:sz w:val="32"/>
          <w:szCs w:val="32"/>
        </w:rPr>
      </w:pPr>
      <w:r>
        <w:rPr>
          <w:rFonts w:hint="eastAsia" w:ascii="仿宋" w:hAnsi="仿宋" w:eastAsia="仿宋" w:cs="Times New Roman"/>
          <w:color w:val="000000"/>
          <w:sz w:val="30"/>
          <w:szCs w:val="24"/>
          <w:lang w:val="en-US" w:eastAsia="zh-CN"/>
        </w:rPr>
        <w:t>畅通信访渠道，提高信访事项办理质量和效率。妥善处置非正常访，维护社会和谐稳定。推动重要信访事项解决，规范信访事项办理、终结，用好特殊疑难信访问题专项资金。进一步提高信访干部业务能力；吸收可行建议，改进信访工作；提高信访信息化应用水平。保障机要邮件正常传递和信访群众工作中心正常运转；确保会议正常召开。</w:t>
      </w:r>
    </w:p>
    <w:p w14:paraId="5ED8FD78">
      <w:pPr>
        <w:numPr>
          <w:ilvl w:val="0"/>
          <w:numId w:val="1"/>
        </w:numPr>
        <w:adjustRightInd w:val="0"/>
        <w:ind w:left="480" w:leftChars="0" w:firstLine="0" w:firstLineChars="0"/>
        <w:rPr>
          <w:rFonts w:hint="eastAsia" w:ascii="楷体" w:hAnsi="楷体" w:eastAsia="楷体" w:cs="仿宋"/>
          <w:sz w:val="32"/>
          <w:szCs w:val="32"/>
        </w:rPr>
      </w:pPr>
      <w:r>
        <w:rPr>
          <w:rFonts w:hint="eastAsia" w:ascii="仿宋" w:hAnsi="仿宋" w:eastAsia="仿宋" w:cs="仿宋"/>
          <w:sz w:val="32"/>
          <w:szCs w:val="32"/>
        </w:rPr>
        <w:t>预算资金安排及资金支出情况</w:t>
      </w:r>
      <w:r>
        <w:rPr>
          <w:rFonts w:hint="eastAsia" w:ascii="楷体" w:hAnsi="楷体" w:eastAsia="楷体" w:cs="仿宋"/>
          <w:sz w:val="32"/>
          <w:szCs w:val="32"/>
        </w:rPr>
        <w:t>。</w:t>
      </w:r>
    </w:p>
    <w:p w14:paraId="4E5DBFD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楷体" w:hAnsi="楷体" w:eastAsia="楷体" w:cs="仿宋"/>
          <w:sz w:val="32"/>
          <w:szCs w:val="32"/>
        </w:rPr>
      </w:pPr>
      <w:r>
        <w:rPr>
          <w:rFonts w:hint="eastAsia" w:ascii="仿宋" w:hAnsi="仿宋" w:eastAsia="仿宋" w:cs="Times New Roman"/>
          <w:color w:val="000000"/>
          <w:sz w:val="30"/>
          <w:szCs w:val="24"/>
          <w:lang w:val="en-US" w:eastAsia="zh-CN"/>
        </w:rPr>
        <w:t>2021年度总预算资金为</w:t>
      </w:r>
      <w:r>
        <w:rPr>
          <w:rFonts w:hint="eastAsia" w:ascii="仿宋" w:hAnsi="仿宋" w:eastAsia="仿宋" w:cs="Times New Roman"/>
          <w:color w:val="auto"/>
          <w:sz w:val="30"/>
          <w:szCs w:val="24"/>
          <w:lang w:val="en-US" w:eastAsia="zh-CN"/>
        </w:rPr>
        <w:t>1669808.9元，资金支出1871164.64元，结</w:t>
      </w:r>
      <w:r>
        <w:rPr>
          <w:rFonts w:hint="eastAsia" w:ascii="仿宋" w:hAnsi="仿宋" w:eastAsia="仿宋" w:cs="Times New Roman"/>
          <w:color w:val="000000"/>
          <w:sz w:val="30"/>
          <w:szCs w:val="24"/>
          <w:lang w:val="en-US" w:eastAsia="zh-CN"/>
        </w:rPr>
        <w:t>余为14847.99元（主要原因为驻京值班人员未及时报销，故差旅费略有结余）。</w:t>
      </w:r>
    </w:p>
    <w:p w14:paraId="4E1082FD">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14:paraId="097891FF">
      <w:pPr>
        <w:numPr>
          <w:ilvl w:val="0"/>
          <w:numId w:val="3"/>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部门开展预算绩效管理情况。</w:t>
      </w:r>
    </w:p>
    <w:p w14:paraId="569DD17B">
      <w:pPr>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600" w:lineRule="exact"/>
        <w:ind w:firstLine="641"/>
        <w:textAlignment w:val="auto"/>
        <w:rPr>
          <w:rFonts w:hint="eastAsia" w:ascii="仿宋" w:hAnsi="仿宋" w:eastAsia="仿宋" w:cs="仿宋"/>
          <w:sz w:val="32"/>
          <w:szCs w:val="32"/>
        </w:rPr>
      </w:pPr>
      <w:r>
        <w:rPr>
          <w:rFonts w:hint="eastAsia" w:ascii="仿宋" w:hAnsi="仿宋" w:eastAsia="仿宋" w:cs="Times New Roman"/>
          <w:color w:val="000000"/>
          <w:sz w:val="30"/>
          <w:szCs w:val="24"/>
          <w:lang w:val="en-US" w:eastAsia="zh-CN"/>
        </w:rPr>
        <w:t>为全面实施预算项目绩效管理，我单位一是加强预算编制绩效管理，每年对本单位所申报预算项目进行全面梳理、加强审核、合理保障，所有项目均有详细的资金预算；二是积极推进项目绩效评价，在加强预算编制环节的基础上，加强预算执行监管和执行结果评价，将财务监督渗透到预算管理的事前、事中、事后各个环节。</w:t>
      </w:r>
    </w:p>
    <w:p w14:paraId="17563CD5">
      <w:pPr>
        <w:numPr>
          <w:ilvl w:val="0"/>
          <w:numId w:val="3"/>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工作履行活动完成情况。</w:t>
      </w:r>
    </w:p>
    <w:p w14:paraId="3DEDE0B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仿宋"/>
          <w:sz w:val="32"/>
          <w:szCs w:val="32"/>
        </w:rPr>
      </w:pPr>
      <w:r>
        <w:rPr>
          <w:rFonts w:hint="eastAsia" w:ascii="仿宋" w:hAnsi="仿宋" w:eastAsia="仿宋" w:cs="Times New Roman"/>
          <w:color w:val="000000"/>
          <w:sz w:val="30"/>
          <w:szCs w:val="24"/>
          <w:lang w:val="en-US" w:eastAsia="zh-CN"/>
        </w:rPr>
        <w:t>驻京值班工作顺利开展，重点及应急信访事件成功化解；群众接访中心工作正常进行，网上信访系统网络畅通，日常工作运转有条不紊。“名校英才入冀”人员房租补助及时足额发放，解决特殊疑难信访问题中央资金补助针对特定对象、2021年度县长书记热线人员劳务费、2021年度退役军人专岗津补贴按时发放。</w:t>
      </w:r>
    </w:p>
    <w:p w14:paraId="2ADAC486">
      <w:pPr>
        <w:numPr>
          <w:ilvl w:val="0"/>
          <w:numId w:val="3"/>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实施履职活动产生的效果</w:t>
      </w:r>
      <w:r>
        <w:rPr>
          <w:rFonts w:hint="eastAsia" w:ascii="仿宋" w:hAnsi="仿宋" w:eastAsia="仿宋" w:cs="仿宋"/>
          <w:sz w:val="32"/>
          <w:szCs w:val="32"/>
          <w:lang w:val="en-US" w:eastAsia="zh-CN"/>
        </w:rPr>
        <w:t>及</w:t>
      </w:r>
      <w:r>
        <w:rPr>
          <w:rFonts w:hint="eastAsia" w:ascii="仿宋" w:hAnsi="仿宋" w:eastAsia="仿宋" w:cs="仿宋"/>
          <w:sz w:val="32"/>
          <w:szCs w:val="32"/>
        </w:rPr>
        <w:t>服务对象满意程度。</w:t>
      </w:r>
    </w:p>
    <w:p w14:paraId="0A8E775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hint="eastAsia" w:ascii="仿宋" w:hAnsi="仿宋" w:eastAsia="仿宋" w:cs="Times New Roman"/>
          <w:color w:val="000000"/>
          <w:sz w:val="30"/>
          <w:szCs w:val="24"/>
          <w:lang w:val="en-US" w:eastAsia="zh-CN"/>
        </w:rPr>
      </w:pPr>
      <w:r>
        <w:rPr>
          <w:rFonts w:hint="eastAsia" w:ascii="仿宋" w:hAnsi="仿宋" w:eastAsia="仿宋" w:cs="Times New Roman"/>
          <w:color w:val="000000"/>
          <w:sz w:val="30"/>
          <w:szCs w:val="24"/>
          <w:lang w:val="en-US" w:eastAsia="zh-CN"/>
        </w:rPr>
        <w:t>2021年我单位认真做好年度财政资金的预算编制工作，按照政府采购目标及采购限额标准编制政府采购预算，做到应编尽编，在资金使用和管理方面，进一步强化资金统筹，优化资金结构，明确开支范围，细化资金用途，确保部门职责任务顺利完成，全年基本支出保证了部门的正常运行和日常工作的正常开展，达到预期绩效目标。上访群众对信访工作比较满意。</w:t>
      </w:r>
    </w:p>
    <w:p w14:paraId="0FE8DF5F">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14:paraId="0330D143">
      <w:pPr>
        <w:numPr>
          <w:ilvl w:val="0"/>
          <w:numId w:val="4"/>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评价对象绩效目标。</w:t>
      </w:r>
    </w:p>
    <w:p w14:paraId="30B38CB5">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wordWrap/>
        <w:spacing w:before="0" w:beforeAutospacing="0" w:after="0" w:afterAutospacing="0" w:line="600" w:lineRule="atLeast"/>
        <w:ind w:left="0" w:right="0" w:firstLine="645"/>
        <w:jc w:val="both"/>
        <w:rPr>
          <w:rFonts w:hint="eastAsia" w:ascii="仿宋" w:hAnsi="仿宋" w:eastAsia="仿宋" w:cs="Times New Roman"/>
          <w:color w:val="000000"/>
          <w:kern w:val="2"/>
          <w:sz w:val="30"/>
          <w:szCs w:val="24"/>
          <w:lang w:val="en-US" w:eastAsia="zh-CN" w:bidi="ar-SA"/>
        </w:rPr>
      </w:pPr>
      <w:r>
        <w:rPr>
          <w:rFonts w:hint="eastAsia" w:ascii="仿宋" w:hAnsi="仿宋" w:eastAsia="仿宋" w:cs="Times New Roman"/>
          <w:color w:val="000000"/>
          <w:kern w:val="2"/>
          <w:sz w:val="30"/>
          <w:szCs w:val="24"/>
          <w:lang w:val="en-US" w:eastAsia="zh-CN" w:bidi="ar-SA"/>
        </w:rPr>
        <w:t>根据县委、县政府工作任务部署，部门发展规划、年度工作计划，针对主要职责和预算编制规定，科学制定部门整体绩效目标，并依据整体绩效目标，分解细化各项目标要求。</w:t>
      </w:r>
      <w:r>
        <w:rPr>
          <w:rFonts w:hint="default" w:ascii="仿宋" w:hAnsi="仿宋" w:eastAsia="仿宋" w:cs="Times New Roman"/>
          <w:color w:val="000000"/>
          <w:kern w:val="2"/>
          <w:sz w:val="30"/>
          <w:szCs w:val="24"/>
          <w:lang w:val="en-US" w:eastAsia="zh-CN" w:bidi="ar-SA"/>
        </w:rPr>
        <w:t>绩效目标的设置指向明确、细化量化、合理可行、相应匹配，达到可审核、可监控、可评价、可公开要求。</w:t>
      </w:r>
    </w:p>
    <w:p w14:paraId="58DBF681">
      <w:pPr>
        <w:numPr>
          <w:ilvl w:val="0"/>
          <w:numId w:val="4"/>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绩效指标。</w:t>
      </w:r>
    </w:p>
    <w:p w14:paraId="0C7F47FB">
      <w:pPr>
        <w:numPr>
          <w:ilvl w:val="0"/>
          <w:numId w:val="0"/>
        </w:numPr>
        <w:adjustRightInd w:val="0"/>
        <w:ind w:leftChars="150" w:firstLine="600" w:firstLineChars="200"/>
        <w:rPr>
          <w:rFonts w:hint="default" w:ascii="仿宋" w:hAnsi="仿宋" w:eastAsia="仿宋" w:cs="Times New Roman"/>
          <w:color w:val="000000"/>
          <w:kern w:val="2"/>
          <w:sz w:val="30"/>
          <w:szCs w:val="24"/>
          <w:lang w:val="en-US" w:eastAsia="zh-CN" w:bidi="ar-SA"/>
        </w:rPr>
      </w:pPr>
      <w:r>
        <w:rPr>
          <w:rFonts w:hint="eastAsia" w:ascii="仿宋" w:hAnsi="仿宋" w:eastAsia="仿宋" w:cs="Times New Roman"/>
          <w:color w:val="000000"/>
          <w:kern w:val="2"/>
          <w:sz w:val="30"/>
          <w:szCs w:val="24"/>
          <w:lang w:val="en-US" w:eastAsia="zh-CN" w:bidi="ar-SA"/>
        </w:rPr>
        <w:t>本单位通过对项目的产出指标、效益指标、满意度指标、预算执行率进行项目支出整体绩效评价，得分97分。</w:t>
      </w:r>
    </w:p>
    <w:p w14:paraId="2BA6F146">
      <w:pPr>
        <w:numPr>
          <w:ilvl w:val="0"/>
          <w:numId w:val="4"/>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评价标准和评价方法。</w:t>
      </w:r>
    </w:p>
    <w:p w14:paraId="09C3F8B3">
      <w:pPr>
        <w:numPr>
          <w:ilvl w:val="0"/>
          <w:numId w:val="0"/>
        </w:numPr>
        <w:adjustRightInd w:val="0"/>
        <w:ind w:leftChars="150" w:firstLine="600" w:firstLineChars="200"/>
        <w:rPr>
          <w:rFonts w:hint="eastAsia" w:ascii="仿宋" w:hAnsi="仿宋" w:eastAsia="仿宋" w:cs="Times New Roman"/>
          <w:color w:val="000000"/>
          <w:kern w:val="2"/>
          <w:sz w:val="30"/>
          <w:szCs w:val="24"/>
          <w:lang w:val="en-US" w:eastAsia="zh-CN" w:bidi="ar-SA"/>
        </w:rPr>
      </w:pPr>
      <w:r>
        <w:rPr>
          <w:rFonts w:hint="eastAsia" w:ascii="仿宋" w:hAnsi="仿宋" w:eastAsia="仿宋" w:cs="Times New Roman"/>
          <w:color w:val="000000"/>
          <w:kern w:val="2"/>
          <w:sz w:val="30"/>
          <w:szCs w:val="24"/>
          <w:lang w:val="en-US" w:eastAsia="zh-CN" w:bidi="ar-SA"/>
        </w:rPr>
        <w:t>整体支出绩效评价体系：指标体系包括共性指标和个性指标两部分，主要参照财政部门制定的《部门整体支出绩效评价指标体系》的相关内容，根据单位具体情况对个性指标进行了调整细化。</w:t>
      </w:r>
    </w:p>
    <w:p w14:paraId="37864157">
      <w:pPr>
        <w:numPr>
          <w:ilvl w:val="0"/>
          <w:numId w:val="0"/>
        </w:numPr>
        <w:adjustRightInd w:val="0"/>
        <w:ind w:leftChars="150" w:firstLine="600" w:firstLineChars="200"/>
        <w:rPr>
          <w:rFonts w:hint="eastAsia" w:ascii="仿宋" w:hAnsi="仿宋" w:eastAsia="仿宋" w:cs="Times New Roman"/>
          <w:color w:val="000000"/>
          <w:kern w:val="2"/>
          <w:sz w:val="30"/>
          <w:szCs w:val="24"/>
          <w:lang w:val="en-US" w:eastAsia="zh-CN" w:bidi="ar-SA"/>
        </w:rPr>
      </w:pPr>
      <w:r>
        <w:rPr>
          <w:rFonts w:hint="eastAsia" w:ascii="仿宋" w:hAnsi="仿宋" w:eastAsia="仿宋" w:cs="Times New Roman"/>
          <w:color w:val="000000"/>
          <w:kern w:val="2"/>
          <w:sz w:val="30"/>
          <w:szCs w:val="24"/>
          <w:lang w:val="en-US" w:eastAsia="zh-CN" w:bidi="ar-SA"/>
        </w:rPr>
        <w:t>整体支出绩效评价方法：主要采用因素分析法、比较法等方法。</w:t>
      </w:r>
    </w:p>
    <w:p w14:paraId="6046D265">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各项绩效目标的实现程度及差异性原因分析。</w:t>
      </w:r>
    </w:p>
    <w:p w14:paraId="666F483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黑体" w:hAnsi="黑体" w:eastAsia="黑体" w:cs="仿宋"/>
          <w:sz w:val="32"/>
          <w:szCs w:val="32"/>
        </w:rPr>
      </w:pPr>
      <w:r>
        <w:rPr>
          <w:rFonts w:hint="eastAsia" w:ascii="仿宋" w:hAnsi="仿宋" w:eastAsia="仿宋" w:cs="Times New Roman"/>
          <w:color w:val="000000"/>
          <w:sz w:val="30"/>
          <w:szCs w:val="24"/>
          <w:lang w:val="en-US" w:eastAsia="zh-CN"/>
        </w:rPr>
        <w:t>2021年度特定目标类的12个项目绩效目标指标已全部完成。</w:t>
      </w:r>
    </w:p>
    <w:p w14:paraId="072A07BE">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存在问题</w:t>
      </w:r>
    </w:p>
    <w:p w14:paraId="2348FA5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640"/>
        <w:rPr>
          <w:rFonts w:ascii="黑体" w:hAnsi="黑体" w:eastAsia="黑体" w:cs="仿宋"/>
          <w:sz w:val="32"/>
          <w:szCs w:val="32"/>
        </w:rPr>
      </w:pPr>
      <w:r>
        <w:rPr>
          <w:rFonts w:hint="eastAsia" w:ascii="仿宋" w:hAnsi="仿宋" w:eastAsia="仿宋" w:cs="Times New Roman"/>
          <w:color w:val="000000"/>
          <w:sz w:val="30"/>
          <w:szCs w:val="24"/>
          <w:lang w:val="en-US" w:eastAsia="zh-CN"/>
        </w:rPr>
        <w:t>对于各项工作任务，保证按时完成，提前谋划，但对完成的效果以及影响力的评估，缺少进一步探究及创新。</w:t>
      </w:r>
    </w:p>
    <w:p w14:paraId="0E856F58">
      <w:pPr>
        <w:pStyle w:val="17"/>
        <w:numPr>
          <w:ilvl w:val="0"/>
          <w:numId w:val="2"/>
        </w:numPr>
        <w:ind w:firstLineChars="0"/>
        <w:rPr>
          <w:rFonts w:ascii="黑体" w:hAnsi="黑体" w:eastAsia="黑体" w:cs="仿宋"/>
          <w:sz w:val="32"/>
          <w:szCs w:val="32"/>
        </w:rPr>
      </w:pPr>
      <w:r>
        <w:rPr>
          <w:rFonts w:hint="eastAsia" w:ascii="黑体" w:hAnsi="黑体" w:eastAsia="黑体" w:cs="仿宋"/>
          <w:sz w:val="32"/>
          <w:szCs w:val="32"/>
        </w:rPr>
        <w:t>采取的纠偏措施及改进绩效管理建议。</w:t>
      </w:r>
    </w:p>
    <w:p w14:paraId="6F224739">
      <w:pPr>
        <w:numPr>
          <w:ilvl w:val="0"/>
          <w:numId w:val="0"/>
        </w:numPr>
        <w:adjustRightInd w:val="0"/>
        <w:ind w:leftChars="150" w:firstLine="600" w:firstLineChars="200"/>
        <w:rPr>
          <w:rFonts w:hint="default" w:ascii="仿宋" w:hAnsi="仿宋" w:eastAsia="仿宋" w:cs="Times New Roman"/>
          <w:color w:val="000000"/>
          <w:kern w:val="2"/>
          <w:sz w:val="30"/>
          <w:szCs w:val="24"/>
          <w:lang w:val="en-US" w:eastAsia="zh-CN" w:bidi="ar-SA"/>
        </w:rPr>
      </w:pPr>
      <w:r>
        <w:rPr>
          <w:rFonts w:hint="eastAsia" w:ascii="仿宋" w:hAnsi="仿宋" w:eastAsia="仿宋" w:cs="Times New Roman"/>
          <w:color w:val="000000"/>
          <w:kern w:val="2"/>
          <w:sz w:val="30"/>
          <w:szCs w:val="24"/>
          <w:lang w:val="en-US" w:eastAsia="zh-CN" w:bidi="ar-SA"/>
        </w:rPr>
        <w:t>纠偏措施：</w:t>
      </w:r>
      <w:r>
        <w:rPr>
          <w:rFonts w:hint="default" w:ascii="仿宋" w:hAnsi="仿宋" w:eastAsia="仿宋" w:cs="Times New Roman"/>
          <w:color w:val="000000"/>
          <w:kern w:val="2"/>
          <w:sz w:val="30"/>
          <w:szCs w:val="24"/>
          <w:lang w:val="en-US" w:eastAsia="zh-CN" w:bidi="ar-SA"/>
        </w:rPr>
        <w:t>对绩效目标实现程序和预算执行进度实行“双监控”，发现问题及时纠正，采取有效措施切实加强支出进度，确保绩效目标如期保质保量</w:t>
      </w:r>
      <w:r>
        <w:rPr>
          <w:rFonts w:hint="eastAsia" w:ascii="仿宋" w:hAnsi="仿宋" w:eastAsia="仿宋" w:cs="Times New Roman"/>
          <w:color w:val="000000"/>
          <w:kern w:val="2"/>
          <w:sz w:val="30"/>
          <w:szCs w:val="24"/>
          <w:lang w:val="en-US" w:eastAsia="zh-CN" w:bidi="ar-SA"/>
        </w:rPr>
        <w:t>完成</w:t>
      </w:r>
      <w:r>
        <w:rPr>
          <w:rFonts w:hint="default" w:ascii="仿宋" w:hAnsi="仿宋" w:eastAsia="仿宋" w:cs="Times New Roman"/>
          <w:color w:val="000000"/>
          <w:kern w:val="2"/>
          <w:sz w:val="30"/>
          <w:szCs w:val="24"/>
          <w:lang w:val="en-US" w:eastAsia="zh-CN" w:bidi="ar-SA"/>
        </w:rPr>
        <w:t>。</w:t>
      </w:r>
    </w:p>
    <w:p w14:paraId="1F77FA01">
      <w:pPr>
        <w:numPr>
          <w:ilvl w:val="0"/>
          <w:numId w:val="0"/>
        </w:numPr>
        <w:adjustRightInd w:val="0"/>
        <w:ind w:leftChars="150" w:firstLine="600" w:firstLineChars="200"/>
        <w:rPr>
          <w:rFonts w:hint="eastAsia" w:ascii="仿宋" w:hAnsi="仿宋" w:eastAsia="仿宋" w:cs="Times New Roman"/>
          <w:color w:val="000000"/>
          <w:kern w:val="2"/>
          <w:sz w:val="30"/>
          <w:szCs w:val="24"/>
          <w:lang w:val="en-US" w:eastAsia="zh-CN" w:bidi="ar-SA"/>
        </w:rPr>
      </w:pPr>
      <w:r>
        <w:rPr>
          <w:rFonts w:hint="eastAsia" w:ascii="仿宋" w:hAnsi="仿宋" w:eastAsia="仿宋" w:cs="Times New Roman"/>
          <w:color w:val="000000"/>
          <w:kern w:val="2"/>
          <w:sz w:val="30"/>
          <w:szCs w:val="24"/>
          <w:lang w:val="en-US" w:eastAsia="zh-CN" w:bidi="ar-SA"/>
        </w:rPr>
        <w:t>建议：加强</w:t>
      </w:r>
      <w:r>
        <w:rPr>
          <w:rFonts w:hint="default" w:ascii="仿宋" w:hAnsi="仿宋" w:eastAsia="仿宋" w:cs="Times New Roman"/>
          <w:color w:val="000000"/>
          <w:kern w:val="2"/>
          <w:sz w:val="30"/>
          <w:szCs w:val="24"/>
          <w:lang w:val="en-US" w:eastAsia="zh-CN" w:bidi="ar-SA"/>
        </w:rPr>
        <w:t>单位预算编制工作，</w:t>
      </w:r>
      <w:r>
        <w:rPr>
          <w:rFonts w:hint="eastAsia" w:ascii="仿宋" w:hAnsi="仿宋" w:eastAsia="仿宋" w:cs="Times New Roman"/>
          <w:color w:val="000000"/>
          <w:kern w:val="2"/>
          <w:sz w:val="30"/>
          <w:szCs w:val="24"/>
          <w:lang w:val="en-US" w:eastAsia="zh-CN" w:bidi="ar-SA"/>
        </w:rPr>
        <w:t>提高预算执行率，完善绩效预算管理体制。大力推进本部门全面实施预算绩效管理，实现预算和绩效管理一体化，着力提高财政资源配置使用效率。</w:t>
      </w:r>
    </w:p>
    <w:p w14:paraId="1CD950E8">
      <w:pPr>
        <w:numPr>
          <w:ilvl w:val="0"/>
          <w:numId w:val="0"/>
        </w:numPr>
        <w:adjustRightInd w:val="0"/>
        <w:ind w:leftChars="150" w:firstLine="600" w:firstLineChars="200"/>
        <w:rPr>
          <w:rFonts w:hint="eastAsia" w:ascii="仿宋" w:hAnsi="仿宋" w:eastAsia="仿宋" w:cs="Times New Roman"/>
          <w:color w:val="000000"/>
          <w:kern w:val="2"/>
          <w:sz w:val="30"/>
          <w:szCs w:val="24"/>
          <w:lang w:val="en-US" w:eastAsia="zh-CN" w:bidi="ar-SA"/>
        </w:rPr>
      </w:pPr>
      <w:r>
        <w:rPr>
          <w:rFonts w:hint="default" w:ascii="仿宋" w:hAnsi="仿宋" w:eastAsia="仿宋" w:cs="Times New Roman"/>
          <w:color w:val="000000"/>
          <w:kern w:val="2"/>
          <w:sz w:val="30"/>
          <w:szCs w:val="24"/>
          <w:lang w:val="en-US" w:eastAsia="zh-CN" w:bidi="ar-SA"/>
        </w:rPr>
        <w:t>加强业务培训，提高评价水平，建议财政部门进一步开展部门领导及经办人员</w:t>
      </w:r>
      <w:r>
        <w:rPr>
          <w:rFonts w:hint="eastAsia" w:ascii="仿宋" w:hAnsi="仿宋" w:eastAsia="仿宋" w:cs="Times New Roman"/>
          <w:color w:val="000000"/>
          <w:kern w:val="2"/>
          <w:sz w:val="30"/>
          <w:szCs w:val="24"/>
          <w:lang w:val="en-US" w:eastAsia="zh-CN" w:bidi="ar-SA"/>
        </w:rPr>
        <w:t>之间的交流</w:t>
      </w:r>
      <w:r>
        <w:rPr>
          <w:rFonts w:hint="default" w:ascii="仿宋" w:hAnsi="仿宋" w:eastAsia="仿宋" w:cs="Times New Roman"/>
          <w:color w:val="000000"/>
          <w:kern w:val="2"/>
          <w:sz w:val="30"/>
          <w:szCs w:val="24"/>
          <w:lang w:val="en-US" w:eastAsia="zh-CN" w:bidi="ar-SA"/>
        </w:rPr>
        <w:t>政策、业务工作培训，组织开展部门之间、单位之间的经验交流，切实推进绩效评价工作的开展</w:t>
      </w:r>
      <w:r>
        <w:rPr>
          <w:rFonts w:hint="eastAsia" w:ascii="仿宋" w:hAnsi="仿宋" w:eastAsia="仿宋" w:cs="Times New Roman"/>
          <w:color w:val="000000"/>
          <w:kern w:val="2"/>
          <w:sz w:val="30"/>
          <w:szCs w:val="24"/>
          <w:lang w:val="en-US" w:eastAsia="zh-CN" w:bidi="ar-SA"/>
        </w:rPr>
        <w:t>。</w:t>
      </w:r>
    </w:p>
    <w:p w14:paraId="54912E65">
      <w:pPr>
        <w:numPr>
          <w:ilvl w:val="0"/>
          <w:numId w:val="0"/>
        </w:numPr>
        <w:adjustRightInd w:val="0"/>
        <w:ind w:leftChars="150" w:firstLine="600" w:firstLineChars="200"/>
        <w:rPr>
          <w:rFonts w:hint="default" w:ascii="仿宋" w:hAnsi="仿宋" w:eastAsia="仿宋" w:cs="Times New Roman"/>
          <w:color w:val="000000"/>
          <w:kern w:val="2"/>
          <w:sz w:val="30"/>
          <w:szCs w:val="24"/>
          <w:lang w:val="en-US" w:eastAsia="zh-CN" w:bidi="ar-SA"/>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8E80DD">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14:paraId="19FB65F5">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D99CF9">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27D4F289">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669BDF"/>
    <w:multiLevelType w:val="singleLevel"/>
    <w:tmpl w:val="8F669BDF"/>
    <w:lvl w:ilvl="0" w:tentative="0">
      <w:start w:val="1"/>
      <w:numFmt w:val="chineseCounting"/>
      <w:suff w:val="nothing"/>
      <w:lvlText w:val="（%1）"/>
      <w:lvlJc w:val="left"/>
      <w:rPr>
        <w:rFonts w:hint="eastAsia"/>
      </w:rPr>
    </w:lvl>
  </w:abstractNum>
  <w:abstractNum w:abstractNumId="1">
    <w:nsid w:val="D9A3F472"/>
    <w:multiLevelType w:val="singleLevel"/>
    <w:tmpl w:val="D9A3F472"/>
    <w:lvl w:ilvl="0" w:tentative="0">
      <w:start w:val="3"/>
      <w:numFmt w:val="chineseCounting"/>
      <w:suff w:val="nothing"/>
      <w:lvlText w:val="（%1）"/>
      <w:lvlJc w:val="left"/>
      <w:pPr>
        <w:ind w:left="480" w:leftChars="0" w:firstLine="0" w:firstLineChars="0"/>
      </w:pPr>
      <w:rPr>
        <w:rFonts w:hint="eastAsia"/>
      </w:rPr>
    </w:lvl>
  </w:abstractNum>
  <w:abstractNum w:abstractNumId="2">
    <w:nsid w:val="4DE332E9"/>
    <w:multiLevelType w:val="multilevel"/>
    <w:tmpl w:val="4DE332E9"/>
    <w:lvl w:ilvl="0" w:tentative="0">
      <w:start w:val="1"/>
      <w:numFmt w:val="japaneseCounting"/>
      <w:lvlText w:val="%1、"/>
      <w:lvlJc w:val="left"/>
      <w:pPr>
        <w:ind w:left="1429" w:hanging="720"/>
      </w:pPr>
      <w:rPr>
        <w:rFonts w:hint="default"/>
        <w:lang w:val="en-US"/>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abstractNum w:abstractNumId="3">
    <w:nsid w:val="66D6193B"/>
    <w:multiLevelType w:val="singleLevel"/>
    <w:tmpl w:val="66D6193B"/>
    <w:lvl w:ilvl="0" w:tentative="0">
      <w:start w:val="1"/>
      <w:numFmt w:val="chineseCounting"/>
      <w:suff w:val="nothing"/>
      <w:lvlText w:val="（%1）"/>
      <w:lvlJc w:val="left"/>
      <w:rPr>
        <w:rFonts w:hint="eastAsia"/>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313"/>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jRhYTJjNWQwOGY1ZDJlZGJlOTk0MjE2NDBjNWYyNWMifQ=="/>
  </w:docVars>
  <w:rsids>
    <w:rsidRoot w:val="00042933"/>
    <w:rsid w:val="00002F2C"/>
    <w:rsid w:val="000070A8"/>
    <w:rsid w:val="00013FA2"/>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3673184"/>
    <w:rsid w:val="05374814"/>
    <w:rsid w:val="0A065CCC"/>
    <w:rsid w:val="0A590ED5"/>
    <w:rsid w:val="0C8F0285"/>
    <w:rsid w:val="0F8F6BFC"/>
    <w:rsid w:val="107166F3"/>
    <w:rsid w:val="1C841DE7"/>
    <w:rsid w:val="1F1743E2"/>
    <w:rsid w:val="2AC375D4"/>
    <w:rsid w:val="2E56578E"/>
    <w:rsid w:val="36857E34"/>
    <w:rsid w:val="3791647A"/>
    <w:rsid w:val="37D050B5"/>
    <w:rsid w:val="3CCA65A0"/>
    <w:rsid w:val="3D3D2483"/>
    <w:rsid w:val="3FEF0266"/>
    <w:rsid w:val="42E6302A"/>
    <w:rsid w:val="4474142A"/>
    <w:rsid w:val="455969D8"/>
    <w:rsid w:val="48725571"/>
    <w:rsid w:val="4A6F69D9"/>
    <w:rsid w:val="4BDB04ED"/>
    <w:rsid w:val="50100316"/>
    <w:rsid w:val="526A3656"/>
    <w:rsid w:val="53CD5365"/>
    <w:rsid w:val="547E7F44"/>
    <w:rsid w:val="5D643D56"/>
    <w:rsid w:val="63494CA4"/>
    <w:rsid w:val="64283056"/>
    <w:rsid w:val="642B52C7"/>
    <w:rsid w:val="6595609C"/>
    <w:rsid w:val="679F05BA"/>
    <w:rsid w:val="682F7143"/>
    <w:rsid w:val="686E1C26"/>
    <w:rsid w:val="68BC0481"/>
    <w:rsid w:val="694032B0"/>
    <w:rsid w:val="69BD0A47"/>
    <w:rsid w:val="6ABC311D"/>
    <w:rsid w:val="6B037B89"/>
    <w:rsid w:val="6DD625D7"/>
    <w:rsid w:val="6E004960"/>
    <w:rsid w:val="71A911C9"/>
    <w:rsid w:val="7793669D"/>
    <w:rsid w:val="78C73AC2"/>
    <w:rsid w:val="7CCC213E"/>
    <w:rsid w:val="7F53176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6617</Words>
  <Characters>7001</Characters>
  <Lines>40</Lines>
  <Paragraphs>11</Paragraphs>
  <TotalTime>16</TotalTime>
  <ScaleCrop>false</ScaleCrop>
  <LinksUpToDate>false</LinksUpToDate>
  <CharactersWithSpaces>7071</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欣欣</cp:lastModifiedBy>
  <cp:lastPrinted>2022-03-17T07:07:00Z</cp:lastPrinted>
  <dcterms:modified xsi:type="dcterms:W3CDTF">2025-02-26T10:28:37Z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6CE80BEE7B9D4E5E86FEDC04CE132FBF</vt:lpwstr>
  </property>
  <property fmtid="{D5CDD505-2E9C-101B-9397-08002B2CF9AE}" pid="4" name="KSOTemplateDocerSaveRecord">
    <vt:lpwstr>eyJoZGlkIjoiMjRhYTJjNWQwOGY1ZDJlZGJlOTk0MjE2NDBjNWYyNWMiLCJ1c2VySWQiOiIxMTU3MjUwODgxIn0=</vt:lpwstr>
  </property>
</Properties>
</file>