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EAD715">
      <w:pPr>
        <w:widowControl/>
        <w:jc w:val="center"/>
        <w:rPr>
          <w:rFonts w:ascii="宋体" w:hAnsi="宋体" w:eastAsia="宋体" w:cs="宋体"/>
          <w:b/>
          <w:bCs/>
          <w:kern w:val="0"/>
          <w:sz w:val="44"/>
          <w:szCs w:val="44"/>
        </w:rPr>
      </w:pPr>
      <w:bookmarkStart w:id="0" w:name="_GoBack"/>
      <w:bookmarkEnd w:id="0"/>
    </w:p>
    <w:p w14:paraId="546940E3">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隆尧县</w:t>
      </w:r>
      <w:r>
        <w:rPr>
          <w:rFonts w:hint="eastAsia" w:ascii="宋体" w:hAnsi="宋体" w:eastAsia="宋体" w:cs="宋体"/>
          <w:b/>
          <w:bCs/>
          <w:kern w:val="0"/>
          <w:sz w:val="44"/>
          <w:szCs w:val="44"/>
          <w:lang w:eastAsia="zh-CN"/>
        </w:rPr>
        <w:t>莲子镇</w:t>
      </w:r>
      <w:r>
        <w:rPr>
          <w:rFonts w:hint="eastAsia" w:ascii="宋体" w:hAnsi="宋体" w:eastAsia="宋体" w:cs="宋体"/>
          <w:b/>
          <w:bCs/>
          <w:kern w:val="0"/>
          <w:sz w:val="44"/>
          <w:szCs w:val="44"/>
        </w:rPr>
        <w:t>镇人民政府</w:t>
      </w:r>
    </w:p>
    <w:p w14:paraId="69889C95">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2021年</w:t>
      </w:r>
      <w:r>
        <w:rPr>
          <w:rFonts w:hint="eastAsia" w:ascii="宋体" w:hAnsi="宋体" w:eastAsia="宋体" w:cs="宋体"/>
          <w:b/>
          <w:bCs/>
          <w:kern w:val="0"/>
          <w:sz w:val="44"/>
          <w:szCs w:val="44"/>
          <w:lang w:eastAsia="zh-CN"/>
        </w:rPr>
        <w:t>莲子镇</w:t>
      </w:r>
      <w:r>
        <w:rPr>
          <w:rFonts w:hint="eastAsia" w:ascii="宋体" w:hAnsi="宋体" w:eastAsia="宋体" w:cs="宋体"/>
          <w:b/>
          <w:bCs/>
          <w:kern w:val="0"/>
          <w:sz w:val="44"/>
          <w:szCs w:val="44"/>
        </w:rPr>
        <w:t>镇村办公经费项目绩效评价</w:t>
      </w:r>
    </w:p>
    <w:p w14:paraId="12E7C1CE">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自评报告</w:t>
      </w:r>
    </w:p>
    <w:p w14:paraId="0EB7C42E">
      <w:pPr>
        <w:widowControl/>
        <w:rPr>
          <w:rFonts w:ascii="黑体" w:hAnsi="黑体" w:eastAsia="黑体" w:cs="宋体"/>
          <w:b/>
          <w:bCs/>
          <w:kern w:val="0"/>
          <w:sz w:val="44"/>
          <w:szCs w:val="44"/>
        </w:rPr>
      </w:pPr>
    </w:p>
    <w:p w14:paraId="15E555E8">
      <w:pPr>
        <w:pStyle w:val="8"/>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14:paraId="627165C7">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2021年为确保村级事业正常运转，镇政府年初制定</w:t>
      </w:r>
      <w:r>
        <w:rPr>
          <w:rFonts w:ascii="仿宋" w:hAnsi="仿宋" w:eastAsia="仿宋" w:cs="宋体"/>
          <w:kern w:val="0"/>
          <w:sz w:val="32"/>
          <w:szCs w:val="32"/>
        </w:rPr>
        <w:t>6</w:t>
      </w:r>
      <w:r>
        <w:rPr>
          <w:rFonts w:hint="eastAsia" w:ascii="仿宋" w:hAnsi="仿宋" w:eastAsia="仿宋" w:cs="宋体"/>
          <w:kern w:val="0"/>
          <w:sz w:val="32"/>
          <w:szCs w:val="32"/>
          <w:lang w:val="en-US" w:eastAsia="zh-CN"/>
        </w:rPr>
        <w:t>5</w:t>
      </w:r>
      <w:r>
        <w:rPr>
          <w:rFonts w:hint="eastAsia" w:ascii="仿宋" w:hAnsi="仿宋" w:eastAsia="仿宋" w:cs="宋体"/>
          <w:kern w:val="0"/>
          <w:sz w:val="32"/>
          <w:szCs w:val="32"/>
        </w:rPr>
        <w:t>万元预算，用于村级办公经费，此项经费主要用于2</w:t>
      </w:r>
      <w:r>
        <w:rPr>
          <w:rFonts w:hint="eastAsia" w:ascii="仿宋" w:hAnsi="仿宋" w:eastAsia="仿宋" w:cs="宋体"/>
          <w:kern w:val="0"/>
          <w:sz w:val="32"/>
          <w:szCs w:val="32"/>
          <w:lang w:val="en-US" w:eastAsia="zh-CN"/>
        </w:rPr>
        <w:t>3</w:t>
      </w:r>
      <w:r>
        <w:rPr>
          <w:rFonts w:hint="eastAsia" w:ascii="仿宋" w:hAnsi="仿宋" w:eastAsia="仿宋" w:cs="宋体"/>
          <w:kern w:val="0"/>
          <w:sz w:val="32"/>
          <w:szCs w:val="32"/>
        </w:rPr>
        <w:t>个行政村的办公费、宣传费用、报刊杂志、水电费等开支。</w:t>
      </w:r>
    </w:p>
    <w:p w14:paraId="7608089A">
      <w:pPr>
        <w:widowControl/>
        <w:rPr>
          <w:rFonts w:ascii="仿宋" w:hAnsi="仿宋" w:eastAsia="仿宋" w:cs="宋体"/>
          <w:kern w:val="0"/>
          <w:sz w:val="32"/>
          <w:szCs w:val="32"/>
        </w:rPr>
      </w:pPr>
      <w:r>
        <w:rPr>
          <w:rFonts w:hint="eastAsia" w:cs="宋体" w:asciiTheme="minorEastAsia" w:hAnsiTheme="minorEastAsia"/>
          <w:kern w:val="0"/>
          <w:sz w:val="32"/>
          <w:szCs w:val="32"/>
        </w:rPr>
        <w:t>（</w:t>
      </w:r>
      <w:r>
        <w:rPr>
          <w:rFonts w:hint="eastAsia" w:ascii="仿宋" w:hAnsi="仿宋" w:eastAsia="仿宋" w:cs="宋体"/>
          <w:kern w:val="0"/>
          <w:sz w:val="32"/>
          <w:szCs w:val="32"/>
        </w:rPr>
        <w:t>一）政府战略规划或目标。</w:t>
      </w:r>
    </w:p>
    <w:p w14:paraId="0E0E1BC1">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总目标：隆尧县</w:t>
      </w:r>
      <w:r>
        <w:rPr>
          <w:rFonts w:hint="eastAsia" w:ascii="仿宋" w:hAnsi="仿宋" w:eastAsia="仿宋" w:cs="宋体"/>
          <w:kern w:val="0"/>
          <w:sz w:val="32"/>
          <w:szCs w:val="32"/>
          <w:lang w:eastAsia="zh-CN"/>
        </w:rPr>
        <w:t>莲子镇</w:t>
      </w:r>
      <w:r>
        <w:rPr>
          <w:rFonts w:hint="eastAsia" w:ascii="仿宋" w:hAnsi="仿宋" w:eastAsia="仿宋" w:cs="宋体"/>
          <w:kern w:val="0"/>
          <w:sz w:val="32"/>
          <w:szCs w:val="32"/>
        </w:rPr>
        <w:t>镇人民政府为镇政府工作部门，机构规格正科级，位于隆尧县</w:t>
      </w:r>
      <w:r>
        <w:rPr>
          <w:rFonts w:hint="eastAsia" w:ascii="仿宋" w:hAnsi="仿宋" w:eastAsia="仿宋" w:cs="宋体"/>
          <w:kern w:val="0"/>
          <w:sz w:val="32"/>
          <w:szCs w:val="32"/>
          <w:lang w:eastAsia="zh-CN"/>
        </w:rPr>
        <w:t>莲子镇</w:t>
      </w:r>
      <w:r>
        <w:rPr>
          <w:rFonts w:hint="eastAsia" w:ascii="仿宋" w:hAnsi="仿宋" w:eastAsia="仿宋" w:cs="宋体"/>
          <w:kern w:val="0"/>
          <w:sz w:val="32"/>
          <w:szCs w:val="32"/>
        </w:rPr>
        <w:t>镇</w:t>
      </w:r>
      <w:r>
        <w:rPr>
          <w:rFonts w:hint="eastAsia" w:ascii="仿宋" w:hAnsi="仿宋" w:eastAsia="仿宋" w:cs="宋体"/>
          <w:kern w:val="0"/>
          <w:sz w:val="32"/>
          <w:szCs w:val="32"/>
          <w:lang w:eastAsia="zh-CN"/>
        </w:rPr>
        <w:t>东范村路口</w:t>
      </w:r>
      <w:r>
        <w:rPr>
          <w:rFonts w:hint="eastAsia" w:ascii="仿宋" w:hAnsi="仿宋" w:eastAsia="仿宋" w:cs="宋体"/>
          <w:kern w:val="0"/>
          <w:sz w:val="32"/>
          <w:szCs w:val="32"/>
        </w:rPr>
        <w:t>，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5947F26A">
      <w:pPr>
        <w:widowControl/>
        <w:rPr>
          <w:rFonts w:ascii="仿宋" w:hAnsi="仿宋" w:eastAsia="仿宋" w:cs="宋体"/>
          <w:kern w:val="0"/>
          <w:sz w:val="32"/>
          <w:szCs w:val="32"/>
        </w:rPr>
      </w:pPr>
      <w:r>
        <w:rPr>
          <w:rFonts w:hint="eastAsia" w:ascii="仿宋" w:hAnsi="仿宋" w:eastAsia="仿宋" w:cs="宋体"/>
          <w:kern w:val="0"/>
          <w:sz w:val="32"/>
          <w:szCs w:val="32"/>
        </w:rPr>
        <w:t xml:space="preserve">  （二）单位工作目标。</w:t>
      </w:r>
    </w:p>
    <w:p w14:paraId="167FB535">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保证2</w:t>
      </w:r>
      <w:r>
        <w:rPr>
          <w:rFonts w:hint="eastAsia" w:ascii="仿宋" w:hAnsi="仿宋" w:eastAsia="仿宋" w:cs="宋体"/>
          <w:kern w:val="0"/>
          <w:sz w:val="32"/>
          <w:szCs w:val="32"/>
          <w:lang w:val="en-US" w:eastAsia="zh-CN"/>
        </w:rPr>
        <w:t>3</w:t>
      </w:r>
      <w:r>
        <w:rPr>
          <w:rFonts w:hint="eastAsia" w:ascii="仿宋" w:hAnsi="仿宋" w:eastAsia="仿宋" w:cs="宋体"/>
          <w:kern w:val="0"/>
          <w:sz w:val="32"/>
          <w:szCs w:val="32"/>
        </w:rPr>
        <w:t>个行政村日常开支的正常运转，村级各项工作的顺利进行。</w:t>
      </w:r>
    </w:p>
    <w:p w14:paraId="590A4A02">
      <w:pPr>
        <w:widowControl/>
        <w:rPr>
          <w:rFonts w:ascii="仿宋" w:hAnsi="仿宋" w:eastAsia="仿宋" w:cs="宋体"/>
          <w:kern w:val="0"/>
          <w:sz w:val="32"/>
          <w:szCs w:val="32"/>
        </w:rPr>
      </w:pPr>
      <w:r>
        <w:rPr>
          <w:rFonts w:hint="eastAsia" w:ascii="仿宋" w:hAnsi="仿宋" w:eastAsia="仿宋" w:cs="宋体"/>
          <w:kern w:val="0"/>
          <w:sz w:val="32"/>
          <w:szCs w:val="32"/>
        </w:rPr>
        <w:t xml:space="preserve">  （三）工作活动(项目)基本情况。</w:t>
      </w:r>
    </w:p>
    <w:p w14:paraId="36044168">
      <w:pPr>
        <w:widowControl/>
        <w:ind w:firstLine="470" w:firstLineChars="147"/>
        <w:rPr>
          <w:rFonts w:ascii="仿宋" w:hAnsi="仿宋" w:eastAsia="仿宋" w:cs="宋体"/>
          <w:kern w:val="0"/>
          <w:sz w:val="32"/>
          <w:szCs w:val="32"/>
        </w:rPr>
      </w:pPr>
      <w:r>
        <w:rPr>
          <w:rFonts w:hint="eastAsia" w:ascii="仿宋" w:hAnsi="仿宋" w:eastAsia="仿宋" w:cs="宋体"/>
          <w:kern w:val="0"/>
          <w:sz w:val="32"/>
          <w:szCs w:val="32"/>
          <w:lang w:eastAsia="zh-CN"/>
        </w:rPr>
        <w:t>莲子镇</w:t>
      </w:r>
      <w:r>
        <w:rPr>
          <w:rFonts w:hint="eastAsia" w:ascii="仿宋" w:hAnsi="仿宋" w:eastAsia="仿宋" w:cs="宋体"/>
          <w:kern w:val="0"/>
          <w:sz w:val="32"/>
          <w:szCs w:val="32"/>
        </w:rPr>
        <w:t>镇共有</w:t>
      </w:r>
      <w:r>
        <w:rPr>
          <w:rFonts w:hint="eastAsia" w:ascii="仿宋" w:hAnsi="仿宋" w:eastAsia="仿宋" w:cs="宋体"/>
          <w:kern w:val="0"/>
          <w:sz w:val="32"/>
          <w:szCs w:val="32"/>
          <w:lang w:val="en-US" w:eastAsia="zh-CN"/>
        </w:rPr>
        <w:t>45097</w:t>
      </w:r>
      <w:r>
        <w:rPr>
          <w:rFonts w:hint="eastAsia" w:ascii="仿宋" w:hAnsi="仿宋" w:eastAsia="仿宋" w:cs="宋体"/>
          <w:kern w:val="0"/>
          <w:sz w:val="32"/>
          <w:szCs w:val="32"/>
        </w:rPr>
        <w:t>人，共辖</w:t>
      </w:r>
      <w:r>
        <w:rPr>
          <w:rFonts w:ascii="仿宋" w:hAnsi="仿宋" w:eastAsia="仿宋" w:cs="宋体"/>
          <w:kern w:val="0"/>
          <w:sz w:val="32"/>
          <w:szCs w:val="32"/>
        </w:rPr>
        <w:t>2</w:t>
      </w:r>
      <w:r>
        <w:rPr>
          <w:rFonts w:hint="eastAsia" w:ascii="仿宋" w:hAnsi="仿宋" w:eastAsia="仿宋" w:cs="宋体"/>
          <w:kern w:val="0"/>
          <w:sz w:val="32"/>
          <w:szCs w:val="32"/>
          <w:lang w:val="en-US" w:eastAsia="zh-CN"/>
        </w:rPr>
        <w:t>3</w:t>
      </w:r>
      <w:r>
        <w:rPr>
          <w:rFonts w:hint="eastAsia" w:ascii="仿宋" w:hAnsi="仿宋" w:eastAsia="仿宋" w:cs="宋体"/>
          <w:kern w:val="0"/>
          <w:sz w:val="32"/>
          <w:szCs w:val="32"/>
        </w:rPr>
        <w:t>个村，村级转移支付/村办公经费共</w:t>
      </w:r>
      <w:r>
        <w:rPr>
          <w:rFonts w:ascii="仿宋" w:hAnsi="仿宋" w:eastAsia="仿宋" w:cs="宋体"/>
          <w:kern w:val="0"/>
          <w:sz w:val="32"/>
          <w:szCs w:val="32"/>
        </w:rPr>
        <w:t>6</w:t>
      </w:r>
      <w:r>
        <w:rPr>
          <w:rFonts w:hint="eastAsia" w:ascii="仿宋" w:hAnsi="仿宋" w:eastAsia="仿宋" w:cs="宋体"/>
          <w:kern w:val="0"/>
          <w:sz w:val="32"/>
          <w:szCs w:val="32"/>
          <w:lang w:val="en-US" w:eastAsia="zh-CN"/>
        </w:rPr>
        <w:t>5</w:t>
      </w:r>
      <w:r>
        <w:rPr>
          <w:rFonts w:hint="eastAsia" w:ascii="仿宋" w:hAnsi="仿宋" w:eastAsia="仿宋" w:cs="宋体"/>
          <w:kern w:val="0"/>
          <w:sz w:val="32"/>
          <w:szCs w:val="32"/>
        </w:rPr>
        <w:t>万元，用于辖区内各个行政村完成上级交办和下达的各项工作任务及乡村建设，切实履行法律规定的各项权利和义务，保障村级正常运转。</w:t>
      </w:r>
    </w:p>
    <w:p w14:paraId="0A420FCC">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二、工作活动(项目)绩效目标和指标设定情况</w:t>
      </w:r>
    </w:p>
    <w:p w14:paraId="3AE7EFBC">
      <w:pPr>
        <w:widowControl/>
        <w:rPr>
          <w:rFonts w:ascii="仿宋" w:hAnsi="仿宋" w:eastAsia="仿宋" w:cs="宋体"/>
          <w:kern w:val="0"/>
          <w:sz w:val="32"/>
          <w:szCs w:val="32"/>
        </w:rPr>
      </w:pPr>
      <w:r>
        <w:rPr>
          <w:rFonts w:hint="eastAsia" w:ascii="仿宋" w:hAnsi="仿宋" w:eastAsia="仿宋" w:cs="宋体"/>
          <w:kern w:val="0"/>
          <w:sz w:val="32"/>
          <w:szCs w:val="32"/>
        </w:rPr>
        <w:t xml:space="preserve"> （一）工作活动(项目)总目标、年度目标设定情况。</w:t>
      </w:r>
    </w:p>
    <w:p w14:paraId="51C30530">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1、镇政府用文件的形式将村级转移支付资金根据各村人口、地域、土地面积、历史等各项因素科学合理的将所有资金分配到各行政村，做到公平公正公开透明。</w:t>
      </w:r>
    </w:p>
    <w:p w14:paraId="0153E015">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2、制定村级财务制度，资金由镇财政按时用银行转帐的方式将资金拨付到各村</w:t>
      </w:r>
      <w:r>
        <w:rPr>
          <w:rFonts w:hint="eastAsia" w:ascii="仿宋" w:hAnsi="仿宋" w:eastAsia="仿宋" w:cs="宋体"/>
          <w:kern w:val="0"/>
          <w:sz w:val="32"/>
          <w:szCs w:val="32"/>
          <w:lang w:eastAsia="zh-CN"/>
        </w:rPr>
        <w:t>帐户</w:t>
      </w:r>
      <w:r>
        <w:rPr>
          <w:rFonts w:hint="eastAsia" w:ascii="仿宋" w:hAnsi="仿宋" w:eastAsia="仿宋" w:cs="宋体"/>
          <w:kern w:val="0"/>
          <w:sz w:val="32"/>
          <w:szCs w:val="32"/>
        </w:rPr>
        <w:t>，保证了资金的安全。</w:t>
      </w:r>
    </w:p>
    <w:p w14:paraId="2F55BB1F">
      <w:pPr>
        <w:widowControl/>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3、制定村级目标考核制度，对村主要工作职责和政府中心工作纳入绩效考核。</w:t>
      </w:r>
    </w:p>
    <w:p w14:paraId="1D41132C">
      <w:pPr>
        <w:widowControl/>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4、各村年初向镇党委政府递交了年度经济发展计划及中长期经济发展规划。签订了党风廉政建设、计划生育综合治理、社会治安综合治理、安全生产责任状。</w:t>
      </w:r>
    </w:p>
    <w:p w14:paraId="48E2FFE3">
      <w:pPr>
        <w:widowControl/>
        <w:rPr>
          <w:rFonts w:ascii="仿宋" w:hAnsi="仿宋" w:eastAsia="仿宋" w:cs="宋体"/>
          <w:kern w:val="0"/>
          <w:sz w:val="32"/>
          <w:szCs w:val="32"/>
        </w:rPr>
      </w:pPr>
      <w:r>
        <w:rPr>
          <w:rFonts w:hint="eastAsia" w:ascii="仿宋" w:hAnsi="仿宋" w:eastAsia="仿宋" w:cs="宋体"/>
          <w:kern w:val="0"/>
          <w:sz w:val="32"/>
          <w:szCs w:val="32"/>
        </w:rPr>
        <w:t>（二）工作活动(项目)绩效指标设定情况。</w:t>
      </w:r>
    </w:p>
    <w:p w14:paraId="650C3DF5">
      <w:pPr>
        <w:widowControl/>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绩效指标主要包括产出指标（数量指标、质量指标、时效指标）和效果指标（经济效益指标、社会效益指标、可持续发展效益指标）。</w:t>
      </w:r>
    </w:p>
    <w:p w14:paraId="0390FF23">
      <w:pPr>
        <w:widowControl/>
        <w:rPr>
          <w:rFonts w:ascii="仿宋" w:hAnsi="仿宋" w:eastAsia="仿宋" w:cs="宋体"/>
          <w:kern w:val="0"/>
          <w:sz w:val="32"/>
          <w:szCs w:val="32"/>
        </w:rPr>
      </w:pPr>
      <w:r>
        <w:rPr>
          <w:rFonts w:hint="eastAsia" w:ascii="仿宋" w:hAnsi="仿宋" w:eastAsia="仿宋" w:cs="宋体"/>
          <w:kern w:val="0"/>
          <w:sz w:val="32"/>
          <w:szCs w:val="32"/>
        </w:rPr>
        <w:t>（三）调整情况。</w:t>
      </w:r>
    </w:p>
    <w:p w14:paraId="151453E7">
      <w:pPr>
        <w:widowControl/>
        <w:rPr>
          <w:rFonts w:ascii="仿宋" w:hAnsi="仿宋" w:eastAsia="仿宋" w:cs="宋体"/>
          <w:kern w:val="0"/>
          <w:sz w:val="32"/>
          <w:szCs w:val="32"/>
        </w:rPr>
      </w:pPr>
      <w:r>
        <w:rPr>
          <w:rFonts w:hint="eastAsia" w:ascii="仿宋" w:hAnsi="仿宋" w:eastAsia="仿宋" w:cs="宋体"/>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无调整。</w:t>
      </w:r>
    </w:p>
    <w:p w14:paraId="75042A87">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三、工作活动(项目)实施绩效管理情况及取得成绩</w:t>
      </w:r>
    </w:p>
    <w:p w14:paraId="0D331285">
      <w:pPr>
        <w:widowControl/>
        <w:ind w:left="105" w:leftChars="50"/>
        <w:rPr>
          <w:rFonts w:ascii="黑体" w:hAnsi="黑体" w:eastAsia="黑体" w:cs="宋体"/>
          <w:b/>
          <w:bCs/>
          <w:kern w:val="0"/>
          <w:sz w:val="32"/>
          <w:szCs w:val="32"/>
        </w:rPr>
      </w:pPr>
      <w:r>
        <w:rPr>
          <w:rFonts w:hint="eastAsia" w:ascii="仿宋" w:hAnsi="仿宋" w:eastAsia="仿宋" w:cs="宋体"/>
          <w:kern w:val="0"/>
          <w:sz w:val="32"/>
          <w:szCs w:val="32"/>
        </w:rPr>
        <w:t>（一）计划制定和落实情况。</w:t>
      </w:r>
    </w:p>
    <w:p w14:paraId="01660452">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为了按照统一规则和标准实施评价工作，更加准确地反映项目单位的绩效实际情况，我们将综合绩效评价级别分为4个等级。具体评价等级分类如下：</w:t>
      </w:r>
    </w:p>
    <w:p w14:paraId="58364952">
      <w:pPr>
        <w:widowControl/>
        <w:ind w:left="320"/>
        <w:jc w:val="center"/>
        <w:rPr>
          <w:rFonts w:ascii="仿宋" w:hAnsi="仿宋" w:eastAsia="仿宋" w:cs="宋体"/>
          <w:kern w:val="0"/>
          <w:sz w:val="32"/>
          <w:szCs w:val="32"/>
        </w:rPr>
      </w:pPr>
      <w:r>
        <w:rPr>
          <w:rFonts w:hint="eastAsia" w:ascii="仿宋" w:hAnsi="仿宋" w:eastAsia="仿宋" w:cs="宋体"/>
          <w:kern w:val="0"/>
          <w:sz w:val="32"/>
          <w:szCs w:val="32"/>
        </w:rPr>
        <w:t>绩效评价等级分类表</w:t>
      </w:r>
    </w:p>
    <w:tbl>
      <w:tblPr>
        <w:tblStyle w:val="4"/>
        <w:tblW w:w="8431" w:type="dxa"/>
        <w:tblInd w:w="0" w:type="dxa"/>
        <w:tblLayout w:type="fixed"/>
        <w:tblCellMar>
          <w:top w:w="0" w:type="dxa"/>
          <w:left w:w="0" w:type="dxa"/>
          <w:bottom w:w="0" w:type="dxa"/>
          <w:right w:w="0" w:type="dxa"/>
        </w:tblCellMar>
      </w:tblPr>
      <w:tblGrid>
        <w:gridCol w:w="1437"/>
        <w:gridCol w:w="2105"/>
        <w:gridCol w:w="1807"/>
        <w:gridCol w:w="1413"/>
        <w:gridCol w:w="1669"/>
      </w:tblGrid>
      <w:tr w14:paraId="59B837DD">
        <w:tblPrEx>
          <w:tblCellMar>
            <w:top w:w="0" w:type="dxa"/>
            <w:left w:w="0" w:type="dxa"/>
            <w:bottom w:w="0" w:type="dxa"/>
            <w:right w:w="0" w:type="dxa"/>
          </w:tblCellMar>
        </w:tblPrEx>
        <w:trPr>
          <w:trHeight w:val="440" w:hRule="atLeast"/>
        </w:trPr>
        <w:tc>
          <w:tcPr>
            <w:tcW w:w="1437"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38CAB06D">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项目</w:t>
            </w:r>
          </w:p>
        </w:tc>
        <w:tc>
          <w:tcPr>
            <w:tcW w:w="210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7D4D8448">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优</w:t>
            </w:r>
          </w:p>
        </w:tc>
        <w:tc>
          <w:tcPr>
            <w:tcW w:w="180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75A48301">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良</w:t>
            </w:r>
          </w:p>
        </w:tc>
        <w:tc>
          <w:tcPr>
            <w:tcW w:w="1413" w:type="dxa"/>
            <w:tcBorders>
              <w:top w:val="single" w:color="000000" w:sz="8" w:space="0"/>
              <w:left w:val="nil"/>
              <w:bottom w:val="single" w:color="000000" w:sz="8" w:space="0"/>
              <w:right w:val="nil"/>
            </w:tcBorders>
            <w:tcMar>
              <w:top w:w="15" w:type="dxa"/>
              <w:left w:w="15" w:type="dxa"/>
              <w:right w:w="15" w:type="dxa"/>
            </w:tcMar>
            <w:vAlign w:val="center"/>
          </w:tcPr>
          <w:p w14:paraId="1230381F">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中</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32E7D0">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差</w:t>
            </w:r>
          </w:p>
        </w:tc>
      </w:tr>
      <w:tr w14:paraId="2EBF0279">
        <w:tblPrEx>
          <w:tblCellMar>
            <w:top w:w="0" w:type="dxa"/>
            <w:left w:w="0" w:type="dxa"/>
            <w:bottom w:w="0" w:type="dxa"/>
            <w:right w:w="0" w:type="dxa"/>
          </w:tblCellMar>
        </w:tblPrEx>
        <w:trPr>
          <w:trHeight w:val="405" w:hRule="atLeast"/>
        </w:trPr>
        <w:tc>
          <w:tcPr>
            <w:tcW w:w="1437"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14:paraId="01C3AB62">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分值</w:t>
            </w:r>
          </w:p>
        </w:tc>
        <w:tc>
          <w:tcPr>
            <w:tcW w:w="2105" w:type="dxa"/>
            <w:tcBorders>
              <w:top w:val="nil"/>
              <w:left w:val="nil"/>
              <w:bottom w:val="single" w:color="000000" w:sz="8" w:space="0"/>
              <w:right w:val="single" w:color="000000" w:sz="8" w:space="0"/>
            </w:tcBorders>
            <w:tcMar>
              <w:top w:w="15" w:type="dxa"/>
              <w:left w:w="15" w:type="dxa"/>
              <w:right w:w="15" w:type="dxa"/>
            </w:tcMar>
            <w:vAlign w:val="center"/>
          </w:tcPr>
          <w:p w14:paraId="09A839BD">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≥1</w:t>
            </w:r>
            <w:r>
              <w:rPr>
                <w:rStyle w:val="9"/>
                <w:rFonts w:hint="default" w:ascii="宋体" w:hAnsi="宋体" w:eastAsia="宋体"/>
                <w:sz w:val="32"/>
                <w:szCs w:val="32"/>
                <w:lang w:bidi="ar"/>
              </w:rPr>
              <w:t>00%</w:t>
            </w:r>
          </w:p>
        </w:tc>
        <w:tc>
          <w:tcPr>
            <w:tcW w:w="1807" w:type="dxa"/>
            <w:tcBorders>
              <w:top w:val="nil"/>
              <w:left w:val="nil"/>
              <w:bottom w:val="single" w:color="000000" w:sz="8" w:space="0"/>
              <w:right w:val="single" w:color="000000" w:sz="8" w:space="0"/>
            </w:tcBorders>
            <w:tcMar>
              <w:top w:w="15" w:type="dxa"/>
              <w:left w:w="15" w:type="dxa"/>
              <w:right w:w="15" w:type="dxa"/>
            </w:tcMar>
            <w:vAlign w:val="center"/>
          </w:tcPr>
          <w:p w14:paraId="1F8F3995">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9</w:t>
            </w:r>
            <w:r>
              <w:rPr>
                <w:rFonts w:ascii="宋体" w:hAnsi="宋体" w:eastAsia="宋体"/>
                <w:kern w:val="0"/>
                <w:sz w:val="32"/>
                <w:szCs w:val="32"/>
              </w:rPr>
              <w:t>0%-99%</w:t>
            </w:r>
          </w:p>
        </w:tc>
        <w:tc>
          <w:tcPr>
            <w:tcW w:w="1413" w:type="dxa"/>
            <w:tcBorders>
              <w:top w:val="nil"/>
              <w:left w:val="nil"/>
              <w:bottom w:val="single" w:color="000000" w:sz="8" w:space="0"/>
              <w:right w:val="nil"/>
            </w:tcBorders>
            <w:tcMar>
              <w:top w:w="15" w:type="dxa"/>
              <w:left w:w="15" w:type="dxa"/>
              <w:right w:w="15" w:type="dxa"/>
            </w:tcMar>
            <w:vAlign w:val="center"/>
          </w:tcPr>
          <w:p w14:paraId="6537D988">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8</w:t>
            </w:r>
            <w:r>
              <w:rPr>
                <w:rFonts w:ascii="宋体" w:hAnsi="宋体" w:eastAsia="宋体"/>
                <w:kern w:val="0"/>
                <w:sz w:val="32"/>
                <w:szCs w:val="32"/>
              </w:rPr>
              <w:t>0%-89%</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21DA62">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&lt;80%</w:t>
            </w:r>
          </w:p>
        </w:tc>
      </w:tr>
    </w:tbl>
    <w:p w14:paraId="56CD1BFC">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（二）执行绩效监控情况。</w:t>
      </w:r>
    </w:p>
    <w:p w14:paraId="0BA852AF">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14:paraId="1BB02C1D">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（三）资金管理情况。</w:t>
      </w:r>
    </w:p>
    <w:p w14:paraId="4FF39EDA">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项目资金全部为县级资金，已全部到位。项目实施后，资金实际支出100%。</w:t>
      </w:r>
    </w:p>
    <w:p w14:paraId="25D05095">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（四）绩效管理制度建设及执行情况。</w:t>
      </w:r>
    </w:p>
    <w:p w14:paraId="10BA9B17">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认真落实上级绩效管理相关制度，细化内控制度，强化管理执行，确保严格落实到位。</w:t>
      </w:r>
    </w:p>
    <w:p w14:paraId="74F0FE68">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（五）风险管理情况。</w:t>
      </w:r>
    </w:p>
    <w:p w14:paraId="2580CB69">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建立风险评估机制，成立风险评估小组，对项目活动存在的风险进行全面、系统和客观评估，实施监督项目进展。</w:t>
      </w:r>
    </w:p>
    <w:p w14:paraId="23A161BB">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四、工作活动(项目)绩效自评情况</w:t>
      </w:r>
    </w:p>
    <w:p w14:paraId="676E5A5F">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（一）工作活动(项目)自评组织情况。</w:t>
      </w:r>
    </w:p>
    <w:p w14:paraId="73CD3CC4">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成立了由单位主管领导任组长，单位财务科室主管任副组长财务工作人员为成员的3人工作项目自评小组，负责项目的绩效自评，确保自评工作的客观、真实、全面。</w:t>
      </w:r>
    </w:p>
    <w:p w14:paraId="68687BBC">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（二）工作活动(项目)评价结果。</w:t>
      </w:r>
    </w:p>
    <w:p w14:paraId="6C1823B1">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根据相关要求，对照绩效目标和相关指标，经认真自评，该项目得分100分，属于优秀等次。</w:t>
      </w:r>
    </w:p>
    <w:p w14:paraId="25110372">
      <w:pPr>
        <w:widowControl/>
        <w:ind w:firstLine="312" w:firstLineChars="97"/>
        <w:rPr>
          <w:rFonts w:ascii="黑体" w:hAnsi="黑体" w:eastAsia="黑体" w:cs="宋体"/>
          <w:b/>
          <w:bCs/>
          <w:kern w:val="0"/>
          <w:sz w:val="32"/>
          <w:szCs w:val="32"/>
        </w:rPr>
      </w:pPr>
      <w:r>
        <w:rPr>
          <w:rFonts w:hint="eastAsia" w:ascii="黑体" w:hAnsi="黑体" w:eastAsia="黑体" w:cs="宋体"/>
          <w:b/>
          <w:bCs/>
          <w:kern w:val="0"/>
          <w:sz w:val="32"/>
          <w:szCs w:val="32"/>
        </w:rPr>
        <w:t>五、工作活动(项目)存在的问题、改进工作的意见及建议</w:t>
      </w:r>
    </w:p>
    <w:p w14:paraId="3445D744">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（一）工作活动(项目)实现绩效目标过程中存在的问题。</w:t>
      </w:r>
    </w:p>
    <w:p w14:paraId="69A91D48">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一是各个行政村村情不同，发展不统一，工作积极性有，但效果不理想。二是根据项目情况设置绩效目标为“项目目标未具体细化、细化不足”。</w:t>
      </w:r>
    </w:p>
    <w:p w14:paraId="6C5791B5">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（二）工作活动(项目)实施中改进意见及措施。</w:t>
      </w:r>
    </w:p>
    <w:p w14:paraId="1A165CFB">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突出问题导向和结果导向，一是坚持政府领导，统一思想，进一步强化村级责任意识，支部书记负总责，两委干部具体落实，层层传导压力，强化工作合力，协调联动落实。二是健全完善工作机制，进一明确村两委职责和村级事务年度目标，实行定期调度推进制度。</w:t>
      </w:r>
    </w:p>
    <w:p w14:paraId="4A2680C0">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（三）建议。</w:t>
      </w:r>
    </w:p>
    <w:p w14:paraId="3D865313">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一是县财政部门加大对绩效预算管理改革和绩效自评相关内容学习培训，进一步各单位提升工作人员绩效评价业务水平，促进高质量财政建设。</w:t>
      </w:r>
    </w:p>
    <w:p w14:paraId="7C9541BE">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14:paraId="5580CB85">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三是严格执行资金申报，强化资金保障。规范项目申报管理，严格要求项目申报单位按规定提供申报材料、填报项目绩效目标，对不合规的项目申报材料不予受理。</w:t>
      </w:r>
    </w:p>
    <w:p w14:paraId="0BF4469A">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047EA"/>
    <w:rsid w:val="000B6188"/>
    <w:rsid w:val="001D2EAA"/>
    <w:rsid w:val="002C71AF"/>
    <w:rsid w:val="002E23D3"/>
    <w:rsid w:val="0032778B"/>
    <w:rsid w:val="0036746E"/>
    <w:rsid w:val="00452E2F"/>
    <w:rsid w:val="00476898"/>
    <w:rsid w:val="00574E7A"/>
    <w:rsid w:val="0058118E"/>
    <w:rsid w:val="00584A12"/>
    <w:rsid w:val="00661BB7"/>
    <w:rsid w:val="006A012B"/>
    <w:rsid w:val="006C0284"/>
    <w:rsid w:val="00710200"/>
    <w:rsid w:val="00732C10"/>
    <w:rsid w:val="00767F1C"/>
    <w:rsid w:val="0078532C"/>
    <w:rsid w:val="0078637C"/>
    <w:rsid w:val="007A1805"/>
    <w:rsid w:val="008A423E"/>
    <w:rsid w:val="008A68C7"/>
    <w:rsid w:val="008E0144"/>
    <w:rsid w:val="009C2B29"/>
    <w:rsid w:val="009E7E4A"/>
    <w:rsid w:val="00A17715"/>
    <w:rsid w:val="00B02EC7"/>
    <w:rsid w:val="00B05C53"/>
    <w:rsid w:val="00C047EA"/>
    <w:rsid w:val="00C27BAC"/>
    <w:rsid w:val="00C422D3"/>
    <w:rsid w:val="00C569E2"/>
    <w:rsid w:val="00C75D9F"/>
    <w:rsid w:val="00C91487"/>
    <w:rsid w:val="00CA444D"/>
    <w:rsid w:val="00CF1CDC"/>
    <w:rsid w:val="00D369D7"/>
    <w:rsid w:val="00D432C4"/>
    <w:rsid w:val="00D4578E"/>
    <w:rsid w:val="00E160B9"/>
    <w:rsid w:val="00F53551"/>
    <w:rsid w:val="00F606CB"/>
    <w:rsid w:val="00FC3534"/>
    <w:rsid w:val="00FE09BC"/>
    <w:rsid w:val="1F857F70"/>
    <w:rsid w:val="550A7C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 w:type="paragraph" w:styleId="8">
    <w:name w:val="List Paragraph"/>
    <w:basedOn w:val="1"/>
    <w:qFormat/>
    <w:uiPriority w:val="34"/>
    <w:pPr>
      <w:ind w:firstLine="420" w:firstLineChars="200"/>
    </w:pPr>
  </w:style>
  <w:style w:type="character" w:customStyle="1" w:styleId="9">
    <w:name w:val="font41"/>
    <w:qFormat/>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2235</Words>
  <Characters>2273</Characters>
  <Lines>16</Lines>
  <Paragraphs>4</Paragraphs>
  <TotalTime>169</TotalTime>
  <ScaleCrop>false</ScaleCrop>
  <LinksUpToDate>false</LinksUpToDate>
  <CharactersWithSpaces>2285</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2022-03-02T02:51:00Z</dcterms:created>
  <dc:creator>lenovo</dc:creator>
  <cp:lastModifiedBy>李</cp:lastModifiedBy>
  <cp:lastPrinted>2022-03-03T03:27:00Z</cp:lastPrinted>
  <dcterms:modified xsi:type="dcterms:W3CDTF">2025-05-27T10:17:41Z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A33685400CB5474489CAD2B337DEEC60</vt:lpwstr>
  </property>
  <property fmtid="{D5CDD505-2E9C-101B-9397-08002B2CF9AE}" pid="4" name="KSOTemplateDocerSaveRecord">
    <vt:lpwstr>eyJoZGlkIjoiY2NkNDhiN2RjYzQwMDYxMjk5YzczNDM5NDE5NTE3MWUiLCJ1c2VySWQiOiIxMTAzODc1NDg4In0=</vt:lpwstr>
  </property>
</Properties>
</file>