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82DDA4">
      <w:pPr>
        <w:widowControl/>
        <w:jc w:val="center"/>
        <w:rPr>
          <w:rFonts w:ascii="宋体" w:hAnsi="宋体" w:eastAsia="宋体" w:cs="宋体"/>
          <w:b/>
          <w:bCs/>
          <w:kern w:val="0"/>
          <w:sz w:val="44"/>
          <w:szCs w:val="44"/>
        </w:rPr>
      </w:pPr>
    </w:p>
    <w:p w14:paraId="537DAA47">
      <w:pPr>
        <w:widowControl/>
        <w:jc w:val="center"/>
        <w:rPr>
          <w:rFonts w:ascii="宋体" w:hAnsi="宋体" w:eastAsia="宋体" w:cs="宋体"/>
          <w:b/>
          <w:bCs/>
          <w:kern w:val="0"/>
          <w:sz w:val="44"/>
          <w:szCs w:val="44"/>
        </w:rPr>
      </w:pPr>
      <w:r>
        <w:rPr>
          <w:rFonts w:hint="eastAsia" w:ascii="宋体" w:hAnsi="宋体" w:eastAsia="宋体" w:cs="宋体"/>
          <w:b/>
          <w:bCs/>
          <w:kern w:val="0"/>
          <w:sz w:val="44"/>
          <w:szCs w:val="44"/>
        </w:rPr>
        <w:t>隆尧县魏家庄镇人民政府</w:t>
      </w:r>
    </w:p>
    <w:p w14:paraId="24B061AF">
      <w:pPr>
        <w:widowControl/>
        <w:jc w:val="center"/>
        <w:rPr>
          <w:rFonts w:ascii="宋体" w:hAnsi="宋体" w:eastAsia="宋体" w:cs="宋体"/>
          <w:b/>
          <w:bCs/>
          <w:kern w:val="0"/>
          <w:sz w:val="44"/>
          <w:szCs w:val="44"/>
        </w:rPr>
      </w:pPr>
      <w:r>
        <w:rPr>
          <w:rFonts w:hint="eastAsia" w:ascii="宋体" w:hAnsi="宋体" w:eastAsia="宋体" w:cs="宋体"/>
          <w:b/>
          <w:bCs/>
          <w:kern w:val="0"/>
          <w:sz w:val="44"/>
          <w:szCs w:val="44"/>
        </w:rPr>
        <w:t>2021年魏家庄镇村办公经费项目绩效评价</w:t>
      </w:r>
    </w:p>
    <w:p w14:paraId="1B7BC39A">
      <w:pPr>
        <w:widowControl/>
        <w:jc w:val="center"/>
        <w:rPr>
          <w:rFonts w:ascii="宋体" w:hAnsi="宋体" w:eastAsia="宋体" w:cs="宋体"/>
          <w:b/>
          <w:bCs/>
          <w:kern w:val="0"/>
          <w:sz w:val="44"/>
          <w:szCs w:val="44"/>
        </w:rPr>
      </w:pPr>
      <w:r>
        <w:rPr>
          <w:rFonts w:hint="eastAsia" w:ascii="宋体" w:hAnsi="宋体" w:eastAsia="宋体" w:cs="宋体"/>
          <w:b/>
          <w:bCs/>
          <w:kern w:val="0"/>
          <w:sz w:val="44"/>
          <w:szCs w:val="44"/>
        </w:rPr>
        <w:t>自评报告</w:t>
      </w:r>
    </w:p>
    <w:p w14:paraId="760BA2D7">
      <w:pPr>
        <w:widowControl/>
        <w:rPr>
          <w:rFonts w:ascii="黑体" w:hAnsi="黑体" w:eastAsia="黑体" w:cs="宋体"/>
          <w:b/>
          <w:bCs/>
          <w:kern w:val="0"/>
          <w:sz w:val="44"/>
          <w:szCs w:val="44"/>
        </w:rPr>
      </w:pPr>
    </w:p>
    <w:p w14:paraId="3772FF47">
      <w:pPr>
        <w:pStyle w:val="8"/>
        <w:widowControl/>
        <w:numPr>
          <w:ilvl w:val="0"/>
          <w:numId w:val="1"/>
        </w:numPr>
        <w:ind w:firstLineChars="0"/>
        <w:rPr>
          <w:rFonts w:ascii="黑体" w:hAnsi="黑体" w:eastAsia="黑体" w:cs="宋体"/>
          <w:b/>
          <w:bCs/>
          <w:kern w:val="0"/>
          <w:sz w:val="32"/>
          <w:szCs w:val="32"/>
        </w:rPr>
      </w:pPr>
      <w:r>
        <w:rPr>
          <w:rFonts w:hint="eastAsia" w:ascii="黑体" w:hAnsi="黑体" w:eastAsia="黑体" w:cs="宋体"/>
          <w:b/>
          <w:bCs/>
          <w:kern w:val="0"/>
          <w:sz w:val="32"/>
          <w:szCs w:val="32"/>
        </w:rPr>
        <w:t>项目概况</w:t>
      </w:r>
    </w:p>
    <w:p w14:paraId="04E97005">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2021年为确保村级事业正常运转，镇政府年初制定</w:t>
      </w:r>
      <w:r>
        <w:rPr>
          <w:rFonts w:ascii="仿宋" w:hAnsi="仿宋" w:eastAsia="仿宋" w:cs="宋体"/>
          <w:kern w:val="0"/>
          <w:sz w:val="32"/>
          <w:szCs w:val="32"/>
        </w:rPr>
        <w:t>60</w:t>
      </w:r>
      <w:r>
        <w:rPr>
          <w:rFonts w:hint="eastAsia" w:ascii="仿宋" w:hAnsi="仿宋" w:eastAsia="仿宋" w:cs="宋体"/>
          <w:kern w:val="0"/>
          <w:sz w:val="32"/>
          <w:szCs w:val="32"/>
        </w:rPr>
        <w:t>万元预算，用于村级办公经费，此项经费主要用于2</w:t>
      </w:r>
      <w:r>
        <w:rPr>
          <w:rFonts w:ascii="仿宋" w:hAnsi="仿宋" w:eastAsia="仿宋" w:cs="宋体"/>
          <w:kern w:val="0"/>
          <w:sz w:val="32"/>
          <w:szCs w:val="32"/>
        </w:rPr>
        <w:t>5</w:t>
      </w:r>
      <w:r>
        <w:rPr>
          <w:rFonts w:hint="eastAsia" w:ascii="仿宋" w:hAnsi="仿宋" w:eastAsia="仿宋" w:cs="宋体"/>
          <w:kern w:val="0"/>
          <w:sz w:val="32"/>
          <w:szCs w:val="32"/>
        </w:rPr>
        <w:t>个行政村的办公费、宣传费用、报刊杂志、</w:t>
      </w:r>
      <w:bookmarkStart w:id="0" w:name="_GoBack"/>
      <w:bookmarkEnd w:id="0"/>
      <w:r>
        <w:rPr>
          <w:rFonts w:hint="eastAsia" w:ascii="仿宋" w:hAnsi="仿宋" w:eastAsia="仿宋" w:cs="宋体"/>
          <w:kern w:val="0"/>
          <w:sz w:val="32"/>
          <w:szCs w:val="32"/>
        </w:rPr>
        <w:t>水电费等开支。</w:t>
      </w:r>
    </w:p>
    <w:p w14:paraId="51B8134B">
      <w:pPr>
        <w:widowControl/>
        <w:rPr>
          <w:rFonts w:ascii="仿宋" w:hAnsi="仿宋" w:eastAsia="仿宋" w:cs="宋体"/>
          <w:kern w:val="0"/>
          <w:sz w:val="32"/>
          <w:szCs w:val="32"/>
        </w:rPr>
      </w:pPr>
      <w:r>
        <w:rPr>
          <w:rFonts w:hint="eastAsia" w:cs="宋体" w:asciiTheme="minorEastAsia" w:hAnsiTheme="minorEastAsia"/>
          <w:kern w:val="0"/>
          <w:sz w:val="32"/>
          <w:szCs w:val="32"/>
        </w:rPr>
        <w:t>（</w:t>
      </w:r>
      <w:r>
        <w:rPr>
          <w:rFonts w:hint="eastAsia" w:ascii="仿宋" w:hAnsi="仿宋" w:eastAsia="仿宋" w:cs="宋体"/>
          <w:kern w:val="0"/>
          <w:sz w:val="32"/>
          <w:szCs w:val="32"/>
        </w:rPr>
        <w:t>一）政府战略规划或目标。</w:t>
      </w:r>
    </w:p>
    <w:p w14:paraId="30390F4B">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总目标：隆尧县魏家庄镇人民政府为镇政府工作部门，机构规格正科级，位于隆尧县魏家庄镇魏家庄村迎宾路4</w:t>
      </w:r>
      <w:r>
        <w:rPr>
          <w:rFonts w:ascii="仿宋" w:hAnsi="仿宋" w:eastAsia="仿宋" w:cs="宋体"/>
          <w:kern w:val="0"/>
          <w:sz w:val="32"/>
          <w:szCs w:val="32"/>
        </w:rPr>
        <w:t>7</w:t>
      </w:r>
      <w:r>
        <w:rPr>
          <w:rFonts w:hint="eastAsia" w:ascii="仿宋" w:hAnsi="仿宋" w:eastAsia="仿宋" w:cs="宋体"/>
          <w:kern w:val="0"/>
          <w:sz w:val="32"/>
          <w:szCs w:val="32"/>
        </w:rPr>
        <w:t>号，镇政府主要职能：⑴制定和组织实施经济、科技和社会发展计划，制定资源开发技术改造和产业结构调整方案，组织指导好各业生产，搞好商品流通，协调好本镇与外地区的经济交流与合作，抓好招商引资，人才引进项目开发，不断培育市场体系，组织经济运行，促进经济发展。⑵制定并组织实施村镇建设规划，部署重点工程建设，地方道路建设及公共设施，水利设施的管理，负责土地、林木、水等自然资源和生态环境的保护，做好护林防火工作。⑶负责本行政区域内的民政、计划生育、文化教育、卫生、体育等社会公益事业的综合性工作，维护一切经济单位和个人的正当经济权益，取缔非法经济活动，调解和处理民事纠纷，打击刑事犯罪维护社会稳定。⑷按计划组织本级财政收入和地方税的征收，完成国家财政计划，不断培植税源，管好财政资金，增强财政实力。⑸抓好精神文明建设，丰富群众文化生活，提倡移风易俗，反对封建迷信，破除陈规陋习，树立社会主义新风尚。⑹完成上级政府交办的其它事项。</w:t>
      </w:r>
    </w:p>
    <w:p w14:paraId="1DC90F8C">
      <w:pPr>
        <w:widowControl/>
        <w:rPr>
          <w:rFonts w:ascii="仿宋" w:hAnsi="仿宋" w:eastAsia="仿宋" w:cs="宋体"/>
          <w:kern w:val="0"/>
          <w:sz w:val="32"/>
          <w:szCs w:val="32"/>
        </w:rPr>
      </w:pPr>
      <w:r>
        <w:rPr>
          <w:rFonts w:hint="eastAsia" w:ascii="仿宋" w:hAnsi="仿宋" w:eastAsia="仿宋" w:cs="宋体"/>
          <w:kern w:val="0"/>
          <w:sz w:val="32"/>
          <w:szCs w:val="32"/>
        </w:rPr>
        <w:t xml:space="preserve">  （二）单位工作目标。</w:t>
      </w:r>
    </w:p>
    <w:p w14:paraId="0D83B5FD">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保证2</w:t>
      </w:r>
      <w:r>
        <w:rPr>
          <w:rFonts w:ascii="仿宋" w:hAnsi="仿宋" w:eastAsia="仿宋" w:cs="宋体"/>
          <w:kern w:val="0"/>
          <w:sz w:val="32"/>
          <w:szCs w:val="32"/>
        </w:rPr>
        <w:t>5</w:t>
      </w:r>
      <w:r>
        <w:rPr>
          <w:rFonts w:hint="eastAsia" w:ascii="仿宋" w:hAnsi="仿宋" w:eastAsia="仿宋" w:cs="宋体"/>
          <w:kern w:val="0"/>
          <w:sz w:val="32"/>
          <w:szCs w:val="32"/>
        </w:rPr>
        <w:t>个行政村日常开支的正常运转，村级各项工作的顺利进行。</w:t>
      </w:r>
    </w:p>
    <w:p w14:paraId="45662588">
      <w:pPr>
        <w:widowControl/>
        <w:rPr>
          <w:rFonts w:ascii="仿宋" w:hAnsi="仿宋" w:eastAsia="仿宋" w:cs="宋体"/>
          <w:kern w:val="0"/>
          <w:sz w:val="32"/>
          <w:szCs w:val="32"/>
        </w:rPr>
      </w:pPr>
      <w:r>
        <w:rPr>
          <w:rFonts w:hint="eastAsia" w:ascii="仿宋" w:hAnsi="仿宋" w:eastAsia="仿宋" w:cs="宋体"/>
          <w:kern w:val="0"/>
          <w:sz w:val="32"/>
          <w:szCs w:val="32"/>
        </w:rPr>
        <w:t xml:space="preserve">  （三）工作活动(项目)基本情况。</w:t>
      </w:r>
    </w:p>
    <w:p w14:paraId="4A98474F">
      <w:pPr>
        <w:widowControl/>
        <w:ind w:firstLine="470" w:firstLineChars="147"/>
        <w:rPr>
          <w:rFonts w:ascii="仿宋" w:hAnsi="仿宋" w:eastAsia="仿宋" w:cs="宋体"/>
          <w:kern w:val="0"/>
          <w:sz w:val="32"/>
          <w:szCs w:val="32"/>
        </w:rPr>
      </w:pPr>
      <w:r>
        <w:rPr>
          <w:rFonts w:hint="eastAsia" w:ascii="仿宋" w:hAnsi="仿宋" w:eastAsia="仿宋" w:cs="宋体"/>
          <w:kern w:val="0"/>
          <w:sz w:val="32"/>
          <w:szCs w:val="32"/>
        </w:rPr>
        <w:t>魏家庄镇共有</w:t>
      </w:r>
      <w:r>
        <w:rPr>
          <w:rFonts w:ascii="仿宋" w:hAnsi="仿宋" w:eastAsia="仿宋" w:cs="宋体"/>
          <w:kern w:val="0"/>
          <w:sz w:val="32"/>
          <w:szCs w:val="32"/>
        </w:rPr>
        <w:t>36532</w:t>
      </w:r>
      <w:r>
        <w:rPr>
          <w:rFonts w:hint="eastAsia" w:ascii="仿宋" w:hAnsi="仿宋" w:eastAsia="仿宋" w:cs="宋体"/>
          <w:kern w:val="0"/>
          <w:sz w:val="32"/>
          <w:szCs w:val="32"/>
        </w:rPr>
        <w:t>人，共辖</w:t>
      </w:r>
      <w:r>
        <w:rPr>
          <w:rFonts w:ascii="仿宋" w:hAnsi="仿宋" w:eastAsia="仿宋" w:cs="宋体"/>
          <w:kern w:val="0"/>
          <w:sz w:val="32"/>
          <w:szCs w:val="32"/>
        </w:rPr>
        <w:t>25</w:t>
      </w:r>
      <w:r>
        <w:rPr>
          <w:rFonts w:hint="eastAsia" w:ascii="仿宋" w:hAnsi="仿宋" w:eastAsia="仿宋" w:cs="宋体"/>
          <w:kern w:val="0"/>
          <w:sz w:val="32"/>
          <w:szCs w:val="32"/>
        </w:rPr>
        <w:t>个村，村级转移支付/村办公经费共</w:t>
      </w:r>
      <w:r>
        <w:rPr>
          <w:rFonts w:ascii="仿宋" w:hAnsi="仿宋" w:eastAsia="仿宋" w:cs="宋体"/>
          <w:kern w:val="0"/>
          <w:sz w:val="32"/>
          <w:szCs w:val="32"/>
        </w:rPr>
        <w:t>60</w:t>
      </w:r>
      <w:r>
        <w:rPr>
          <w:rFonts w:hint="eastAsia" w:ascii="仿宋" w:hAnsi="仿宋" w:eastAsia="仿宋" w:cs="宋体"/>
          <w:kern w:val="0"/>
          <w:sz w:val="32"/>
          <w:szCs w:val="32"/>
        </w:rPr>
        <w:t>万元，用于辖区内各个行政村完成上级交办和下达的各项工作任务及乡村建设，切实履行法律规定的各项权利和义务，保障村级正常运转。</w:t>
      </w:r>
    </w:p>
    <w:p w14:paraId="35CA9DB6">
      <w:pPr>
        <w:widowControl/>
        <w:ind w:firstLine="472" w:firstLineChars="147"/>
        <w:rPr>
          <w:rFonts w:ascii="黑体" w:hAnsi="黑体" w:eastAsia="黑体" w:cs="宋体"/>
          <w:b/>
          <w:bCs/>
          <w:kern w:val="0"/>
          <w:sz w:val="32"/>
          <w:szCs w:val="32"/>
        </w:rPr>
      </w:pPr>
      <w:r>
        <w:rPr>
          <w:rFonts w:hint="eastAsia" w:ascii="黑体" w:hAnsi="黑体" w:eastAsia="黑体" w:cs="宋体"/>
          <w:b/>
          <w:bCs/>
          <w:kern w:val="0"/>
          <w:sz w:val="32"/>
          <w:szCs w:val="32"/>
        </w:rPr>
        <w:t>二、工作活动(项目)绩效目标和指标设定情况</w:t>
      </w:r>
    </w:p>
    <w:p w14:paraId="39111C72">
      <w:pPr>
        <w:widowControl/>
        <w:rPr>
          <w:rFonts w:ascii="仿宋" w:hAnsi="仿宋" w:eastAsia="仿宋" w:cs="宋体"/>
          <w:kern w:val="0"/>
          <w:sz w:val="32"/>
          <w:szCs w:val="32"/>
        </w:rPr>
      </w:pPr>
      <w:r>
        <w:rPr>
          <w:rFonts w:hint="eastAsia" w:ascii="仿宋" w:hAnsi="仿宋" w:eastAsia="仿宋" w:cs="宋体"/>
          <w:kern w:val="0"/>
          <w:sz w:val="32"/>
          <w:szCs w:val="32"/>
        </w:rPr>
        <w:t xml:space="preserve"> （一）工作活动(项目)总目标、年度目标设定情况。</w:t>
      </w:r>
    </w:p>
    <w:p w14:paraId="34BE9721">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1、镇政府用文件的形式将村级转移支付资金根据各村人口、地域、土地面积、历史等各项因素科学合理的将所有资金分配到各行政村，做到公平公正公开透明。</w:t>
      </w:r>
    </w:p>
    <w:p w14:paraId="0EB89513">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2、制定村级财务制度，资金由镇财政按时用银行</w:t>
      </w:r>
      <w:r>
        <w:rPr>
          <w:rFonts w:hint="eastAsia" w:ascii="仿宋" w:hAnsi="仿宋" w:eastAsia="仿宋" w:cs="宋体"/>
          <w:kern w:val="0"/>
          <w:sz w:val="32"/>
          <w:szCs w:val="32"/>
          <w:lang w:val="en-US" w:eastAsia="zh-CN"/>
        </w:rPr>
        <w:t>转账</w:t>
      </w:r>
      <w:r>
        <w:rPr>
          <w:rFonts w:hint="eastAsia" w:ascii="仿宋" w:hAnsi="仿宋" w:eastAsia="仿宋" w:cs="宋体"/>
          <w:kern w:val="0"/>
          <w:sz w:val="32"/>
          <w:szCs w:val="32"/>
        </w:rPr>
        <w:t>的方式将资金拨付到各村</w:t>
      </w:r>
      <w:r>
        <w:rPr>
          <w:rFonts w:hint="eastAsia" w:ascii="仿宋" w:hAnsi="仿宋" w:eastAsia="仿宋" w:cs="宋体"/>
          <w:kern w:val="0"/>
          <w:sz w:val="32"/>
          <w:szCs w:val="32"/>
          <w:lang w:eastAsia="zh-CN"/>
        </w:rPr>
        <w:t>账户</w:t>
      </w:r>
      <w:r>
        <w:rPr>
          <w:rFonts w:hint="eastAsia" w:ascii="仿宋" w:hAnsi="仿宋" w:eastAsia="仿宋" w:cs="宋体"/>
          <w:kern w:val="0"/>
          <w:sz w:val="32"/>
          <w:szCs w:val="32"/>
        </w:rPr>
        <w:t>，保证了资金的安全。</w:t>
      </w:r>
    </w:p>
    <w:p w14:paraId="70DB1B39">
      <w:pPr>
        <w:widowControl/>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3、制定村级目标考核制度，对村主要工作职责和政府中心工作纳入绩效考核。</w:t>
      </w:r>
    </w:p>
    <w:p w14:paraId="050F5124">
      <w:pPr>
        <w:widowControl/>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4、各村年初向镇党委政府递交了年度经济发展计划及中长期经济发展规划。签订了党风廉政建设、计划生育综合治理、社会治安综合治理、安全生产责任状。</w:t>
      </w:r>
    </w:p>
    <w:p w14:paraId="607D0646">
      <w:pPr>
        <w:widowControl/>
        <w:rPr>
          <w:rFonts w:ascii="仿宋" w:hAnsi="仿宋" w:eastAsia="仿宋" w:cs="宋体"/>
          <w:kern w:val="0"/>
          <w:sz w:val="32"/>
          <w:szCs w:val="32"/>
        </w:rPr>
      </w:pPr>
      <w:r>
        <w:rPr>
          <w:rFonts w:hint="eastAsia" w:ascii="仿宋" w:hAnsi="仿宋" w:eastAsia="仿宋" w:cs="宋体"/>
          <w:kern w:val="0"/>
          <w:sz w:val="32"/>
          <w:szCs w:val="32"/>
        </w:rPr>
        <w:t>（二）工作活动(项目)绩效指标设定情况。</w:t>
      </w:r>
    </w:p>
    <w:p w14:paraId="589F51FE">
      <w:pPr>
        <w:widowControl/>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绩效指标主要包括产出指标（数量指标、质量指标、时效指标）和效果指标（经济效益指标、社会效益指标、可持续发展效益指标）。</w:t>
      </w:r>
    </w:p>
    <w:p w14:paraId="3766827F">
      <w:pPr>
        <w:widowControl/>
        <w:rPr>
          <w:rFonts w:ascii="仿宋" w:hAnsi="仿宋" w:eastAsia="仿宋" w:cs="宋体"/>
          <w:kern w:val="0"/>
          <w:sz w:val="32"/>
          <w:szCs w:val="32"/>
        </w:rPr>
      </w:pPr>
      <w:r>
        <w:rPr>
          <w:rFonts w:hint="eastAsia" w:ascii="仿宋" w:hAnsi="仿宋" w:eastAsia="仿宋" w:cs="宋体"/>
          <w:kern w:val="0"/>
          <w:sz w:val="32"/>
          <w:szCs w:val="32"/>
        </w:rPr>
        <w:t>（三）调整情况。</w:t>
      </w:r>
    </w:p>
    <w:p w14:paraId="39928ACA">
      <w:pPr>
        <w:widowControl/>
        <w:rPr>
          <w:rFonts w:ascii="仿宋" w:hAnsi="仿宋" w:eastAsia="仿宋" w:cs="宋体"/>
          <w:kern w:val="0"/>
          <w:sz w:val="32"/>
          <w:szCs w:val="32"/>
        </w:rPr>
      </w:pPr>
      <w:r>
        <w:rPr>
          <w:rFonts w:hint="eastAsia" w:ascii="仿宋" w:hAnsi="仿宋" w:eastAsia="仿宋" w:cs="宋体"/>
          <w:kern w:val="0"/>
          <w:sz w:val="32"/>
          <w:szCs w:val="32"/>
        </w:rPr>
        <w:t xml:space="preserve"> </w:t>
      </w:r>
      <w:r>
        <w:rPr>
          <w:rFonts w:ascii="仿宋" w:hAnsi="仿宋" w:eastAsia="仿宋" w:cs="宋体"/>
          <w:kern w:val="0"/>
          <w:sz w:val="32"/>
          <w:szCs w:val="32"/>
        </w:rPr>
        <w:t xml:space="preserve">  </w:t>
      </w:r>
      <w:r>
        <w:rPr>
          <w:rFonts w:hint="eastAsia" w:ascii="仿宋" w:hAnsi="仿宋" w:eastAsia="仿宋" w:cs="宋体"/>
          <w:kern w:val="0"/>
          <w:sz w:val="32"/>
          <w:szCs w:val="32"/>
        </w:rPr>
        <w:t>无调整。</w:t>
      </w:r>
    </w:p>
    <w:p w14:paraId="68B98A4F">
      <w:pPr>
        <w:widowControl/>
        <w:ind w:firstLine="472" w:firstLineChars="147"/>
        <w:rPr>
          <w:rFonts w:ascii="黑体" w:hAnsi="黑体" w:eastAsia="黑体" w:cs="宋体"/>
          <w:b/>
          <w:bCs/>
          <w:kern w:val="0"/>
          <w:sz w:val="32"/>
          <w:szCs w:val="32"/>
        </w:rPr>
      </w:pPr>
      <w:r>
        <w:rPr>
          <w:rFonts w:hint="eastAsia" w:ascii="黑体" w:hAnsi="黑体" w:eastAsia="黑体" w:cs="宋体"/>
          <w:b/>
          <w:bCs/>
          <w:kern w:val="0"/>
          <w:sz w:val="32"/>
          <w:szCs w:val="32"/>
        </w:rPr>
        <w:t>三、工作活动(项目)实施绩效管理情况及取得成绩</w:t>
      </w:r>
    </w:p>
    <w:p w14:paraId="1D232673">
      <w:pPr>
        <w:widowControl/>
        <w:ind w:left="105" w:leftChars="50"/>
        <w:rPr>
          <w:rFonts w:ascii="黑体" w:hAnsi="黑体" w:eastAsia="黑体" w:cs="宋体"/>
          <w:b/>
          <w:bCs/>
          <w:kern w:val="0"/>
          <w:sz w:val="32"/>
          <w:szCs w:val="32"/>
        </w:rPr>
      </w:pPr>
      <w:r>
        <w:rPr>
          <w:rFonts w:hint="eastAsia" w:ascii="仿宋" w:hAnsi="仿宋" w:eastAsia="仿宋" w:cs="宋体"/>
          <w:kern w:val="0"/>
          <w:sz w:val="32"/>
          <w:szCs w:val="32"/>
        </w:rPr>
        <w:t>（一）计划制定和落实情况。</w:t>
      </w:r>
    </w:p>
    <w:p w14:paraId="1E2411F3">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为了按照统一规则和标准实施评价工作，更加准确地反映项目单位的绩效实际情况，我们将综合绩效评价级别分为4个等级。具体评价等级分类如下：</w:t>
      </w:r>
    </w:p>
    <w:p w14:paraId="68D155C4">
      <w:pPr>
        <w:widowControl/>
        <w:ind w:left="320"/>
        <w:jc w:val="center"/>
        <w:rPr>
          <w:rFonts w:ascii="仿宋" w:hAnsi="仿宋" w:eastAsia="仿宋" w:cs="宋体"/>
          <w:kern w:val="0"/>
          <w:sz w:val="32"/>
          <w:szCs w:val="32"/>
        </w:rPr>
      </w:pPr>
      <w:r>
        <w:rPr>
          <w:rFonts w:hint="eastAsia" w:ascii="仿宋" w:hAnsi="仿宋" w:eastAsia="仿宋" w:cs="宋体"/>
          <w:kern w:val="0"/>
          <w:sz w:val="32"/>
          <w:szCs w:val="32"/>
        </w:rPr>
        <w:t>绩效评价等级分类表</w:t>
      </w:r>
    </w:p>
    <w:tbl>
      <w:tblPr>
        <w:tblStyle w:val="4"/>
        <w:tblW w:w="8431" w:type="dxa"/>
        <w:tblInd w:w="0" w:type="dxa"/>
        <w:tblLayout w:type="fixed"/>
        <w:tblCellMar>
          <w:top w:w="0" w:type="dxa"/>
          <w:left w:w="0" w:type="dxa"/>
          <w:bottom w:w="0" w:type="dxa"/>
          <w:right w:w="0" w:type="dxa"/>
        </w:tblCellMar>
      </w:tblPr>
      <w:tblGrid>
        <w:gridCol w:w="1437"/>
        <w:gridCol w:w="2105"/>
        <w:gridCol w:w="1807"/>
        <w:gridCol w:w="1413"/>
        <w:gridCol w:w="1669"/>
      </w:tblGrid>
      <w:tr w14:paraId="0F955C73">
        <w:tblPrEx>
          <w:tblCellMar>
            <w:top w:w="0" w:type="dxa"/>
            <w:left w:w="0" w:type="dxa"/>
            <w:bottom w:w="0" w:type="dxa"/>
            <w:right w:w="0" w:type="dxa"/>
          </w:tblCellMar>
        </w:tblPrEx>
        <w:trPr>
          <w:trHeight w:val="440" w:hRule="atLeast"/>
        </w:trPr>
        <w:tc>
          <w:tcPr>
            <w:tcW w:w="1437"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14:paraId="1722ECEB">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lang w:bidi="ar"/>
              </w:rPr>
              <w:t>项目</w:t>
            </w:r>
          </w:p>
        </w:tc>
        <w:tc>
          <w:tcPr>
            <w:tcW w:w="210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14:paraId="31E7C365">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lang w:bidi="ar"/>
              </w:rPr>
              <w:t>优</w:t>
            </w:r>
          </w:p>
        </w:tc>
        <w:tc>
          <w:tcPr>
            <w:tcW w:w="1807"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14:paraId="233FD33C">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良</w:t>
            </w:r>
          </w:p>
        </w:tc>
        <w:tc>
          <w:tcPr>
            <w:tcW w:w="1413" w:type="dxa"/>
            <w:tcBorders>
              <w:top w:val="single" w:color="000000" w:sz="8" w:space="0"/>
              <w:left w:val="nil"/>
              <w:bottom w:val="single" w:color="000000" w:sz="8" w:space="0"/>
              <w:right w:val="nil"/>
            </w:tcBorders>
            <w:tcMar>
              <w:top w:w="15" w:type="dxa"/>
              <w:left w:w="15" w:type="dxa"/>
              <w:right w:w="15" w:type="dxa"/>
            </w:tcMar>
            <w:vAlign w:val="center"/>
          </w:tcPr>
          <w:p w14:paraId="62975A98">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中</w:t>
            </w:r>
          </w:p>
        </w:tc>
        <w:tc>
          <w:tcPr>
            <w:tcW w:w="166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7B6317">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差</w:t>
            </w:r>
          </w:p>
        </w:tc>
      </w:tr>
      <w:tr w14:paraId="45E2CC96">
        <w:tblPrEx>
          <w:tblCellMar>
            <w:top w:w="0" w:type="dxa"/>
            <w:left w:w="0" w:type="dxa"/>
            <w:bottom w:w="0" w:type="dxa"/>
            <w:right w:w="0" w:type="dxa"/>
          </w:tblCellMar>
        </w:tblPrEx>
        <w:trPr>
          <w:trHeight w:val="405" w:hRule="atLeast"/>
        </w:trPr>
        <w:tc>
          <w:tcPr>
            <w:tcW w:w="1437" w:type="dxa"/>
            <w:tcBorders>
              <w:top w:val="nil"/>
              <w:left w:val="single" w:color="000000" w:sz="8" w:space="0"/>
              <w:bottom w:val="single" w:color="000000" w:sz="8" w:space="0"/>
              <w:right w:val="single" w:color="000000" w:sz="8" w:space="0"/>
            </w:tcBorders>
            <w:tcMar>
              <w:top w:w="15" w:type="dxa"/>
              <w:left w:w="15" w:type="dxa"/>
              <w:right w:w="15" w:type="dxa"/>
            </w:tcMar>
            <w:vAlign w:val="center"/>
          </w:tcPr>
          <w:p w14:paraId="70085B40">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lang w:bidi="ar"/>
              </w:rPr>
              <w:t>分值</w:t>
            </w:r>
          </w:p>
        </w:tc>
        <w:tc>
          <w:tcPr>
            <w:tcW w:w="2105" w:type="dxa"/>
            <w:tcBorders>
              <w:top w:val="nil"/>
              <w:left w:val="nil"/>
              <w:bottom w:val="single" w:color="000000" w:sz="8" w:space="0"/>
              <w:right w:val="single" w:color="000000" w:sz="8" w:space="0"/>
            </w:tcBorders>
            <w:tcMar>
              <w:top w:w="15" w:type="dxa"/>
              <w:left w:w="15" w:type="dxa"/>
              <w:right w:w="15" w:type="dxa"/>
            </w:tcMar>
            <w:vAlign w:val="center"/>
          </w:tcPr>
          <w:p w14:paraId="0BA19E4A">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lang w:bidi="ar"/>
              </w:rPr>
              <w:t>≥1</w:t>
            </w:r>
            <w:r>
              <w:rPr>
                <w:rStyle w:val="9"/>
                <w:rFonts w:hint="default" w:ascii="宋体" w:hAnsi="宋体" w:eastAsia="宋体"/>
                <w:sz w:val="32"/>
                <w:szCs w:val="32"/>
                <w:lang w:bidi="ar"/>
              </w:rPr>
              <w:t>00%</w:t>
            </w:r>
          </w:p>
        </w:tc>
        <w:tc>
          <w:tcPr>
            <w:tcW w:w="1807" w:type="dxa"/>
            <w:tcBorders>
              <w:top w:val="nil"/>
              <w:left w:val="nil"/>
              <w:bottom w:val="single" w:color="000000" w:sz="8" w:space="0"/>
              <w:right w:val="single" w:color="000000" w:sz="8" w:space="0"/>
            </w:tcBorders>
            <w:tcMar>
              <w:top w:w="15" w:type="dxa"/>
              <w:left w:w="15" w:type="dxa"/>
              <w:right w:w="15" w:type="dxa"/>
            </w:tcMar>
            <w:vAlign w:val="center"/>
          </w:tcPr>
          <w:p w14:paraId="5242300F">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9</w:t>
            </w:r>
            <w:r>
              <w:rPr>
                <w:rFonts w:ascii="宋体" w:hAnsi="宋体" w:eastAsia="宋体"/>
                <w:kern w:val="0"/>
                <w:sz w:val="32"/>
                <w:szCs w:val="32"/>
              </w:rPr>
              <w:t>0%-99%</w:t>
            </w:r>
          </w:p>
        </w:tc>
        <w:tc>
          <w:tcPr>
            <w:tcW w:w="1413" w:type="dxa"/>
            <w:tcBorders>
              <w:top w:val="nil"/>
              <w:left w:val="nil"/>
              <w:bottom w:val="single" w:color="000000" w:sz="8" w:space="0"/>
              <w:right w:val="nil"/>
            </w:tcBorders>
            <w:tcMar>
              <w:top w:w="15" w:type="dxa"/>
              <w:left w:w="15" w:type="dxa"/>
              <w:right w:w="15" w:type="dxa"/>
            </w:tcMar>
            <w:vAlign w:val="center"/>
          </w:tcPr>
          <w:p w14:paraId="503A8B9C">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8</w:t>
            </w:r>
            <w:r>
              <w:rPr>
                <w:rFonts w:ascii="宋体" w:hAnsi="宋体" w:eastAsia="宋体"/>
                <w:kern w:val="0"/>
                <w:sz w:val="32"/>
                <w:szCs w:val="32"/>
              </w:rPr>
              <w:t>0%-89%</w:t>
            </w:r>
          </w:p>
        </w:tc>
        <w:tc>
          <w:tcPr>
            <w:tcW w:w="166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0AC98B">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&lt;80%</w:t>
            </w:r>
          </w:p>
        </w:tc>
      </w:tr>
    </w:tbl>
    <w:p w14:paraId="6886BE60">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（二）执行绩效监控情况。</w:t>
      </w:r>
    </w:p>
    <w:p w14:paraId="13D408B5">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按照项目总体目标和年度目标，制定详细可行的工作活动(项目)实施计划，并按节点推进落实，健全完善相关制度。预算批复后，我单位及时制定细化绩效目标，全力推进项目实施，配合县财政部门认真进行项目绩效监控，收集并分析绩效信息，强化绩效管理，确保绩效运行全程可控。</w:t>
      </w:r>
    </w:p>
    <w:p w14:paraId="14425659">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（三）资金管理情况。</w:t>
      </w:r>
    </w:p>
    <w:p w14:paraId="76C5A6A5">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项目资金全部为县级资金，已全部到位。项目实施后，资金实际支出100%。</w:t>
      </w:r>
    </w:p>
    <w:p w14:paraId="4FF75645">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（四）绩效管理制度建设及执行情况。</w:t>
      </w:r>
    </w:p>
    <w:p w14:paraId="152C4721">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 xml:space="preserve"> </w:t>
      </w:r>
      <w:r>
        <w:rPr>
          <w:rFonts w:ascii="仿宋" w:hAnsi="仿宋" w:eastAsia="仿宋" w:cs="宋体"/>
          <w:color w:val="000000"/>
          <w:kern w:val="0"/>
          <w:sz w:val="32"/>
          <w:szCs w:val="32"/>
        </w:rPr>
        <w:t xml:space="preserve"> </w:t>
      </w:r>
      <w:r>
        <w:rPr>
          <w:rFonts w:hint="eastAsia" w:ascii="仿宋" w:hAnsi="仿宋" w:eastAsia="仿宋" w:cs="宋体"/>
          <w:color w:val="000000"/>
          <w:kern w:val="0"/>
          <w:sz w:val="32"/>
          <w:szCs w:val="32"/>
        </w:rPr>
        <w:t>认真落实上级绩效管理相关制度，细化内控制度，强化管理执行，确保严格落实到位。</w:t>
      </w:r>
    </w:p>
    <w:p w14:paraId="5EB568E9">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（五）风险管理情况。</w:t>
      </w:r>
    </w:p>
    <w:p w14:paraId="5995E6FE">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 xml:space="preserve"> </w:t>
      </w:r>
      <w:r>
        <w:rPr>
          <w:rFonts w:ascii="仿宋" w:hAnsi="仿宋" w:eastAsia="仿宋" w:cs="宋体"/>
          <w:color w:val="000000"/>
          <w:kern w:val="0"/>
          <w:sz w:val="32"/>
          <w:szCs w:val="32"/>
        </w:rPr>
        <w:t xml:space="preserve"> </w:t>
      </w:r>
      <w:r>
        <w:rPr>
          <w:rFonts w:hint="eastAsia" w:ascii="仿宋" w:hAnsi="仿宋" w:eastAsia="仿宋" w:cs="宋体"/>
          <w:color w:val="000000"/>
          <w:kern w:val="0"/>
          <w:sz w:val="32"/>
          <w:szCs w:val="32"/>
        </w:rPr>
        <w:t>建立风险评估机制，成立风险评估小组，对项目活动存在的风险进行全面、系统和客观评估，实施监督项目进展。</w:t>
      </w:r>
    </w:p>
    <w:p w14:paraId="7086964C">
      <w:pPr>
        <w:widowControl/>
        <w:ind w:firstLine="472" w:firstLineChars="147"/>
        <w:rPr>
          <w:rFonts w:ascii="黑体" w:hAnsi="黑体" w:eastAsia="黑体" w:cs="宋体"/>
          <w:b/>
          <w:bCs/>
          <w:kern w:val="0"/>
          <w:sz w:val="32"/>
          <w:szCs w:val="32"/>
        </w:rPr>
      </w:pPr>
      <w:r>
        <w:rPr>
          <w:rFonts w:hint="eastAsia" w:ascii="黑体" w:hAnsi="黑体" w:eastAsia="黑体" w:cs="宋体"/>
          <w:b/>
          <w:bCs/>
          <w:kern w:val="0"/>
          <w:sz w:val="32"/>
          <w:szCs w:val="32"/>
        </w:rPr>
        <w:t>四、工作活动(项目)绩效自评情况</w:t>
      </w:r>
    </w:p>
    <w:p w14:paraId="7640D1C6">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（一）工作活动(项目)自评组织情况。</w:t>
      </w:r>
    </w:p>
    <w:p w14:paraId="2A90246B">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成立了由单位主管领导任组长，单位财务科室主管任副组长财务工作人员为成员的3人工作项目自评小组，负责项目的绩效自评，确保自评工作的客观、真实、全面。</w:t>
      </w:r>
    </w:p>
    <w:p w14:paraId="2FBC95FD">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（二）工作活动(项目)评价结果。</w:t>
      </w:r>
    </w:p>
    <w:p w14:paraId="6FFA55BA">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根据相关要求，对照绩效目标和相关指标，经认真自评，该项目得分100分，属于优秀等次。</w:t>
      </w:r>
    </w:p>
    <w:p w14:paraId="70D2C487">
      <w:pPr>
        <w:widowControl/>
        <w:ind w:firstLine="312" w:firstLineChars="97"/>
        <w:rPr>
          <w:rFonts w:ascii="黑体" w:hAnsi="黑体" w:eastAsia="黑体" w:cs="宋体"/>
          <w:b/>
          <w:bCs/>
          <w:kern w:val="0"/>
          <w:sz w:val="32"/>
          <w:szCs w:val="32"/>
        </w:rPr>
      </w:pPr>
      <w:r>
        <w:rPr>
          <w:rFonts w:hint="eastAsia" w:ascii="黑体" w:hAnsi="黑体" w:eastAsia="黑体" w:cs="宋体"/>
          <w:b/>
          <w:bCs/>
          <w:kern w:val="0"/>
          <w:sz w:val="32"/>
          <w:szCs w:val="32"/>
        </w:rPr>
        <w:t>五、工作活动(项目)存在的问题、改进工作的意见及建议</w:t>
      </w:r>
    </w:p>
    <w:p w14:paraId="60CA6308">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（一）工作活动(项目)实现绩效目标过程中存在的问题。</w:t>
      </w:r>
    </w:p>
    <w:p w14:paraId="3A6EAF0E">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一是各个行政村村情不同，发展不统一，工作积极性有，但效果不理想。二是根据项目情况设置绩效目标为“项目目标未具体细化、细化不足”。</w:t>
      </w:r>
    </w:p>
    <w:p w14:paraId="4F460AA3">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（二）工作活动(项目)实施中改进意见及措施。</w:t>
      </w:r>
    </w:p>
    <w:p w14:paraId="3B70AC56">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突出问题导向和结果导向，一是坚持政府领导，统一思想，进一步强化村级责任意识，支部书记负总责，两委干部具体落实，层层传导压力，强化工作合力，协调联动落实。二是健全完善工作机制，进一明确村两委职责和村级事务年度目标，实行定期调度推进制度。</w:t>
      </w:r>
    </w:p>
    <w:p w14:paraId="4D12FC29">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（三）建议。</w:t>
      </w:r>
    </w:p>
    <w:p w14:paraId="6FDF40B2">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一是县财政部门加大对绩效预算管理改革和绩效自评相关内容学习培训，进一步各单位提升工作人员绩效评价业务水平，促进高质量财政建设。</w:t>
      </w:r>
    </w:p>
    <w:p w14:paraId="62C1EDB0">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二是提高资金执行率。按规定开展实施村级转移支付项目，加强实施部门预算编制管理工作，如有变更及时上报调整，按时按量完成资金拨付，提高预算资金的针对性和有效性。</w:t>
      </w:r>
    </w:p>
    <w:p w14:paraId="44C8710C">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三是严格执行资金申报，强化资金保障。规范项目申报管理，严格要求项目申报单位按规定提供申报材料、填报项目绩效目标，对不合规的项目申报材料不予受理。</w:t>
      </w:r>
    </w:p>
    <w:p w14:paraId="6C608EC7">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四是加强绩效评价力度，提高资金使用效益根据非税收入资金项目的特点，研究制定更为科学、合理的绩效指标体系，有针对性地加强对非税收入资金项目执行和经费使用情况的绩效评价考核，促进项目按要求出成果、出效益。</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3874EA3"/>
    <w:multiLevelType w:val="multilevel"/>
    <w:tmpl w:val="13874EA3"/>
    <w:lvl w:ilvl="0" w:tentative="0">
      <w:start w:val="1"/>
      <w:numFmt w:val="japaneseCounting"/>
      <w:lvlText w:val="%1、"/>
      <w:lvlJc w:val="left"/>
      <w:pPr>
        <w:ind w:left="1192" w:hanging="720"/>
      </w:pPr>
      <w:rPr>
        <w:rFonts w:hint="default"/>
      </w:rPr>
    </w:lvl>
    <w:lvl w:ilvl="1" w:tentative="0">
      <w:start w:val="1"/>
      <w:numFmt w:val="lowerLetter"/>
      <w:lvlText w:val="%2)"/>
      <w:lvlJc w:val="left"/>
      <w:pPr>
        <w:ind w:left="1312" w:hanging="420"/>
      </w:pPr>
    </w:lvl>
    <w:lvl w:ilvl="2" w:tentative="0">
      <w:start w:val="1"/>
      <w:numFmt w:val="lowerRoman"/>
      <w:lvlText w:val="%3."/>
      <w:lvlJc w:val="right"/>
      <w:pPr>
        <w:ind w:left="1732" w:hanging="420"/>
      </w:pPr>
    </w:lvl>
    <w:lvl w:ilvl="3" w:tentative="0">
      <w:start w:val="1"/>
      <w:numFmt w:val="decimal"/>
      <w:lvlText w:val="%4."/>
      <w:lvlJc w:val="left"/>
      <w:pPr>
        <w:ind w:left="2152" w:hanging="420"/>
      </w:pPr>
    </w:lvl>
    <w:lvl w:ilvl="4" w:tentative="0">
      <w:start w:val="1"/>
      <w:numFmt w:val="lowerLetter"/>
      <w:lvlText w:val="%5)"/>
      <w:lvlJc w:val="left"/>
      <w:pPr>
        <w:ind w:left="2572" w:hanging="420"/>
      </w:pPr>
    </w:lvl>
    <w:lvl w:ilvl="5" w:tentative="0">
      <w:start w:val="1"/>
      <w:numFmt w:val="lowerRoman"/>
      <w:lvlText w:val="%6."/>
      <w:lvlJc w:val="right"/>
      <w:pPr>
        <w:ind w:left="2992" w:hanging="420"/>
      </w:pPr>
    </w:lvl>
    <w:lvl w:ilvl="6" w:tentative="0">
      <w:start w:val="1"/>
      <w:numFmt w:val="decimal"/>
      <w:lvlText w:val="%7."/>
      <w:lvlJc w:val="left"/>
      <w:pPr>
        <w:ind w:left="3412" w:hanging="420"/>
      </w:pPr>
    </w:lvl>
    <w:lvl w:ilvl="7" w:tentative="0">
      <w:start w:val="1"/>
      <w:numFmt w:val="lowerLetter"/>
      <w:lvlText w:val="%8)"/>
      <w:lvlJc w:val="left"/>
      <w:pPr>
        <w:ind w:left="3832" w:hanging="420"/>
      </w:pPr>
    </w:lvl>
    <w:lvl w:ilvl="8" w:tentative="0">
      <w:start w:val="1"/>
      <w:numFmt w:val="lowerRoman"/>
      <w:lvlText w:val="%9."/>
      <w:lvlJc w:val="right"/>
      <w:pPr>
        <w:ind w:left="4252"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C047EA"/>
    <w:rsid w:val="000B6188"/>
    <w:rsid w:val="001D2EAA"/>
    <w:rsid w:val="002C71AF"/>
    <w:rsid w:val="002E23D3"/>
    <w:rsid w:val="0032778B"/>
    <w:rsid w:val="0036746E"/>
    <w:rsid w:val="00452E2F"/>
    <w:rsid w:val="00476898"/>
    <w:rsid w:val="00574E7A"/>
    <w:rsid w:val="0058118E"/>
    <w:rsid w:val="00584A12"/>
    <w:rsid w:val="00661BB7"/>
    <w:rsid w:val="006A012B"/>
    <w:rsid w:val="006C0284"/>
    <w:rsid w:val="00710200"/>
    <w:rsid w:val="00732C10"/>
    <w:rsid w:val="00767F1C"/>
    <w:rsid w:val="0078532C"/>
    <w:rsid w:val="0078637C"/>
    <w:rsid w:val="007A1805"/>
    <w:rsid w:val="008A423E"/>
    <w:rsid w:val="008A68C7"/>
    <w:rsid w:val="008E0144"/>
    <w:rsid w:val="009C2B29"/>
    <w:rsid w:val="009E7E4A"/>
    <w:rsid w:val="00A17715"/>
    <w:rsid w:val="00B02EC7"/>
    <w:rsid w:val="00B05C53"/>
    <w:rsid w:val="00C047EA"/>
    <w:rsid w:val="00C27BAC"/>
    <w:rsid w:val="00C422D3"/>
    <w:rsid w:val="00C569E2"/>
    <w:rsid w:val="00C75D9F"/>
    <w:rsid w:val="00C91487"/>
    <w:rsid w:val="00CA444D"/>
    <w:rsid w:val="00CF1CDC"/>
    <w:rsid w:val="00D369D7"/>
    <w:rsid w:val="00D432C4"/>
    <w:rsid w:val="00D4578E"/>
    <w:rsid w:val="00E160B9"/>
    <w:rsid w:val="00F53551"/>
    <w:rsid w:val="00F606CB"/>
    <w:rsid w:val="00FC3534"/>
    <w:rsid w:val="00FE09BC"/>
    <w:rsid w:val="1F0270E7"/>
    <w:rsid w:val="6BA37D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7"/>
    <w:unhideWhenUsed/>
    <w:uiPriority w:val="99"/>
    <w:pPr>
      <w:tabs>
        <w:tab w:val="center" w:pos="4153"/>
        <w:tab w:val="right" w:pos="8306"/>
      </w:tabs>
      <w:snapToGrid w:val="0"/>
      <w:jc w:val="left"/>
    </w:pPr>
    <w:rPr>
      <w:sz w:val="18"/>
      <w:szCs w:val="18"/>
    </w:rPr>
  </w:style>
  <w:style w:type="paragraph" w:styleId="3">
    <w:name w:val="header"/>
    <w:basedOn w:val="1"/>
    <w:link w:val="6"/>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uiPriority w:val="99"/>
    <w:rPr>
      <w:sz w:val="18"/>
      <w:szCs w:val="18"/>
    </w:rPr>
  </w:style>
  <w:style w:type="character" w:customStyle="1" w:styleId="7">
    <w:name w:val="页脚 字符"/>
    <w:basedOn w:val="5"/>
    <w:link w:val="2"/>
    <w:uiPriority w:val="99"/>
    <w:rPr>
      <w:sz w:val="18"/>
      <w:szCs w:val="18"/>
    </w:rPr>
  </w:style>
  <w:style w:type="paragraph" w:styleId="8">
    <w:name w:val="List Paragraph"/>
    <w:basedOn w:val="1"/>
    <w:qFormat/>
    <w:uiPriority w:val="34"/>
    <w:pPr>
      <w:ind w:firstLine="420" w:firstLineChars="200"/>
    </w:pPr>
  </w:style>
  <w:style w:type="character" w:customStyle="1" w:styleId="9">
    <w:name w:val="font41"/>
    <w:uiPriority w:val="0"/>
    <w:rPr>
      <w:rFonts w:hint="eastAsia" w:ascii="仿宋" w:hAnsi="仿宋" w:eastAsia="仿宋" w:cs="仿宋"/>
      <w:color w:val="000000"/>
      <w:sz w:val="24"/>
      <w:szCs w:val="24"/>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2239</Words>
  <Characters>2278</Characters>
  <Lines>16</Lines>
  <Paragraphs>4</Paragraphs>
  <TotalTime>162</TotalTime>
  <ScaleCrop>false</ScaleCrop>
  <LinksUpToDate>false</LinksUpToDate>
  <CharactersWithSpaces>2290</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2022-03-02T02:51:00Z</dcterms:created>
  <dc:creator>lenovo</dc:creator>
  <cp:lastModifiedBy>李孟泽</cp:lastModifiedBy>
  <cp:lastPrinted>2022-03-03T03:27:00Z</cp:lastPrinted>
  <dcterms:modified xsi:type="dcterms:W3CDTF">2025-05-27T09:42:32Z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eyJoZGlkIjoiYTUwN2VjYjRjODZlZTA4YTFlNDAwZGFlODhhNTZhN2EiLCJ1c2VySWQiOiI0MDgxMDA0MzUifQ==</vt:lpwstr>
  </property>
  <property fmtid="{D5CDD505-2E9C-101B-9397-08002B2CF9AE}" pid="3" name="KSOProductBuildVer">
    <vt:lpwstr>2052-12.1.0.21171</vt:lpwstr>
  </property>
  <property fmtid="{D5CDD505-2E9C-101B-9397-08002B2CF9AE}" pid="4" name="ICV">
    <vt:lpwstr>A9B951A6DDFD49689EDE848DDFF55887_12</vt:lpwstr>
  </property>
</Properties>
</file>