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2DDA4">
      <w:pPr>
        <w:widowControl/>
        <w:jc w:val="center"/>
        <w:rPr>
          <w:rFonts w:ascii="宋体" w:hAnsi="宋体" w:eastAsia="宋体" w:cs="宋体"/>
          <w:b/>
          <w:bCs/>
          <w:kern w:val="0"/>
          <w:sz w:val="44"/>
          <w:szCs w:val="44"/>
        </w:rPr>
      </w:pPr>
    </w:p>
    <w:p w14:paraId="537DAA47">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隆尧县魏家庄镇人民政府</w:t>
      </w:r>
    </w:p>
    <w:p w14:paraId="27B64565">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2021年魏家庄镇服务群众专项经费项目</w:t>
      </w:r>
    </w:p>
    <w:p w14:paraId="1B7BC39A">
      <w:pPr>
        <w:widowControl/>
        <w:jc w:val="center"/>
        <w:rPr>
          <w:rFonts w:ascii="宋体" w:hAnsi="宋体" w:eastAsia="宋体" w:cs="宋体"/>
          <w:b/>
          <w:bCs/>
          <w:kern w:val="0"/>
          <w:sz w:val="44"/>
          <w:szCs w:val="44"/>
        </w:rPr>
      </w:pPr>
      <w:r>
        <w:rPr>
          <w:rFonts w:hint="eastAsia" w:ascii="宋体" w:hAnsi="宋体" w:eastAsia="宋体" w:cs="宋体"/>
          <w:b/>
          <w:bCs/>
          <w:kern w:val="0"/>
          <w:sz w:val="44"/>
          <w:szCs w:val="44"/>
        </w:rPr>
        <w:t>绩效评价自评报告</w:t>
      </w:r>
    </w:p>
    <w:p w14:paraId="760BA2D7">
      <w:pPr>
        <w:widowControl/>
        <w:rPr>
          <w:rFonts w:ascii="黑体" w:hAnsi="黑体" w:eastAsia="黑体" w:cs="宋体"/>
          <w:b/>
          <w:bCs/>
          <w:kern w:val="0"/>
          <w:sz w:val="44"/>
          <w:szCs w:val="44"/>
        </w:rPr>
      </w:pPr>
    </w:p>
    <w:p w14:paraId="3772FF47">
      <w:pPr>
        <w:pStyle w:val="8"/>
        <w:widowControl/>
        <w:numPr>
          <w:ilvl w:val="0"/>
          <w:numId w:val="1"/>
        </w:numPr>
        <w:ind w:firstLineChars="0"/>
        <w:rPr>
          <w:rFonts w:ascii="黑体" w:hAnsi="黑体" w:eastAsia="黑体" w:cs="宋体"/>
          <w:b/>
          <w:bCs/>
          <w:kern w:val="0"/>
          <w:sz w:val="32"/>
          <w:szCs w:val="32"/>
        </w:rPr>
      </w:pPr>
      <w:r>
        <w:rPr>
          <w:rFonts w:hint="eastAsia" w:ascii="黑体" w:hAnsi="黑体" w:eastAsia="黑体" w:cs="宋体"/>
          <w:b/>
          <w:bCs/>
          <w:kern w:val="0"/>
          <w:sz w:val="32"/>
          <w:szCs w:val="32"/>
        </w:rPr>
        <w:t>项目概况</w:t>
      </w:r>
    </w:p>
    <w:p w14:paraId="04E97005">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2021年为确保村级事业正常</w:t>
      </w:r>
      <w:bookmarkStart w:id="0" w:name="_GoBack"/>
      <w:bookmarkEnd w:id="0"/>
      <w:r>
        <w:rPr>
          <w:rFonts w:hint="eastAsia" w:ascii="仿宋" w:hAnsi="仿宋" w:eastAsia="仿宋" w:cs="宋体"/>
          <w:kern w:val="0"/>
          <w:sz w:val="32"/>
          <w:szCs w:val="32"/>
        </w:rPr>
        <w:t>运转，镇政府年初制定</w:t>
      </w:r>
      <w:r>
        <w:rPr>
          <w:rFonts w:ascii="仿宋" w:hAnsi="仿宋" w:eastAsia="仿宋" w:cs="宋体"/>
          <w:kern w:val="0"/>
          <w:sz w:val="32"/>
          <w:szCs w:val="32"/>
        </w:rPr>
        <w:t>125</w:t>
      </w:r>
      <w:r>
        <w:rPr>
          <w:rFonts w:hint="eastAsia" w:ascii="仿宋" w:hAnsi="仿宋" w:eastAsia="仿宋" w:cs="宋体"/>
          <w:kern w:val="0"/>
          <w:sz w:val="32"/>
          <w:szCs w:val="32"/>
        </w:rPr>
        <w:t>万元预算，用于村级服务群众专项经费，此项经费主要用于2</w:t>
      </w:r>
      <w:r>
        <w:rPr>
          <w:rFonts w:ascii="仿宋" w:hAnsi="仿宋" w:eastAsia="仿宋" w:cs="宋体"/>
          <w:kern w:val="0"/>
          <w:sz w:val="32"/>
          <w:szCs w:val="32"/>
        </w:rPr>
        <w:t>5</w:t>
      </w:r>
      <w:r>
        <w:rPr>
          <w:rFonts w:hint="eastAsia" w:ascii="仿宋" w:hAnsi="仿宋" w:eastAsia="仿宋" w:cs="宋体"/>
          <w:kern w:val="0"/>
          <w:sz w:val="32"/>
          <w:szCs w:val="32"/>
        </w:rPr>
        <w:t>个行政村的综合服务站建设、服务群众、人居环境治理等开支。</w:t>
      </w:r>
    </w:p>
    <w:p w14:paraId="51B8134B">
      <w:pPr>
        <w:widowControl/>
        <w:rPr>
          <w:rFonts w:ascii="仿宋" w:hAnsi="仿宋" w:eastAsia="仿宋" w:cs="宋体"/>
          <w:kern w:val="0"/>
          <w:sz w:val="32"/>
          <w:szCs w:val="32"/>
        </w:rPr>
      </w:pPr>
      <w:r>
        <w:rPr>
          <w:rFonts w:hint="eastAsia" w:cs="宋体" w:asciiTheme="minorEastAsia" w:hAnsiTheme="minorEastAsia"/>
          <w:kern w:val="0"/>
          <w:sz w:val="32"/>
          <w:szCs w:val="32"/>
        </w:rPr>
        <w:t>（</w:t>
      </w:r>
      <w:r>
        <w:rPr>
          <w:rFonts w:hint="eastAsia" w:ascii="仿宋" w:hAnsi="仿宋" w:eastAsia="仿宋" w:cs="宋体"/>
          <w:kern w:val="0"/>
          <w:sz w:val="32"/>
          <w:szCs w:val="32"/>
        </w:rPr>
        <w:t>一）政府战略规划或目标。</w:t>
      </w:r>
    </w:p>
    <w:p w14:paraId="30390F4B">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总目标：隆尧县魏家庄镇人民政府为镇政府工作部门，机构规格正科级，位于隆尧县魏家庄镇魏家庄村迎宾路4</w:t>
      </w:r>
      <w:r>
        <w:rPr>
          <w:rFonts w:ascii="仿宋" w:hAnsi="仿宋" w:eastAsia="仿宋" w:cs="宋体"/>
          <w:kern w:val="0"/>
          <w:sz w:val="32"/>
          <w:szCs w:val="32"/>
        </w:rPr>
        <w:t>7</w:t>
      </w:r>
      <w:r>
        <w:rPr>
          <w:rFonts w:hint="eastAsia" w:ascii="仿宋" w:hAnsi="仿宋" w:eastAsia="仿宋" w:cs="宋体"/>
          <w:kern w:val="0"/>
          <w:sz w:val="32"/>
          <w:szCs w:val="32"/>
        </w:rPr>
        <w:t>号，镇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1DC90F8C">
      <w:pPr>
        <w:widowControl/>
        <w:rPr>
          <w:rFonts w:ascii="仿宋" w:hAnsi="仿宋" w:eastAsia="仿宋" w:cs="宋体"/>
          <w:kern w:val="0"/>
          <w:sz w:val="32"/>
          <w:szCs w:val="32"/>
        </w:rPr>
      </w:pPr>
      <w:r>
        <w:rPr>
          <w:rFonts w:hint="eastAsia" w:ascii="仿宋" w:hAnsi="仿宋" w:eastAsia="仿宋" w:cs="宋体"/>
          <w:kern w:val="0"/>
          <w:sz w:val="32"/>
          <w:szCs w:val="32"/>
        </w:rPr>
        <w:t xml:space="preserve">  （二）单位工作目标。</w:t>
      </w:r>
    </w:p>
    <w:p w14:paraId="0D83B5FD">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保证2</w:t>
      </w:r>
      <w:r>
        <w:rPr>
          <w:rFonts w:ascii="仿宋" w:hAnsi="仿宋" w:eastAsia="仿宋" w:cs="宋体"/>
          <w:kern w:val="0"/>
          <w:sz w:val="32"/>
          <w:szCs w:val="32"/>
        </w:rPr>
        <w:t>5</w:t>
      </w:r>
      <w:r>
        <w:rPr>
          <w:rFonts w:hint="eastAsia" w:ascii="仿宋" w:hAnsi="仿宋" w:eastAsia="仿宋" w:cs="宋体"/>
          <w:kern w:val="0"/>
          <w:sz w:val="32"/>
          <w:szCs w:val="32"/>
        </w:rPr>
        <w:t>个行政村村级事务的正常运转，村级各项工作的顺利进行。</w:t>
      </w:r>
    </w:p>
    <w:p w14:paraId="45662588">
      <w:pPr>
        <w:widowControl/>
        <w:rPr>
          <w:rFonts w:ascii="仿宋" w:hAnsi="仿宋" w:eastAsia="仿宋" w:cs="宋体"/>
          <w:kern w:val="0"/>
          <w:sz w:val="32"/>
          <w:szCs w:val="32"/>
        </w:rPr>
      </w:pPr>
      <w:r>
        <w:rPr>
          <w:rFonts w:hint="eastAsia" w:ascii="仿宋" w:hAnsi="仿宋" w:eastAsia="仿宋" w:cs="宋体"/>
          <w:kern w:val="0"/>
          <w:sz w:val="32"/>
          <w:szCs w:val="32"/>
        </w:rPr>
        <w:t xml:space="preserve">  （三）工作活动(项目)基本情况。</w:t>
      </w:r>
    </w:p>
    <w:p w14:paraId="4A98474F">
      <w:pPr>
        <w:widowControl/>
        <w:ind w:firstLine="470" w:firstLineChars="147"/>
        <w:rPr>
          <w:rFonts w:ascii="仿宋" w:hAnsi="仿宋" w:eastAsia="仿宋" w:cs="宋体"/>
          <w:kern w:val="0"/>
          <w:sz w:val="32"/>
          <w:szCs w:val="32"/>
        </w:rPr>
      </w:pPr>
      <w:r>
        <w:rPr>
          <w:rFonts w:hint="eastAsia" w:ascii="仿宋" w:hAnsi="仿宋" w:eastAsia="仿宋" w:cs="宋体"/>
          <w:kern w:val="0"/>
          <w:sz w:val="32"/>
          <w:szCs w:val="32"/>
        </w:rPr>
        <w:t>魏家庄镇共有</w:t>
      </w:r>
      <w:r>
        <w:rPr>
          <w:rFonts w:ascii="仿宋" w:hAnsi="仿宋" w:eastAsia="仿宋" w:cs="宋体"/>
          <w:kern w:val="0"/>
          <w:sz w:val="32"/>
          <w:szCs w:val="32"/>
        </w:rPr>
        <w:t>36532</w:t>
      </w:r>
      <w:r>
        <w:rPr>
          <w:rFonts w:hint="eastAsia" w:ascii="仿宋" w:hAnsi="仿宋" w:eastAsia="仿宋" w:cs="宋体"/>
          <w:kern w:val="0"/>
          <w:sz w:val="32"/>
          <w:szCs w:val="32"/>
        </w:rPr>
        <w:t>人，共辖</w:t>
      </w:r>
      <w:r>
        <w:rPr>
          <w:rFonts w:ascii="仿宋" w:hAnsi="仿宋" w:eastAsia="仿宋" w:cs="宋体"/>
          <w:kern w:val="0"/>
          <w:sz w:val="32"/>
          <w:szCs w:val="32"/>
        </w:rPr>
        <w:t>25</w:t>
      </w:r>
      <w:r>
        <w:rPr>
          <w:rFonts w:hint="eastAsia" w:ascii="仿宋" w:hAnsi="仿宋" w:eastAsia="仿宋" w:cs="宋体"/>
          <w:kern w:val="0"/>
          <w:sz w:val="32"/>
          <w:szCs w:val="32"/>
        </w:rPr>
        <w:t>个村，村级转移支付/服务群众专项经费共</w:t>
      </w:r>
      <w:r>
        <w:rPr>
          <w:rFonts w:ascii="仿宋" w:hAnsi="仿宋" w:eastAsia="仿宋" w:cs="宋体"/>
          <w:kern w:val="0"/>
          <w:sz w:val="32"/>
          <w:szCs w:val="32"/>
        </w:rPr>
        <w:t>125</w:t>
      </w:r>
      <w:r>
        <w:rPr>
          <w:rFonts w:hint="eastAsia" w:ascii="仿宋" w:hAnsi="仿宋" w:eastAsia="仿宋" w:cs="宋体"/>
          <w:kern w:val="0"/>
          <w:sz w:val="32"/>
          <w:szCs w:val="32"/>
        </w:rPr>
        <w:t>万元，用于辖区内各个行政村完成上级交办和下达的各项工作任务及服务群众建设，切实履行法律规定的各项权利和义务，保障村级事务正常运转。</w:t>
      </w:r>
    </w:p>
    <w:p w14:paraId="35CA9DB6">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二、工作活动(项目)绩效目标和指标设定情况</w:t>
      </w:r>
    </w:p>
    <w:p w14:paraId="39111C72">
      <w:pPr>
        <w:widowControl/>
        <w:rPr>
          <w:rFonts w:ascii="仿宋" w:hAnsi="仿宋" w:eastAsia="仿宋" w:cs="宋体"/>
          <w:kern w:val="0"/>
          <w:sz w:val="32"/>
          <w:szCs w:val="32"/>
        </w:rPr>
      </w:pPr>
      <w:r>
        <w:rPr>
          <w:rFonts w:hint="eastAsia" w:ascii="仿宋" w:hAnsi="仿宋" w:eastAsia="仿宋" w:cs="宋体"/>
          <w:kern w:val="0"/>
          <w:sz w:val="32"/>
          <w:szCs w:val="32"/>
        </w:rPr>
        <w:t xml:space="preserve"> （一）工作活动(项目)总目标、年度目标设定情况。</w:t>
      </w:r>
    </w:p>
    <w:p w14:paraId="34BE9721">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1、镇政府用文件的形式将村级转移支付资金根据各村人口、地域、土地面积、历史等各项因素科学合理的将所有资金分配到各行政村，做到公平公正公开透明。</w:t>
      </w:r>
    </w:p>
    <w:p w14:paraId="0EB8951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2、制定村级财务制度，资金由镇财政按时用银行</w:t>
      </w:r>
      <w:r>
        <w:rPr>
          <w:rFonts w:hint="eastAsia" w:ascii="仿宋" w:hAnsi="仿宋" w:eastAsia="仿宋" w:cs="宋体"/>
          <w:kern w:val="0"/>
          <w:sz w:val="32"/>
          <w:szCs w:val="32"/>
          <w:lang w:eastAsia="zh-CN"/>
        </w:rPr>
        <w:t>转账</w:t>
      </w:r>
      <w:r>
        <w:rPr>
          <w:rFonts w:hint="eastAsia" w:ascii="仿宋" w:hAnsi="仿宋" w:eastAsia="仿宋" w:cs="宋体"/>
          <w:kern w:val="0"/>
          <w:sz w:val="32"/>
          <w:szCs w:val="32"/>
        </w:rPr>
        <w:t>的方式将资金拨付到各村</w:t>
      </w:r>
      <w:r>
        <w:rPr>
          <w:rFonts w:hint="eastAsia" w:ascii="仿宋" w:hAnsi="仿宋" w:eastAsia="仿宋" w:cs="宋体"/>
          <w:kern w:val="0"/>
          <w:sz w:val="32"/>
          <w:szCs w:val="32"/>
          <w:lang w:eastAsia="zh-CN"/>
        </w:rPr>
        <w:t>账户</w:t>
      </w:r>
      <w:r>
        <w:rPr>
          <w:rFonts w:hint="eastAsia" w:ascii="仿宋" w:hAnsi="仿宋" w:eastAsia="仿宋" w:cs="宋体"/>
          <w:kern w:val="0"/>
          <w:sz w:val="32"/>
          <w:szCs w:val="32"/>
        </w:rPr>
        <w:t>，保证了资金的安全。</w:t>
      </w:r>
    </w:p>
    <w:p w14:paraId="70DB1B39">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3、制定村级目标考核制度，对村主要工作职责和政府中心工作纳入绩效考核。</w:t>
      </w:r>
    </w:p>
    <w:p w14:paraId="050F5124">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4、各村年初向镇党委政府递交了年度经济发展计划及中长期经济发展规划。签订了党风廉政建设、计划生育综合治理、社会治安综合治理、安全生产责任状。</w:t>
      </w:r>
    </w:p>
    <w:p w14:paraId="607D0646">
      <w:pPr>
        <w:widowControl/>
        <w:rPr>
          <w:rFonts w:ascii="仿宋" w:hAnsi="仿宋" w:eastAsia="仿宋" w:cs="宋体"/>
          <w:kern w:val="0"/>
          <w:sz w:val="32"/>
          <w:szCs w:val="32"/>
        </w:rPr>
      </w:pPr>
      <w:r>
        <w:rPr>
          <w:rFonts w:hint="eastAsia" w:ascii="仿宋" w:hAnsi="仿宋" w:eastAsia="仿宋" w:cs="宋体"/>
          <w:kern w:val="0"/>
          <w:sz w:val="32"/>
          <w:szCs w:val="32"/>
        </w:rPr>
        <w:t>（二）工作活动(项目)绩效指标设定情况。</w:t>
      </w:r>
    </w:p>
    <w:p w14:paraId="589F51FE">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绩效指标主要包括产出指标（数量指标、质量指标、时效指标）和效果指标（经济效益指标、社会效益指标、可持续发展效益指标）。</w:t>
      </w:r>
    </w:p>
    <w:p w14:paraId="3766827F">
      <w:pPr>
        <w:widowControl/>
        <w:rPr>
          <w:rFonts w:ascii="仿宋" w:hAnsi="仿宋" w:eastAsia="仿宋" w:cs="宋体"/>
          <w:kern w:val="0"/>
          <w:sz w:val="32"/>
          <w:szCs w:val="32"/>
        </w:rPr>
      </w:pPr>
      <w:r>
        <w:rPr>
          <w:rFonts w:hint="eastAsia" w:ascii="仿宋" w:hAnsi="仿宋" w:eastAsia="仿宋" w:cs="宋体"/>
          <w:kern w:val="0"/>
          <w:sz w:val="32"/>
          <w:szCs w:val="32"/>
        </w:rPr>
        <w:t>（三）调整情况。</w:t>
      </w:r>
    </w:p>
    <w:p w14:paraId="39928ACA">
      <w:pPr>
        <w:widowControl/>
        <w:rPr>
          <w:rFonts w:ascii="仿宋" w:hAnsi="仿宋" w:eastAsia="仿宋" w:cs="宋体"/>
          <w:kern w:val="0"/>
          <w:sz w:val="32"/>
          <w:szCs w:val="32"/>
        </w:rPr>
      </w:pPr>
      <w:r>
        <w:rPr>
          <w:rFonts w:hint="eastAsia" w:ascii="仿宋" w:hAnsi="仿宋" w:eastAsia="仿宋" w:cs="宋体"/>
          <w:kern w:val="0"/>
          <w:sz w:val="32"/>
          <w:szCs w:val="32"/>
        </w:rPr>
        <w:t xml:space="preserve"> </w:t>
      </w:r>
      <w:r>
        <w:rPr>
          <w:rFonts w:ascii="仿宋" w:hAnsi="仿宋" w:eastAsia="仿宋" w:cs="宋体"/>
          <w:kern w:val="0"/>
          <w:sz w:val="32"/>
          <w:szCs w:val="32"/>
        </w:rPr>
        <w:t xml:space="preserve">  </w:t>
      </w:r>
      <w:r>
        <w:rPr>
          <w:rFonts w:hint="eastAsia" w:ascii="仿宋" w:hAnsi="仿宋" w:eastAsia="仿宋" w:cs="宋体"/>
          <w:kern w:val="0"/>
          <w:sz w:val="32"/>
          <w:szCs w:val="32"/>
        </w:rPr>
        <w:t>无调整。</w:t>
      </w:r>
    </w:p>
    <w:p w14:paraId="68B98A4F">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三、工作活动(项目)实施绩效管理情况及取得成绩</w:t>
      </w:r>
    </w:p>
    <w:p w14:paraId="1D232673">
      <w:pPr>
        <w:widowControl/>
        <w:ind w:left="105" w:leftChars="50"/>
        <w:rPr>
          <w:rFonts w:ascii="黑体" w:hAnsi="黑体" w:eastAsia="黑体" w:cs="宋体"/>
          <w:b/>
          <w:bCs/>
          <w:kern w:val="0"/>
          <w:sz w:val="32"/>
          <w:szCs w:val="32"/>
        </w:rPr>
      </w:pPr>
      <w:r>
        <w:rPr>
          <w:rFonts w:hint="eastAsia" w:ascii="仿宋" w:hAnsi="仿宋" w:eastAsia="仿宋" w:cs="宋体"/>
          <w:kern w:val="0"/>
          <w:sz w:val="32"/>
          <w:szCs w:val="32"/>
        </w:rPr>
        <w:t>（一）计划制定和落实情况。</w:t>
      </w:r>
    </w:p>
    <w:p w14:paraId="1E2411F3">
      <w:pPr>
        <w:widowControl/>
        <w:ind w:firstLine="640" w:firstLineChars="200"/>
        <w:rPr>
          <w:rFonts w:ascii="仿宋" w:hAnsi="仿宋" w:eastAsia="仿宋" w:cs="宋体"/>
          <w:kern w:val="0"/>
          <w:sz w:val="32"/>
          <w:szCs w:val="32"/>
        </w:rPr>
      </w:pPr>
      <w:r>
        <w:rPr>
          <w:rFonts w:hint="eastAsia" w:ascii="仿宋" w:hAnsi="仿宋" w:eastAsia="仿宋" w:cs="宋体"/>
          <w:kern w:val="0"/>
          <w:sz w:val="32"/>
          <w:szCs w:val="32"/>
        </w:rPr>
        <w:t>为了按照统一规则和标准实施评价工作，更加准确地反映项目单位的绩效实际情况，我们将综合绩效评价级别分为4个等级。具体评价等级分类如下：</w:t>
      </w:r>
    </w:p>
    <w:p w14:paraId="68D155C4">
      <w:pPr>
        <w:widowControl/>
        <w:ind w:left="320"/>
        <w:jc w:val="center"/>
        <w:rPr>
          <w:rFonts w:ascii="仿宋" w:hAnsi="仿宋" w:eastAsia="仿宋" w:cs="宋体"/>
          <w:kern w:val="0"/>
          <w:sz w:val="32"/>
          <w:szCs w:val="32"/>
        </w:rPr>
      </w:pPr>
      <w:r>
        <w:rPr>
          <w:rFonts w:hint="eastAsia" w:ascii="仿宋" w:hAnsi="仿宋" w:eastAsia="仿宋" w:cs="宋体"/>
          <w:kern w:val="0"/>
          <w:sz w:val="32"/>
          <w:szCs w:val="32"/>
        </w:rPr>
        <w:t>绩效评价等级分类表</w:t>
      </w:r>
    </w:p>
    <w:tbl>
      <w:tblPr>
        <w:tblStyle w:val="4"/>
        <w:tblW w:w="8431" w:type="dxa"/>
        <w:tblInd w:w="0" w:type="dxa"/>
        <w:tblLayout w:type="fixed"/>
        <w:tblCellMar>
          <w:top w:w="0" w:type="dxa"/>
          <w:left w:w="0" w:type="dxa"/>
          <w:bottom w:w="0" w:type="dxa"/>
          <w:right w:w="0" w:type="dxa"/>
        </w:tblCellMar>
      </w:tblPr>
      <w:tblGrid>
        <w:gridCol w:w="1437"/>
        <w:gridCol w:w="2105"/>
        <w:gridCol w:w="1807"/>
        <w:gridCol w:w="1413"/>
        <w:gridCol w:w="1669"/>
      </w:tblGrid>
      <w:tr w14:paraId="0F955C73">
        <w:tblPrEx>
          <w:tblCellMar>
            <w:top w:w="0" w:type="dxa"/>
            <w:left w:w="0" w:type="dxa"/>
            <w:bottom w:w="0" w:type="dxa"/>
            <w:right w:w="0" w:type="dxa"/>
          </w:tblCellMar>
        </w:tblPrEx>
        <w:trPr>
          <w:trHeight w:val="440" w:hRule="atLeast"/>
        </w:trPr>
        <w:tc>
          <w:tcPr>
            <w:tcW w:w="1437" w:type="dxa"/>
            <w:tcBorders>
              <w:top w:val="single" w:color="000000" w:sz="8" w:space="0"/>
              <w:left w:val="single" w:color="000000" w:sz="8" w:space="0"/>
              <w:bottom w:val="single" w:color="000000" w:sz="8" w:space="0"/>
              <w:right w:val="single" w:color="000000" w:sz="8" w:space="0"/>
            </w:tcBorders>
            <w:tcMar>
              <w:top w:w="15" w:type="dxa"/>
              <w:left w:w="15" w:type="dxa"/>
              <w:right w:w="15" w:type="dxa"/>
            </w:tcMar>
            <w:vAlign w:val="center"/>
          </w:tcPr>
          <w:p w14:paraId="1722ECEB">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项目</w:t>
            </w:r>
          </w:p>
        </w:tc>
        <w:tc>
          <w:tcPr>
            <w:tcW w:w="2105"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31E7C365">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优</w:t>
            </w:r>
          </w:p>
        </w:tc>
        <w:tc>
          <w:tcPr>
            <w:tcW w:w="1807" w:type="dxa"/>
            <w:tcBorders>
              <w:top w:val="single" w:color="000000" w:sz="8" w:space="0"/>
              <w:left w:val="nil"/>
              <w:bottom w:val="single" w:color="000000" w:sz="8" w:space="0"/>
              <w:right w:val="single" w:color="000000" w:sz="8" w:space="0"/>
            </w:tcBorders>
            <w:tcMar>
              <w:top w:w="15" w:type="dxa"/>
              <w:left w:w="15" w:type="dxa"/>
              <w:right w:w="15" w:type="dxa"/>
            </w:tcMar>
            <w:vAlign w:val="center"/>
          </w:tcPr>
          <w:p w14:paraId="233FD33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良</w:t>
            </w:r>
          </w:p>
        </w:tc>
        <w:tc>
          <w:tcPr>
            <w:tcW w:w="1413" w:type="dxa"/>
            <w:tcBorders>
              <w:top w:val="single" w:color="000000" w:sz="8" w:space="0"/>
              <w:left w:val="nil"/>
              <w:bottom w:val="single" w:color="000000" w:sz="8" w:space="0"/>
              <w:right w:val="nil"/>
            </w:tcBorders>
            <w:tcMar>
              <w:top w:w="15" w:type="dxa"/>
              <w:left w:w="15" w:type="dxa"/>
              <w:right w:w="15" w:type="dxa"/>
            </w:tcMar>
            <w:vAlign w:val="center"/>
          </w:tcPr>
          <w:p w14:paraId="62975A98">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中</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37B6317">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差</w:t>
            </w:r>
          </w:p>
        </w:tc>
      </w:tr>
      <w:tr w14:paraId="45E2CC96">
        <w:tblPrEx>
          <w:tblCellMar>
            <w:top w:w="0" w:type="dxa"/>
            <w:left w:w="0" w:type="dxa"/>
            <w:bottom w:w="0" w:type="dxa"/>
            <w:right w:w="0" w:type="dxa"/>
          </w:tblCellMar>
        </w:tblPrEx>
        <w:trPr>
          <w:trHeight w:val="405" w:hRule="atLeast"/>
        </w:trPr>
        <w:tc>
          <w:tcPr>
            <w:tcW w:w="1437" w:type="dxa"/>
            <w:tcBorders>
              <w:top w:val="nil"/>
              <w:left w:val="single" w:color="000000" w:sz="8" w:space="0"/>
              <w:bottom w:val="single" w:color="000000" w:sz="8" w:space="0"/>
              <w:right w:val="single" w:color="000000" w:sz="8" w:space="0"/>
            </w:tcBorders>
            <w:tcMar>
              <w:top w:w="15" w:type="dxa"/>
              <w:left w:w="15" w:type="dxa"/>
              <w:right w:w="15" w:type="dxa"/>
            </w:tcMar>
            <w:vAlign w:val="center"/>
          </w:tcPr>
          <w:p w14:paraId="70085B40">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分值</w:t>
            </w:r>
          </w:p>
        </w:tc>
        <w:tc>
          <w:tcPr>
            <w:tcW w:w="2105" w:type="dxa"/>
            <w:tcBorders>
              <w:top w:val="nil"/>
              <w:left w:val="nil"/>
              <w:bottom w:val="single" w:color="000000" w:sz="8" w:space="0"/>
              <w:right w:val="single" w:color="000000" w:sz="8" w:space="0"/>
            </w:tcBorders>
            <w:tcMar>
              <w:top w:w="15" w:type="dxa"/>
              <w:left w:w="15" w:type="dxa"/>
              <w:right w:w="15" w:type="dxa"/>
            </w:tcMar>
            <w:vAlign w:val="center"/>
          </w:tcPr>
          <w:p w14:paraId="0BA19E4A">
            <w:pPr>
              <w:widowControl/>
              <w:jc w:val="center"/>
              <w:textAlignment w:val="center"/>
              <w:rPr>
                <w:rFonts w:ascii="宋体" w:hAnsi="宋体" w:eastAsia="宋体" w:cs="仿宋"/>
                <w:color w:val="000000"/>
                <w:sz w:val="32"/>
                <w:szCs w:val="32"/>
              </w:rPr>
            </w:pPr>
            <w:r>
              <w:rPr>
                <w:rFonts w:hint="eastAsia" w:ascii="宋体" w:hAnsi="宋体" w:eastAsia="宋体" w:cs="仿宋"/>
                <w:color w:val="000000"/>
                <w:kern w:val="0"/>
                <w:sz w:val="32"/>
                <w:szCs w:val="32"/>
                <w:lang w:bidi="ar"/>
              </w:rPr>
              <w:t>≥1</w:t>
            </w:r>
            <w:r>
              <w:rPr>
                <w:rStyle w:val="9"/>
                <w:rFonts w:hint="default" w:ascii="宋体" w:hAnsi="宋体" w:eastAsia="宋体"/>
                <w:sz w:val="32"/>
                <w:szCs w:val="32"/>
                <w:lang w:bidi="ar"/>
              </w:rPr>
              <w:t>00%</w:t>
            </w:r>
          </w:p>
        </w:tc>
        <w:tc>
          <w:tcPr>
            <w:tcW w:w="1807" w:type="dxa"/>
            <w:tcBorders>
              <w:top w:val="nil"/>
              <w:left w:val="nil"/>
              <w:bottom w:val="single" w:color="000000" w:sz="8" w:space="0"/>
              <w:right w:val="single" w:color="000000" w:sz="8" w:space="0"/>
            </w:tcBorders>
            <w:tcMar>
              <w:top w:w="15" w:type="dxa"/>
              <w:left w:w="15" w:type="dxa"/>
              <w:right w:w="15" w:type="dxa"/>
            </w:tcMar>
            <w:vAlign w:val="center"/>
          </w:tcPr>
          <w:p w14:paraId="5242300F">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9</w:t>
            </w:r>
            <w:r>
              <w:rPr>
                <w:rFonts w:ascii="宋体" w:hAnsi="宋体" w:eastAsia="宋体"/>
                <w:kern w:val="0"/>
                <w:sz w:val="32"/>
                <w:szCs w:val="32"/>
              </w:rPr>
              <w:t>0%-99%</w:t>
            </w:r>
          </w:p>
        </w:tc>
        <w:tc>
          <w:tcPr>
            <w:tcW w:w="1413" w:type="dxa"/>
            <w:tcBorders>
              <w:top w:val="nil"/>
              <w:left w:val="nil"/>
              <w:bottom w:val="single" w:color="000000" w:sz="8" w:space="0"/>
              <w:right w:val="nil"/>
            </w:tcBorders>
            <w:tcMar>
              <w:top w:w="15" w:type="dxa"/>
              <w:left w:w="15" w:type="dxa"/>
              <w:right w:w="15" w:type="dxa"/>
            </w:tcMar>
            <w:vAlign w:val="center"/>
          </w:tcPr>
          <w:p w14:paraId="503A8B9C">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8</w:t>
            </w:r>
            <w:r>
              <w:rPr>
                <w:rFonts w:ascii="宋体" w:hAnsi="宋体" w:eastAsia="宋体"/>
                <w:kern w:val="0"/>
                <w:sz w:val="32"/>
                <w:szCs w:val="32"/>
              </w:rPr>
              <w:t>0%-89%</w:t>
            </w:r>
          </w:p>
        </w:tc>
        <w:tc>
          <w:tcPr>
            <w:tcW w:w="166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0AC98B">
            <w:pPr>
              <w:widowControl/>
              <w:jc w:val="center"/>
              <w:textAlignment w:val="center"/>
              <w:rPr>
                <w:rFonts w:ascii="宋体" w:hAnsi="宋体" w:eastAsia="宋体" w:cs="仿宋"/>
                <w:color w:val="000000"/>
                <w:kern w:val="0"/>
                <w:sz w:val="32"/>
                <w:szCs w:val="32"/>
                <w:lang w:bidi="ar"/>
              </w:rPr>
            </w:pPr>
            <w:r>
              <w:rPr>
                <w:rFonts w:hint="eastAsia" w:ascii="宋体" w:hAnsi="宋体" w:eastAsia="宋体" w:cs="仿宋"/>
                <w:color w:val="000000"/>
                <w:kern w:val="0"/>
                <w:sz w:val="32"/>
                <w:szCs w:val="32"/>
                <w:lang w:bidi="ar"/>
              </w:rPr>
              <w:t>&lt;80%</w:t>
            </w:r>
          </w:p>
        </w:tc>
      </w:tr>
    </w:tbl>
    <w:p w14:paraId="6886BE60">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（二）执行绩效监控情况。</w:t>
      </w:r>
    </w:p>
    <w:p w14:paraId="13D408B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按照项目总体目标和年度目标，制定详细可行的工作活动(项目)实施计划，并按节点推进落实，健全完善相关制度。预算批复后，我单位及时制定细化绩效目标，全力推进项目实施，配合县财政部门认真进行项目绩效监控，收集并分析绩效信息，强化绩效管理，确保绩效运行全程可控。</w:t>
      </w:r>
    </w:p>
    <w:p w14:paraId="1442565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（三）资金管理情况。</w:t>
      </w:r>
    </w:p>
    <w:p w14:paraId="76C5A6A5">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项目资金全部为县级资金，已全部到位。项目实施后，资金实际支出100%。</w:t>
      </w:r>
    </w:p>
    <w:p w14:paraId="4FF75645">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（四）绩效管理制度建设及执行情况。</w:t>
      </w:r>
    </w:p>
    <w:p w14:paraId="152C4721">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认真落实上级绩效管理相关制度，细化内控制度，强化管理执行，确保严格落实到位。</w:t>
      </w:r>
    </w:p>
    <w:p w14:paraId="5EB568E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（五）风险管理情况。</w:t>
      </w:r>
    </w:p>
    <w:p w14:paraId="5995E6FE">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 xml:space="preserve"> </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建立风险评估机制，成立风险评估小组，对项目活动存在的风险进行全面、系统和客观评估，实施监督项目进展。</w:t>
      </w:r>
    </w:p>
    <w:p w14:paraId="7086964C">
      <w:pPr>
        <w:widowControl/>
        <w:ind w:firstLine="472" w:firstLineChars="147"/>
        <w:rPr>
          <w:rFonts w:ascii="黑体" w:hAnsi="黑体" w:eastAsia="黑体" w:cs="宋体"/>
          <w:b/>
          <w:bCs/>
          <w:kern w:val="0"/>
          <w:sz w:val="32"/>
          <w:szCs w:val="32"/>
        </w:rPr>
      </w:pPr>
      <w:r>
        <w:rPr>
          <w:rFonts w:hint="eastAsia" w:ascii="黑体" w:hAnsi="黑体" w:eastAsia="黑体" w:cs="宋体"/>
          <w:b/>
          <w:bCs/>
          <w:kern w:val="0"/>
          <w:sz w:val="32"/>
          <w:szCs w:val="32"/>
        </w:rPr>
        <w:t>四、工作活动(项目)绩效自评情况</w:t>
      </w:r>
    </w:p>
    <w:p w14:paraId="7640D1C6">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（一）工作活动(项目)自评组织情况。</w:t>
      </w:r>
    </w:p>
    <w:p w14:paraId="2A90246B">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成立了由单位主管领导任组长，单位财务科室主管任副组长财务工作人员为成员的3人工作项目自评小组，负责项目的绩效自评，确保自评工作的客观、真实、全面。</w:t>
      </w:r>
    </w:p>
    <w:p w14:paraId="2FBC95FD">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（二）工作活动(项目)评价结果。</w:t>
      </w:r>
    </w:p>
    <w:p w14:paraId="6FFA55BA">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根据相关要求，对照绩效目标和相关指标，经认真自评，该项目得分100分，属于优秀等次。</w:t>
      </w:r>
    </w:p>
    <w:p w14:paraId="70D2C487">
      <w:pPr>
        <w:widowControl/>
        <w:ind w:firstLine="312" w:firstLineChars="97"/>
        <w:rPr>
          <w:rFonts w:ascii="黑体" w:hAnsi="黑体" w:eastAsia="黑体" w:cs="宋体"/>
          <w:b/>
          <w:bCs/>
          <w:kern w:val="0"/>
          <w:sz w:val="32"/>
          <w:szCs w:val="32"/>
        </w:rPr>
      </w:pPr>
      <w:r>
        <w:rPr>
          <w:rFonts w:hint="eastAsia" w:ascii="黑体" w:hAnsi="黑体" w:eastAsia="黑体" w:cs="宋体"/>
          <w:b/>
          <w:bCs/>
          <w:kern w:val="0"/>
          <w:sz w:val="32"/>
          <w:szCs w:val="32"/>
        </w:rPr>
        <w:t>五、工作活动(项目)存在的问题、改进工作的意见及建议</w:t>
      </w:r>
    </w:p>
    <w:p w14:paraId="60CA6308">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（一）工作活动(项目)实现绩效目标过程中存在的问题。</w:t>
      </w:r>
    </w:p>
    <w:p w14:paraId="3A6EAF0E">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一是各个行政村村情不同，发展不统一，有些行政村底子好，工作见效快，有些行政村工作积极性有，但效果不理想。二是根据项目情况设置绩效目标为“项目目标未具体细化、细化不足”。</w:t>
      </w:r>
    </w:p>
    <w:p w14:paraId="4F460AA3">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（二）工作活动(项目)实施中改进意见及措施。</w:t>
      </w:r>
    </w:p>
    <w:p w14:paraId="3B70AC56">
      <w:pPr>
        <w:widowControl/>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突出问题导向和结果导向，一是坚持政府领导，统一思想，进一步强化村级责任意识，支部书记负总责，两委干部具体落实，层层传导压力，强化工作合力，协调联动落实。二是健全完善工作机制，进一明确村两委职责和村级事务年度目标，实行定期调度推进制度。</w:t>
      </w:r>
    </w:p>
    <w:p w14:paraId="4D12FC29">
      <w:pPr>
        <w:widowControl/>
        <w:ind w:firstLine="320" w:firstLineChars="100"/>
        <w:rPr>
          <w:rFonts w:ascii="仿宋" w:hAnsi="仿宋" w:eastAsia="仿宋" w:cs="宋体"/>
          <w:color w:val="000000"/>
          <w:kern w:val="0"/>
          <w:sz w:val="32"/>
          <w:szCs w:val="32"/>
        </w:rPr>
      </w:pPr>
      <w:r>
        <w:rPr>
          <w:rFonts w:hint="eastAsia" w:ascii="仿宋" w:hAnsi="仿宋" w:eastAsia="仿宋" w:cs="宋体"/>
          <w:color w:val="000000"/>
          <w:kern w:val="0"/>
          <w:sz w:val="32"/>
          <w:szCs w:val="32"/>
        </w:rPr>
        <w:t>（三）建议。</w:t>
      </w:r>
    </w:p>
    <w:p w14:paraId="6FDF40B2">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一是县财政部门加大对绩效预算管理改革和绩效自评相关内容学习培训，进一步各单位提升工作人员绩效评价业务水平，促进高质量财政建设。</w:t>
      </w:r>
    </w:p>
    <w:p w14:paraId="62C1EDB0">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二是提高资金执行率。按规定开展实施村级转移支付项目，加强实施部门预算编制管理工作，如有变更及时上报调整，按时按量完成资金拨付，提高预算资金的针对性和有效性。</w:t>
      </w:r>
    </w:p>
    <w:p w14:paraId="44C8710C">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三是严格执行资金申报，强化资金保障。规范项目申报管理，严格要求项目申报单位按规定提供申报材料、填报项目绩效目标，对不合规的项目申报材料不予受理。</w:t>
      </w:r>
    </w:p>
    <w:p w14:paraId="6C608EC7">
      <w:pPr>
        <w:ind w:firstLine="640" w:firstLineChars="200"/>
        <w:rPr>
          <w:rFonts w:ascii="仿宋" w:hAnsi="仿宋" w:eastAsia="仿宋" w:cs="宋体"/>
          <w:color w:val="000000"/>
          <w:kern w:val="0"/>
          <w:sz w:val="32"/>
          <w:szCs w:val="32"/>
        </w:rPr>
      </w:pPr>
      <w:r>
        <w:rPr>
          <w:rFonts w:hint="eastAsia" w:ascii="仿宋" w:hAnsi="仿宋" w:eastAsia="仿宋" w:cs="宋体"/>
          <w:color w:val="000000"/>
          <w:kern w:val="0"/>
          <w:sz w:val="32"/>
          <w:szCs w:val="32"/>
        </w:rPr>
        <w:t>四是加强绩效评价力度，提高资金使用效益根据非税收入资金项目的特点，研究制定更为科学、合理的绩效指标体系，有针对性地加强对非税收入资金项目执行和经费使用情况的绩效评价考核，促进项目按要求出成果、出效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74EA3"/>
    <w:multiLevelType w:val="multilevel"/>
    <w:tmpl w:val="13874EA3"/>
    <w:lvl w:ilvl="0" w:tentative="0">
      <w:start w:val="1"/>
      <w:numFmt w:val="japaneseCounting"/>
      <w:lvlText w:val="%1、"/>
      <w:lvlJc w:val="left"/>
      <w:pPr>
        <w:ind w:left="1192" w:hanging="720"/>
      </w:pPr>
      <w:rPr>
        <w:rFonts w:hint="default"/>
      </w:rPr>
    </w:lvl>
    <w:lvl w:ilvl="1" w:tentative="0">
      <w:start w:val="1"/>
      <w:numFmt w:val="lowerLetter"/>
      <w:lvlText w:val="%2)"/>
      <w:lvlJc w:val="left"/>
      <w:pPr>
        <w:ind w:left="1312" w:hanging="420"/>
      </w:pPr>
    </w:lvl>
    <w:lvl w:ilvl="2" w:tentative="0">
      <w:start w:val="1"/>
      <w:numFmt w:val="lowerRoman"/>
      <w:lvlText w:val="%3."/>
      <w:lvlJc w:val="right"/>
      <w:pPr>
        <w:ind w:left="1732" w:hanging="420"/>
      </w:pPr>
    </w:lvl>
    <w:lvl w:ilvl="3" w:tentative="0">
      <w:start w:val="1"/>
      <w:numFmt w:val="decimal"/>
      <w:lvlText w:val="%4."/>
      <w:lvlJc w:val="left"/>
      <w:pPr>
        <w:ind w:left="2152" w:hanging="420"/>
      </w:pPr>
    </w:lvl>
    <w:lvl w:ilvl="4" w:tentative="0">
      <w:start w:val="1"/>
      <w:numFmt w:val="lowerLetter"/>
      <w:lvlText w:val="%5)"/>
      <w:lvlJc w:val="left"/>
      <w:pPr>
        <w:ind w:left="2572" w:hanging="420"/>
      </w:pPr>
    </w:lvl>
    <w:lvl w:ilvl="5" w:tentative="0">
      <w:start w:val="1"/>
      <w:numFmt w:val="lowerRoman"/>
      <w:lvlText w:val="%6."/>
      <w:lvlJc w:val="right"/>
      <w:pPr>
        <w:ind w:left="2992" w:hanging="420"/>
      </w:pPr>
    </w:lvl>
    <w:lvl w:ilvl="6" w:tentative="0">
      <w:start w:val="1"/>
      <w:numFmt w:val="decimal"/>
      <w:lvlText w:val="%7."/>
      <w:lvlJc w:val="left"/>
      <w:pPr>
        <w:ind w:left="3412" w:hanging="420"/>
      </w:pPr>
    </w:lvl>
    <w:lvl w:ilvl="7" w:tentative="0">
      <w:start w:val="1"/>
      <w:numFmt w:val="lowerLetter"/>
      <w:lvlText w:val="%8)"/>
      <w:lvlJc w:val="left"/>
      <w:pPr>
        <w:ind w:left="3832" w:hanging="420"/>
      </w:pPr>
    </w:lvl>
    <w:lvl w:ilvl="8" w:tentative="0">
      <w:start w:val="1"/>
      <w:numFmt w:val="lowerRoman"/>
      <w:lvlText w:val="%9."/>
      <w:lvlJc w:val="right"/>
      <w:pPr>
        <w:ind w:left="42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047EA"/>
    <w:rsid w:val="000B6188"/>
    <w:rsid w:val="001D2EAA"/>
    <w:rsid w:val="002C71AF"/>
    <w:rsid w:val="002E23D3"/>
    <w:rsid w:val="0032778B"/>
    <w:rsid w:val="0036746E"/>
    <w:rsid w:val="00452E2F"/>
    <w:rsid w:val="00476898"/>
    <w:rsid w:val="00574E7A"/>
    <w:rsid w:val="0058118E"/>
    <w:rsid w:val="00584A12"/>
    <w:rsid w:val="00661BB7"/>
    <w:rsid w:val="006A012B"/>
    <w:rsid w:val="006C0284"/>
    <w:rsid w:val="00710200"/>
    <w:rsid w:val="00732C10"/>
    <w:rsid w:val="00767F1C"/>
    <w:rsid w:val="0078532C"/>
    <w:rsid w:val="0078637C"/>
    <w:rsid w:val="007A1805"/>
    <w:rsid w:val="008A423E"/>
    <w:rsid w:val="008A68C7"/>
    <w:rsid w:val="008E0144"/>
    <w:rsid w:val="009B79B6"/>
    <w:rsid w:val="009C2B29"/>
    <w:rsid w:val="009E7E4A"/>
    <w:rsid w:val="00A17715"/>
    <w:rsid w:val="00B02EC7"/>
    <w:rsid w:val="00B05C53"/>
    <w:rsid w:val="00B8207B"/>
    <w:rsid w:val="00C047EA"/>
    <w:rsid w:val="00C27BAC"/>
    <w:rsid w:val="00C422D3"/>
    <w:rsid w:val="00C569E2"/>
    <w:rsid w:val="00C75D9F"/>
    <w:rsid w:val="00C91487"/>
    <w:rsid w:val="00CA444D"/>
    <w:rsid w:val="00CF1CDC"/>
    <w:rsid w:val="00D369D7"/>
    <w:rsid w:val="00D432C4"/>
    <w:rsid w:val="00D4578E"/>
    <w:rsid w:val="00E160B9"/>
    <w:rsid w:val="00F53551"/>
    <w:rsid w:val="00F606CB"/>
    <w:rsid w:val="00FC3534"/>
    <w:rsid w:val="00FE09BC"/>
    <w:rsid w:val="0708526E"/>
    <w:rsid w:val="62EC5D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 w:type="character" w:customStyle="1" w:styleId="9">
    <w:name w:val="font41"/>
    <w:uiPriority w:val="0"/>
    <w:rPr>
      <w:rFonts w:hint="eastAsia"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2275</Words>
  <Characters>2316</Characters>
  <Lines>16</Lines>
  <Paragraphs>4</Paragraphs>
  <TotalTime>165</TotalTime>
  <ScaleCrop>false</ScaleCrop>
  <LinksUpToDate>false</LinksUpToDate>
  <CharactersWithSpaces>2328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2022-03-02T02:51:00Z</dcterms:created>
  <dc:creator>lenovo</dc:creator>
  <cp:lastModifiedBy>李孟泽</cp:lastModifiedBy>
  <cp:lastPrinted>2022-03-03T03:27:00Z</cp:lastPrinted>
  <dcterms:modified xsi:type="dcterms:W3CDTF">2025-05-27T09:41:59Z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eyJoZGlkIjoiYTUwN2VjYjRjODZlZTA4YTFlNDAwZGFlODhhNTZhN2EiLCJ1c2VySWQiOiI0MDgxMDA0MzUifQ==</vt:lpwstr>
  </property>
  <property fmtid="{D5CDD505-2E9C-101B-9397-08002B2CF9AE}" pid="3" name="KSOProductBuildVer">
    <vt:lpwstr>2052-12.1.0.21171</vt:lpwstr>
  </property>
  <property fmtid="{D5CDD505-2E9C-101B-9397-08002B2CF9AE}" pid="4" name="ICV">
    <vt:lpwstr>5C95DA18077D42CEB88D1D064476CBA0_12</vt:lpwstr>
  </property>
</Properties>
</file>