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eastAsia="方正小标宋_GBK"/>
          <w:vanish w:val="0"/>
          <w:kern w:val="2"/>
          <w:sz w:val="44"/>
          <w:szCs w:val="44"/>
        </w:rPr>
      </w:pPr>
    </w:p>
    <w:p>
      <w:pPr>
        <w:spacing w:line="560" w:lineRule="exact"/>
        <w:jc w:val="center"/>
        <w:rPr>
          <w:rFonts w:hint="default" w:ascii="CESI仿宋-GB2312" w:eastAsia="方正小标宋_GBK"/>
          <w:vanish w:val="0"/>
          <w:kern w:val="2"/>
          <w:sz w:val="32"/>
          <w:szCs w:val="32"/>
          <w:lang w:val="en-US" w:eastAsia="zh-CN"/>
        </w:rPr>
      </w:pPr>
      <w:r>
        <w:rPr>
          <w:rFonts w:ascii="方正小标宋_GBK" w:eastAsia="方正小标宋_GBK"/>
          <w:vanish w:val="0"/>
          <w:kern w:val="2"/>
          <w:sz w:val="44"/>
          <w:szCs w:val="44"/>
        </w:rPr>
        <w:t>隆尧县</w:t>
      </w:r>
      <w:r>
        <w:rPr>
          <w:rFonts w:hint="eastAsia" w:ascii="方正小标宋_GBK" w:eastAsia="方正小标宋_GBK"/>
          <w:vanish w:val="0"/>
          <w:kern w:val="2"/>
          <w:sz w:val="44"/>
          <w:szCs w:val="44"/>
        </w:rPr>
        <w:t>水务局涉企行政检查计划</w:t>
      </w:r>
      <w:r>
        <w:rPr>
          <w:rFonts w:hint="eastAsia" w:ascii="方正小标宋_GBK" w:eastAsia="方正小标宋_GBK"/>
          <w:vanish w:val="0"/>
          <w:kern w:val="2"/>
          <w:sz w:val="44"/>
          <w:szCs w:val="44"/>
          <w:lang w:val="en-US" w:eastAsia="zh-CN"/>
        </w:rPr>
        <w:t>及频次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hint="eastAsia" w:ascii="CESI仿宋-GB2312" w:eastAsia="CESI仿宋-GB2312"/>
          <w:vanish w:val="0"/>
          <w:kern w:val="2"/>
          <w:sz w:val="32"/>
          <w:szCs w:val="32"/>
        </w:rPr>
      </w:pPr>
    </w:p>
    <w:p>
      <w:pPr>
        <w:spacing w:line="560" w:lineRule="exact"/>
        <w:ind w:firstLine="640" w:firstLineChars="200"/>
        <w:jc w:val="left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为了规范政府部门的执法行为，优化营商环境、减轻企业负担，减少对企业正常生产经营活动的干扰，提高执法效率和透明度，我局向社会公开2025年度涉企行政检查计划，接受社会监督。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  <w:t>一、检查内容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1.对取用水行为的行政检查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2.对河道管理范围内有关活动（不含河道采砂）的行政检查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3.对河道管理范围内建设项目的行政检查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4.对需要申请非防洪建设项目洪水影响评价报告审批的行政检查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5.对河道采砂的行政检查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6.对围垦河道的行政检查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7.对生产建设项目水土保持的行政检查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  <w:t>二、检查方式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1.现场检查：执法人员到企业现场进行检查。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2.书面检查：要求企业提供相关资料进行审查。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3.联合检查：多个部门联合进行综合检查。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4.随机抽查：通过双随机平台随机确定检查对象和检查人员。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  <w:t>三、检查时间和频次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2025年度每季度安排检查</w:t>
      </w:r>
      <w:r>
        <w:rPr>
          <w:rFonts w:ascii="仿宋" w:hAnsi="仿宋" w:eastAsia="仿宋" w:cs="仿宋"/>
          <w:vanish w:val="0"/>
          <w:kern w:val="2"/>
          <w:sz w:val="32"/>
          <w:szCs w:val="32"/>
        </w:rPr>
        <w:t>3-4</w:t>
      </w: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次，年度同一检查事项不超过2次。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临时检查：根据举报、投诉或突发事件进行临时检查。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  <w:t>四、检查流程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1.制定计划：根据年度计划和季度安排，开展具体的检查计划。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2.通知企业：提前通知被检查企业，告知检查时间、内容和所需资料。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3.实施检查：按照检查计划进行现场或书面检查。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4.记录结果：详细记录检查情况，形成检查报告。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5.反馈意见：将检查结果反馈给企业，并提出整改建议。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6.跟踪整改：对企业的整改情况进行跟踪检查，确保问题得到解决。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7.检查结果处理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整改通知：对发现的问题下达整改通知书，明确整改期限。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行政处罚：对违法违规行为依法进行行政处罚。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信息公开：将检查结果和处理情况向社会公开，接受公众监督。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ascii="仿宋" w:hAnsi="仿宋" w:eastAsia="仿宋" w:cs="仿宋"/>
          <w:vanish w:val="0"/>
          <w:kern w:val="2"/>
          <w:sz w:val="32"/>
          <w:szCs w:val="32"/>
        </w:rPr>
        <w:t>8</w:t>
      </w: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.监督检查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内部监督：上级部门对下级部门的检查工作进行监督。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社会监督：接受企业和公众的监督，设立举报电话和邮箱。</w:t>
      </w:r>
    </w:p>
    <w:p>
      <w:pPr>
        <w:spacing w:line="560" w:lineRule="exact"/>
        <w:ind w:firstLine="643" w:firstLineChars="200"/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vanish w:val="0"/>
          <w:kern w:val="2"/>
          <w:sz w:val="32"/>
          <w:szCs w:val="32"/>
        </w:rPr>
        <w:t>五、其他事项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保密要求：对检查过程中涉及的企业商业秘密进行保密。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廉政建设：严格执行廉政规定，杜绝吃拿卡要等不正之风。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应急预案：制定应急预案，处理检查过程中可能出现的突发事件。</w:t>
      </w:r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suppressLineNumbers w:val="0"/>
        <w:suppressAutoHyphens w:val="0"/>
        <w:spacing w:line="560" w:lineRule="exact"/>
        <w:ind w:firstLine="6400" w:firstLineChars="2000"/>
        <w:jc w:val="left"/>
        <w:rPr>
          <w:rFonts w:hint="eastAsia" w:ascii="仿宋" w:hAnsi="仿宋" w:eastAsia="仿宋" w:cs="仿宋"/>
          <w:i w:val="0"/>
          <w:iCs w:val="0"/>
          <w:caps w:val="0"/>
          <w:smallCaps w:val="0"/>
          <w:vanish w:val="0"/>
          <w:color w:val="404040"/>
          <w:spacing w:val="0"/>
          <w:kern w:val="0"/>
          <w:sz w:val="32"/>
          <w:szCs w:val="32"/>
          <w:shd w:val="clear" w:color="auto" w:fill="FFFFFF"/>
        </w:rPr>
      </w:pPr>
    </w:p>
    <w:p>
      <w:pPr>
        <w:spacing w:line="560" w:lineRule="exact"/>
        <w:ind w:left="210" w:leftChars="100" w:firstLine="4480" w:firstLineChars="14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</w:p>
    <w:p>
      <w:pPr>
        <w:spacing w:line="560" w:lineRule="exact"/>
        <w:ind w:left="210" w:leftChars="100" w:firstLine="4480" w:firstLineChars="14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隆尧县水务局</w:t>
      </w:r>
    </w:p>
    <w:p>
      <w:pPr>
        <w:spacing w:line="560" w:lineRule="exact"/>
        <w:ind w:firstLine="4480" w:firstLineChars="1400"/>
        <w:rPr>
          <w:rFonts w:hint="eastAsia" w:ascii="仿宋" w:hAnsi="仿宋" w:eastAsia="仿宋" w:cs="仿宋"/>
          <w:vanish w:val="0"/>
          <w:kern w:val="2"/>
          <w:sz w:val="32"/>
          <w:szCs w:val="32"/>
        </w:rPr>
      </w:pPr>
      <w:r>
        <w:rPr>
          <w:rFonts w:hint="eastAsia" w:ascii="仿宋" w:hAnsi="仿宋" w:eastAsia="仿宋" w:cs="仿宋"/>
          <w:vanish w:val="0"/>
          <w:kern w:val="2"/>
          <w:sz w:val="32"/>
          <w:szCs w:val="32"/>
        </w:rPr>
        <w:t>2025年4月29日</w:t>
      </w:r>
    </w:p>
    <w:p/>
    <w:sectPr>
      <w:pgSz w:w="11907" w:h="16839"/>
      <w:pgMar w:top="1440" w:right="1800" w:bottom="1440" w:left="1800" w:header="851" w:footer="992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ESI仿宋-GB2312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docVars>
    <w:docVar w:name="commondata" w:val="eyJoZGlkIjoiMWY0MTYxNzJiNmVjZjE4MGVlMjQ1ZjA2MjU3NTU4YjYifQ=="/>
    <w:docVar w:name="KSO_WPS_MARK_KEY" w:val="328a994b-dd74-412d-81e7-5db6b0346958"/>
  </w:docVars>
  <w:rsids>
    <w:rsidRoot w:val="00000000"/>
    <w:rsid w:val="1AA8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Calibri" w:hAnsi="Calibri" w:eastAsia="宋体" w:cs="Times New Roman"/>
      <w:snapToGrid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heading 1 Char"/>
    <w:basedOn w:val="6"/>
    <w:link w:val="2"/>
    <w:qFormat/>
    <w:uiPriority w:val="0"/>
    <w:rPr>
      <w:rFonts w:ascii="Calibri" w:hAnsi="Calibri" w:eastAsia="宋体" w:cs="Times New Roman"/>
      <w:b/>
      <w:bCs/>
      <w:snapToGrid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lang w:val="en-US" w:eastAsia="zh-CN"/>
    </w:rPr>
  </w:style>
  <w:style w:type="character" w:customStyle="1" w:styleId="8">
    <w:name w:val="heading 2 Char"/>
    <w:basedOn w:val="6"/>
    <w:link w:val="3"/>
    <w:uiPriority w:val="0"/>
    <w:rPr>
      <w:rFonts w:ascii="Times New Roman" w:hAnsi="Times New Roman" w:eastAsia="黑体" w:cs="Times New Roman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  <w:style w:type="character" w:customStyle="1" w:styleId="9">
    <w:name w:val="heading 3 Char"/>
    <w:basedOn w:val="6"/>
    <w:link w:val="4"/>
    <w:uiPriority w:val="0"/>
    <w:rPr>
      <w:rFonts w:ascii="Calibri" w:hAnsi="Calibri" w:eastAsia="宋体" w:cs="Times New Roman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F063D64D-CC88-4BEB-BDBC-E27FBC0AF15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3</Pages>
  <Words>777</Words>
  <Characters>808</Characters>
  <Lines>0</Lines>
  <Paragraphs>44</Paragraphs>
  <TotalTime>11</TotalTime>
  <ScaleCrop>false</ScaleCrop>
  <LinksUpToDate>false</LinksUpToDate>
  <CharactersWithSpaces>808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Administrator</cp:lastModifiedBy>
  <dcterms:modified xsi:type="dcterms:W3CDTF">2025-05-08T02:23:16Z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62D067B14D99470A9450DDEAE65D09AD_12</vt:lpwstr>
  </property>
</Properties>
</file>