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65EE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jc w:val="center"/>
        <w:rPr>
          <w:rFonts w:hint="eastAsia" w:ascii="方正小标宋简体" w:hAnsi="方正小标宋简体" w:eastAsia="方正小标宋简体" w:cs="方正小标宋简体"/>
          <w:color w:val="333333"/>
          <w:sz w:val="43"/>
          <w:szCs w:val="43"/>
          <w:lang w:val="en-US" w:eastAsia="zh-CN"/>
        </w:rPr>
      </w:pPr>
      <w:r>
        <w:rPr>
          <w:rFonts w:ascii="方正小标宋简体" w:hAnsi="方正小标宋简体" w:eastAsia="方正小标宋简体" w:cs="方正小标宋简体"/>
          <w:color w:val="333333"/>
          <w:sz w:val="43"/>
          <w:szCs w:val="43"/>
        </w:rPr>
        <w:br w:type="textWrapping"/>
      </w:r>
      <w:r>
        <w:rPr>
          <w:rFonts w:hint="eastAsia" w:ascii="方正小标宋简体" w:hAnsi="方正小标宋简体" w:eastAsia="方正小标宋简体" w:cs="方正小标宋简体"/>
          <w:color w:val="333333"/>
          <w:sz w:val="43"/>
          <w:szCs w:val="43"/>
          <w:lang w:val="en-US" w:eastAsia="zh-CN"/>
        </w:rPr>
        <w:t>隆尧县应急管理局</w:t>
      </w:r>
    </w:p>
    <w:p w14:paraId="285F25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jc w:val="center"/>
        <w:rPr>
          <w:rFonts w:hint="eastAsia" w:ascii="方正小标宋简体" w:hAnsi="方正小标宋简体" w:eastAsia="方正小标宋简体" w:cs="方正小标宋简体"/>
          <w:color w:val="333333"/>
          <w:spacing w:val="-15"/>
          <w:sz w:val="43"/>
          <w:szCs w:val="43"/>
        </w:rPr>
      </w:pPr>
      <w:r>
        <w:rPr>
          <w:rFonts w:hint="eastAsia" w:ascii="方正小标宋简体" w:hAnsi="方正小标宋简体" w:eastAsia="方正小标宋简体" w:cs="方正小标宋简体"/>
          <w:color w:val="333333"/>
          <w:spacing w:val="-15"/>
          <w:sz w:val="43"/>
          <w:szCs w:val="43"/>
        </w:rPr>
        <w:t>关于应急管理领域涉企行政检查频次规定</w:t>
      </w:r>
    </w:p>
    <w:p w14:paraId="4E3559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jc w:val="center"/>
        <w:rPr>
          <w:color w:val="333333"/>
        </w:rPr>
      </w:pPr>
      <w:r>
        <w:rPr>
          <w:rFonts w:hint="eastAsia" w:ascii="方正小标宋简体" w:hAnsi="方正小标宋简体" w:eastAsia="方正小标宋简体" w:cs="方正小标宋简体"/>
          <w:color w:val="333333"/>
          <w:spacing w:val="-15"/>
          <w:sz w:val="43"/>
          <w:szCs w:val="43"/>
        </w:rPr>
        <w:t>的</w:t>
      </w:r>
      <w:r>
        <w:rPr>
          <w:rFonts w:hint="eastAsia" w:ascii="方正小标宋简体" w:hAnsi="方正小标宋简体" w:eastAsia="方正小标宋简体" w:cs="方正小标宋简体"/>
          <w:color w:val="333333"/>
          <w:spacing w:val="-15"/>
          <w:sz w:val="43"/>
          <w:szCs w:val="43"/>
          <w:lang w:val="en-US" w:eastAsia="zh-CN"/>
        </w:rPr>
        <w:t>公</w:t>
      </w:r>
      <w:r>
        <w:rPr>
          <w:rFonts w:hint="eastAsia" w:ascii="方正小标宋简体" w:hAnsi="方正小标宋简体" w:eastAsia="方正小标宋简体" w:cs="方正小标宋简体"/>
          <w:color w:val="333333"/>
          <w:spacing w:val="-15"/>
          <w:sz w:val="43"/>
          <w:szCs w:val="43"/>
        </w:rPr>
        <w:t>告</w:t>
      </w:r>
    </w:p>
    <w:p w14:paraId="719C88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r>
        <w:rPr>
          <w:rFonts w:ascii="仿宋_GB2312" w:hAnsi="Times New Roman" w:eastAsia="仿宋_GB2312" w:cs="仿宋_GB2312"/>
          <w:color w:val="333333"/>
          <w:sz w:val="31"/>
          <w:szCs w:val="31"/>
        </w:rPr>
        <w:t>为认真贯彻落实国家</w:t>
      </w:r>
      <w:r>
        <w:rPr>
          <w:rFonts w:hint="eastAsia" w:ascii="仿宋_GB2312" w:hAnsi="Times New Roman" w:eastAsia="仿宋_GB2312" w:cs="仿宋_GB2312"/>
          <w:color w:val="333333"/>
          <w:sz w:val="31"/>
          <w:szCs w:val="31"/>
          <w:lang w:eastAsia="zh-CN"/>
        </w:rPr>
        <w:t>、</w:t>
      </w:r>
      <w:r>
        <w:rPr>
          <w:rFonts w:hint="eastAsia" w:ascii="仿宋_GB2312" w:hAnsi="Times New Roman" w:eastAsia="仿宋_GB2312" w:cs="仿宋_GB2312"/>
          <w:color w:val="333333"/>
          <w:sz w:val="31"/>
          <w:szCs w:val="31"/>
          <w:lang w:val="en-US" w:eastAsia="zh-CN"/>
        </w:rPr>
        <w:t>省、市</w:t>
      </w:r>
      <w:r>
        <w:rPr>
          <w:rFonts w:ascii="仿宋_GB2312" w:hAnsi="Times New Roman" w:eastAsia="仿宋_GB2312" w:cs="仿宋_GB2312"/>
          <w:color w:val="333333"/>
          <w:sz w:val="31"/>
          <w:szCs w:val="31"/>
        </w:rPr>
        <w:t>关于严格规范涉企行政检查工作部署，进一步提升全</w:t>
      </w:r>
      <w:r>
        <w:rPr>
          <w:rFonts w:hint="eastAsia" w:ascii="仿宋_GB2312" w:hAnsi="Times New Roman" w:eastAsia="仿宋_GB2312" w:cs="仿宋_GB2312"/>
          <w:color w:val="333333"/>
          <w:sz w:val="31"/>
          <w:szCs w:val="31"/>
          <w:lang w:val="en-US" w:eastAsia="zh-CN"/>
        </w:rPr>
        <w:t>县</w:t>
      </w:r>
      <w:r>
        <w:rPr>
          <w:rFonts w:ascii="仿宋_GB2312" w:hAnsi="Times New Roman" w:eastAsia="仿宋_GB2312" w:cs="仿宋_GB2312"/>
          <w:color w:val="333333"/>
          <w:sz w:val="31"/>
          <w:szCs w:val="31"/>
        </w:rPr>
        <w:t>应急管理安全生产执法规范化水平，持续优化法治化营商环境，根据《应急管理部关于严格规范安全生产执法行为的通知》（应急</w:t>
      </w:r>
      <w:r>
        <w:rPr>
          <w:rFonts w:ascii="楷体_GB2312" w:hAnsi="Times New Roman" w:eastAsia="楷体_GB2312" w:cs="楷体_GB2312"/>
          <w:color w:val="333333"/>
          <w:sz w:val="31"/>
          <w:szCs w:val="31"/>
        </w:rPr>
        <w:t>〔</w:t>
      </w:r>
      <w:r>
        <w:rPr>
          <w:rFonts w:hint="default" w:ascii="Times New Roman" w:hAnsi="Times New Roman" w:cs="Times New Roman"/>
          <w:color w:val="333333"/>
          <w:sz w:val="31"/>
          <w:szCs w:val="31"/>
        </w:rPr>
        <w:t>2025</w:t>
      </w:r>
      <w:r>
        <w:rPr>
          <w:rFonts w:hint="eastAsia" w:ascii="楷体_GB2312" w:hAnsi="Times New Roman" w:eastAsia="楷体_GB2312" w:cs="楷体_GB2312"/>
          <w:color w:val="333333"/>
          <w:sz w:val="31"/>
          <w:szCs w:val="31"/>
        </w:rPr>
        <w:t>〕</w:t>
      </w:r>
      <w:r>
        <w:rPr>
          <w:rFonts w:hint="default" w:ascii="Times New Roman" w:hAnsi="Times New Roman" w:cs="Times New Roman"/>
          <w:color w:val="333333"/>
          <w:sz w:val="31"/>
          <w:szCs w:val="31"/>
        </w:rPr>
        <w:t>11</w:t>
      </w:r>
      <w:r>
        <w:rPr>
          <w:rFonts w:hint="eastAsia" w:ascii="仿宋_GB2312" w:hAnsi="Times New Roman" w:eastAsia="仿宋_GB2312" w:cs="仿宋_GB2312"/>
          <w:color w:val="333333"/>
          <w:sz w:val="31"/>
          <w:szCs w:val="31"/>
        </w:rPr>
        <w:t>号）、《国家矿山安全监察局关于严格规范矿山领域安全生产行政执法行为的通知》（矿安</w:t>
      </w:r>
      <w:r>
        <w:rPr>
          <w:rFonts w:hint="eastAsia" w:ascii="楷体_GB2312" w:hAnsi="Times New Roman" w:eastAsia="楷体_GB2312" w:cs="楷体_GB2312"/>
          <w:color w:val="333333"/>
          <w:sz w:val="31"/>
          <w:szCs w:val="31"/>
        </w:rPr>
        <w:t>〔</w:t>
      </w:r>
      <w:r>
        <w:rPr>
          <w:rFonts w:hint="default" w:ascii="Times New Roman" w:hAnsi="Times New Roman" w:cs="Times New Roman"/>
          <w:color w:val="333333"/>
          <w:sz w:val="31"/>
          <w:szCs w:val="31"/>
        </w:rPr>
        <w:t>2025</w:t>
      </w:r>
      <w:r>
        <w:rPr>
          <w:rFonts w:hint="eastAsia" w:ascii="楷体_GB2312" w:hAnsi="Times New Roman" w:eastAsia="楷体_GB2312" w:cs="楷体_GB2312"/>
          <w:color w:val="333333"/>
          <w:sz w:val="31"/>
          <w:szCs w:val="31"/>
        </w:rPr>
        <w:t>〕</w:t>
      </w:r>
      <w:r>
        <w:rPr>
          <w:rFonts w:hint="default" w:ascii="Times New Roman" w:hAnsi="Times New Roman" w:cs="Times New Roman"/>
          <w:color w:val="333333"/>
          <w:sz w:val="31"/>
          <w:szCs w:val="31"/>
        </w:rPr>
        <w:t>14</w:t>
      </w:r>
      <w:r>
        <w:rPr>
          <w:rFonts w:hint="eastAsia" w:ascii="仿宋_GB2312" w:hAnsi="Times New Roman" w:eastAsia="仿宋_GB2312" w:cs="仿宋_GB2312"/>
          <w:color w:val="333333"/>
          <w:sz w:val="31"/>
          <w:szCs w:val="31"/>
        </w:rPr>
        <w:t>号）和河北省人民政府办公厅《印发关于严格规范涉企行政检查实施方案的通知》（冀政办字〔</w:t>
      </w:r>
      <w:r>
        <w:rPr>
          <w:rFonts w:hint="default" w:ascii="Times New Roman" w:hAnsi="Times New Roman" w:cs="Times New Roman"/>
          <w:color w:val="333333"/>
          <w:sz w:val="31"/>
          <w:szCs w:val="31"/>
        </w:rPr>
        <w:t>2025</w:t>
      </w:r>
      <w:r>
        <w:rPr>
          <w:rFonts w:hint="eastAsia" w:ascii="仿宋_GB2312" w:hAnsi="Times New Roman" w:eastAsia="仿宋_GB2312" w:cs="仿宋_GB2312"/>
          <w:color w:val="333333"/>
          <w:sz w:val="31"/>
          <w:szCs w:val="31"/>
        </w:rPr>
        <w:t>〕</w:t>
      </w:r>
      <w:r>
        <w:rPr>
          <w:rFonts w:hint="default" w:ascii="Times New Roman" w:hAnsi="Times New Roman" w:cs="Times New Roman"/>
          <w:color w:val="333333"/>
          <w:sz w:val="31"/>
          <w:szCs w:val="31"/>
        </w:rPr>
        <w:t>12</w:t>
      </w:r>
      <w:r>
        <w:rPr>
          <w:rFonts w:hint="eastAsia" w:ascii="仿宋_GB2312" w:hAnsi="Times New Roman" w:eastAsia="仿宋_GB2312" w:cs="仿宋_GB2312"/>
          <w:color w:val="333333"/>
          <w:sz w:val="31"/>
          <w:szCs w:val="31"/>
        </w:rPr>
        <w:t>号）要求，结合</w:t>
      </w:r>
      <w:r>
        <w:rPr>
          <w:rFonts w:hint="eastAsia" w:ascii="仿宋_GB2312" w:hAnsi="Times New Roman" w:eastAsia="仿宋_GB2312" w:cs="仿宋_GB2312"/>
          <w:color w:val="333333"/>
          <w:sz w:val="31"/>
          <w:szCs w:val="31"/>
          <w:lang w:val="en-US" w:eastAsia="zh-CN"/>
        </w:rPr>
        <w:t>我县</w:t>
      </w:r>
      <w:r>
        <w:rPr>
          <w:rFonts w:hint="eastAsia" w:ascii="仿宋_GB2312" w:hAnsi="Times New Roman" w:eastAsia="仿宋_GB2312" w:cs="仿宋_GB2312"/>
          <w:color w:val="333333"/>
          <w:sz w:val="31"/>
          <w:szCs w:val="31"/>
        </w:rPr>
        <w:t>安全生产工作实际，现将</w:t>
      </w:r>
      <w:r>
        <w:rPr>
          <w:rFonts w:hint="eastAsia" w:ascii="仿宋_GB2312" w:hAnsi="Times New Roman" w:eastAsia="仿宋_GB2312" w:cs="仿宋_GB2312"/>
          <w:color w:val="333333"/>
          <w:sz w:val="31"/>
          <w:szCs w:val="31"/>
          <w:lang w:eastAsia="zh-CN"/>
        </w:rPr>
        <w:t>全县</w:t>
      </w:r>
      <w:r>
        <w:rPr>
          <w:rFonts w:hint="eastAsia" w:ascii="仿宋_GB2312" w:hAnsi="Times New Roman" w:eastAsia="仿宋_GB2312" w:cs="仿宋_GB2312"/>
          <w:color w:val="333333"/>
          <w:sz w:val="31"/>
          <w:szCs w:val="31"/>
        </w:rPr>
        <w:t>应急管理领域涉企行政检查频次公告如下：</w:t>
      </w:r>
    </w:p>
    <w:p w14:paraId="662B61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r>
        <w:rPr>
          <w:rFonts w:ascii="黑体" w:hAnsi="宋体" w:eastAsia="黑体" w:cs="黑体"/>
          <w:color w:val="333333"/>
          <w:sz w:val="31"/>
          <w:szCs w:val="31"/>
        </w:rPr>
        <w:t>一、危险化学品、烟花爆竹、石油天然气开采和工贸等行业领域</w:t>
      </w:r>
    </w:p>
    <w:p w14:paraId="549DC9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r>
        <w:rPr>
          <w:rFonts w:hint="eastAsia" w:ascii="仿宋_GB2312" w:hAnsi="Times New Roman" w:eastAsia="仿宋_GB2312" w:cs="仿宋_GB2312"/>
          <w:color w:val="333333"/>
          <w:sz w:val="31"/>
          <w:szCs w:val="31"/>
        </w:rPr>
        <w:t>危险化学品、烟花爆竹、石油天然气开采和工贸等行业企业按照安全生产标准化等级确定执法检查频次。应急管理部门对同一企业年度内累计现场执法检查不超过</w:t>
      </w:r>
      <w:r>
        <w:rPr>
          <w:rFonts w:hint="default" w:ascii="Times New Roman" w:hAnsi="Times New Roman" w:cs="Times New Roman"/>
          <w:color w:val="333333"/>
          <w:sz w:val="31"/>
          <w:szCs w:val="31"/>
        </w:rPr>
        <w:t>12</w:t>
      </w:r>
      <w:r>
        <w:rPr>
          <w:rFonts w:hint="eastAsia" w:ascii="仿宋_GB2312" w:hAnsi="Times New Roman" w:eastAsia="仿宋_GB2312" w:cs="仿宋_GB2312"/>
          <w:color w:val="333333"/>
          <w:sz w:val="31"/>
          <w:szCs w:val="31"/>
        </w:rPr>
        <w:t>次，其中：对高危行业领域安全生产标准化一级、二级、三级、未进行标准化定级的企业年度内累计执法检查分别不超过</w:t>
      </w:r>
      <w:r>
        <w:rPr>
          <w:rFonts w:hint="default" w:ascii="Times New Roman" w:hAnsi="Times New Roman" w:cs="Times New Roman"/>
          <w:color w:val="333333"/>
          <w:sz w:val="31"/>
          <w:szCs w:val="31"/>
        </w:rPr>
        <w:t>2</w:t>
      </w:r>
      <w:r>
        <w:rPr>
          <w:rFonts w:hint="eastAsia" w:ascii="仿宋_GB2312" w:hAnsi="Times New Roman" w:eastAsia="仿宋_GB2312" w:cs="仿宋_GB2312"/>
          <w:color w:val="333333"/>
          <w:sz w:val="31"/>
          <w:szCs w:val="31"/>
        </w:rPr>
        <w:t>次、</w:t>
      </w:r>
      <w:r>
        <w:rPr>
          <w:rFonts w:hint="default" w:ascii="Times New Roman" w:hAnsi="Times New Roman" w:cs="Times New Roman"/>
          <w:color w:val="333333"/>
          <w:sz w:val="31"/>
          <w:szCs w:val="31"/>
        </w:rPr>
        <w:t>4</w:t>
      </w:r>
      <w:r>
        <w:rPr>
          <w:rFonts w:hint="eastAsia" w:ascii="仿宋_GB2312" w:hAnsi="Times New Roman" w:eastAsia="仿宋_GB2312" w:cs="仿宋_GB2312"/>
          <w:color w:val="333333"/>
          <w:sz w:val="31"/>
          <w:szCs w:val="31"/>
        </w:rPr>
        <w:t>次、</w:t>
      </w:r>
      <w:r>
        <w:rPr>
          <w:rFonts w:hint="default" w:ascii="Times New Roman" w:hAnsi="Times New Roman" w:cs="Times New Roman"/>
          <w:color w:val="333333"/>
          <w:sz w:val="31"/>
          <w:szCs w:val="31"/>
        </w:rPr>
        <w:t>8</w:t>
      </w:r>
      <w:r>
        <w:rPr>
          <w:rFonts w:hint="eastAsia" w:ascii="仿宋_GB2312" w:hAnsi="Times New Roman" w:eastAsia="仿宋_GB2312" w:cs="仿宋_GB2312"/>
          <w:color w:val="333333"/>
          <w:sz w:val="31"/>
          <w:szCs w:val="31"/>
        </w:rPr>
        <w:t>次、</w:t>
      </w:r>
      <w:r>
        <w:rPr>
          <w:rFonts w:hint="default" w:ascii="Times New Roman" w:hAnsi="Times New Roman" w:cs="Times New Roman"/>
          <w:color w:val="333333"/>
          <w:sz w:val="31"/>
          <w:szCs w:val="31"/>
        </w:rPr>
        <w:t>12</w:t>
      </w:r>
      <w:r>
        <w:rPr>
          <w:rFonts w:hint="eastAsia" w:ascii="仿宋_GB2312" w:hAnsi="Times New Roman" w:eastAsia="仿宋_GB2312" w:cs="仿宋_GB2312"/>
          <w:color w:val="333333"/>
          <w:sz w:val="31"/>
          <w:szCs w:val="31"/>
        </w:rPr>
        <w:t>次。对非高危行业领域安全生产标准化一级、二级、三级、未进行标准化定级的企业年度内累计执法检查分别不超过</w:t>
      </w:r>
      <w:r>
        <w:rPr>
          <w:rFonts w:hint="default" w:ascii="Times New Roman" w:hAnsi="Times New Roman" w:cs="Times New Roman"/>
          <w:color w:val="333333"/>
          <w:sz w:val="31"/>
          <w:szCs w:val="31"/>
        </w:rPr>
        <w:t>1</w:t>
      </w:r>
      <w:r>
        <w:rPr>
          <w:rFonts w:hint="eastAsia" w:ascii="仿宋_GB2312" w:hAnsi="Times New Roman" w:eastAsia="仿宋_GB2312" w:cs="仿宋_GB2312"/>
          <w:color w:val="333333"/>
          <w:sz w:val="31"/>
          <w:szCs w:val="31"/>
        </w:rPr>
        <w:t>次、</w:t>
      </w:r>
      <w:r>
        <w:rPr>
          <w:rFonts w:hint="default" w:ascii="Times New Roman" w:hAnsi="Times New Roman" w:cs="Times New Roman"/>
          <w:color w:val="333333"/>
          <w:sz w:val="31"/>
          <w:szCs w:val="31"/>
        </w:rPr>
        <w:t>2</w:t>
      </w:r>
      <w:r>
        <w:rPr>
          <w:rFonts w:hint="eastAsia" w:ascii="仿宋_GB2312" w:hAnsi="Times New Roman" w:eastAsia="仿宋_GB2312" w:cs="仿宋_GB2312"/>
          <w:color w:val="333333"/>
          <w:sz w:val="31"/>
          <w:szCs w:val="31"/>
        </w:rPr>
        <w:t>次、</w:t>
      </w:r>
      <w:r>
        <w:rPr>
          <w:rFonts w:hint="default" w:ascii="Times New Roman" w:hAnsi="Times New Roman" w:cs="Times New Roman"/>
          <w:color w:val="333333"/>
          <w:sz w:val="31"/>
          <w:szCs w:val="31"/>
        </w:rPr>
        <w:t>4</w:t>
      </w:r>
      <w:r>
        <w:rPr>
          <w:rFonts w:hint="eastAsia" w:ascii="仿宋_GB2312" w:hAnsi="Times New Roman" w:eastAsia="仿宋_GB2312" w:cs="仿宋_GB2312"/>
          <w:color w:val="333333"/>
          <w:sz w:val="31"/>
          <w:szCs w:val="31"/>
        </w:rPr>
        <w:t>次、</w:t>
      </w:r>
      <w:r>
        <w:rPr>
          <w:rFonts w:hint="default" w:ascii="Times New Roman" w:hAnsi="Times New Roman" w:cs="Times New Roman"/>
          <w:color w:val="333333"/>
          <w:sz w:val="31"/>
          <w:szCs w:val="31"/>
        </w:rPr>
        <w:t>6</w:t>
      </w:r>
      <w:r>
        <w:rPr>
          <w:rFonts w:hint="eastAsia" w:ascii="仿宋_GB2312" w:hAnsi="Times New Roman" w:eastAsia="仿宋_GB2312" w:cs="仿宋_GB2312"/>
          <w:color w:val="333333"/>
          <w:sz w:val="31"/>
          <w:szCs w:val="31"/>
        </w:rPr>
        <w:t>次。</w:t>
      </w:r>
    </w:p>
    <w:p w14:paraId="0A0C21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r>
        <w:rPr>
          <w:rFonts w:hint="eastAsia" w:ascii="黑体" w:hAnsi="宋体" w:eastAsia="黑体" w:cs="黑体"/>
          <w:color w:val="333333"/>
          <w:sz w:val="31"/>
          <w:szCs w:val="31"/>
        </w:rPr>
        <w:t>二、煤矿领域</w:t>
      </w:r>
    </w:p>
    <w:p w14:paraId="6E454F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r>
        <w:rPr>
          <w:rFonts w:hint="eastAsia" w:ascii="仿宋_GB2312" w:hAnsi="Times New Roman" w:eastAsia="仿宋_GB2312" w:cs="仿宋_GB2312"/>
          <w:color w:val="333333"/>
          <w:sz w:val="31"/>
          <w:szCs w:val="31"/>
        </w:rPr>
        <w:t>煤矿按照安全保障程度划分为较高（</w:t>
      </w:r>
      <w:r>
        <w:rPr>
          <w:rFonts w:hint="default" w:ascii="Times New Roman" w:hAnsi="Times New Roman" w:cs="Times New Roman"/>
          <w:color w:val="333333"/>
          <w:sz w:val="31"/>
          <w:szCs w:val="31"/>
        </w:rPr>
        <w:t>A</w:t>
      </w:r>
      <w:r>
        <w:rPr>
          <w:rFonts w:hint="eastAsia" w:ascii="仿宋_GB2312" w:hAnsi="Times New Roman" w:eastAsia="仿宋_GB2312" w:cs="仿宋_GB2312"/>
          <w:color w:val="333333"/>
          <w:sz w:val="31"/>
          <w:szCs w:val="31"/>
        </w:rPr>
        <w:t>类）、一般（</w:t>
      </w:r>
      <w:r>
        <w:rPr>
          <w:rFonts w:hint="default" w:ascii="Times New Roman" w:hAnsi="Times New Roman" w:cs="Times New Roman"/>
          <w:color w:val="333333"/>
          <w:sz w:val="31"/>
          <w:szCs w:val="31"/>
        </w:rPr>
        <w:t>B</w:t>
      </w:r>
      <w:r>
        <w:rPr>
          <w:rFonts w:hint="eastAsia" w:ascii="仿宋_GB2312" w:hAnsi="Times New Roman" w:eastAsia="仿宋_GB2312" w:cs="仿宋_GB2312"/>
          <w:color w:val="333333"/>
          <w:sz w:val="31"/>
          <w:szCs w:val="31"/>
        </w:rPr>
        <w:t>类）、较低（</w:t>
      </w:r>
      <w:r>
        <w:rPr>
          <w:rFonts w:hint="default" w:ascii="Times New Roman" w:hAnsi="Times New Roman" w:cs="Times New Roman"/>
          <w:color w:val="333333"/>
          <w:sz w:val="31"/>
          <w:szCs w:val="31"/>
        </w:rPr>
        <w:t>C</w:t>
      </w:r>
      <w:r>
        <w:rPr>
          <w:rFonts w:hint="eastAsia" w:ascii="仿宋_GB2312" w:hAnsi="Times New Roman" w:eastAsia="仿宋_GB2312" w:cs="仿宋_GB2312"/>
          <w:color w:val="333333"/>
          <w:sz w:val="31"/>
          <w:szCs w:val="31"/>
        </w:rPr>
        <w:t>类）、长期停工停产（</w:t>
      </w:r>
      <w:r>
        <w:rPr>
          <w:rFonts w:hint="default" w:ascii="Times New Roman" w:hAnsi="Times New Roman" w:cs="Times New Roman"/>
          <w:color w:val="333333"/>
          <w:sz w:val="31"/>
          <w:szCs w:val="31"/>
        </w:rPr>
        <w:t>D</w:t>
      </w:r>
      <w:r>
        <w:rPr>
          <w:rFonts w:hint="eastAsia" w:ascii="仿宋_GB2312" w:hAnsi="Times New Roman" w:eastAsia="仿宋_GB2312" w:cs="仿宋_GB2312"/>
          <w:color w:val="333333"/>
          <w:sz w:val="31"/>
          <w:szCs w:val="31"/>
        </w:rPr>
        <w:t>类）等四类。应急管理部门对同一矿山年度内累计现场执法检查不超过</w:t>
      </w:r>
      <w:r>
        <w:rPr>
          <w:rFonts w:hint="default" w:ascii="Times New Roman" w:hAnsi="Times New Roman" w:cs="Times New Roman"/>
          <w:color w:val="333333"/>
          <w:sz w:val="31"/>
          <w:szCs w:val="31"/>
        </w:rPr>
        <w:t>6</w:t>
      </w:r>
      <w:r>
        <w:rPr>
          <w:rFonts w:hint="eastAsia" w:ascii="仿宋_GB2312" w:hAnsi="Times New Roman" w:eastAsia="仿宋_GB2312" w:cs="仿宋_GB2312"/>
          <w:color w:val="333333"/>
          <w:sz w:val="31"/>
          <w:szCs w:val="31"/>
        </w:rPr>
        <w:t>次，其中</w:t>
      </w:r>
      <w:r>
        <w:rPr>
          <w:rFonts w:hint="default" w:ascii="Times New Roman" w:hAnsi="Times New Roman" w:cs="Times New Roman"/>
          <w:color w:val="333333"/>
          <w:sz w:val="31"/>
          <w:szCs w:val="31"/>
        </w:rPr>
        <w:t>:</w:t>
      </w:r>
      <w:r>
        <w:rPr>
          <w:rFonts w:hint="eastAsia" w:ascii="仿宋_GB2312" w:hAnsi="Times New Roman" w:eastAsia="仿宋_GB2312" w:cs="仿宋_GB2312"/>
          <w:color w:val="333333"/>
          <w:sz w:val="31"/>
          <w:szCs w:val="31"/>
        </w:rPr>
        <w:t>对</w:t>
      </w:r>
      <w:r>
        <w:rPr>
          <w:rFonts w:hint="default" w:ascii="Times New Roman" w:hAnsi="Times New Roman" w:cs="Times New Roman"/>
          <w:color w:val="333333"/>
          <w:sz w:val="31"/>
          <w:szCs w:val="31"/>
        </w:rPr>
        <w:t>A</w:t>
      </w:r>
      <w:r>
        <w:rPr>
          <w:rFonts w:hint="eastAsia" w:ascii="仿宋_GB2312" w:hAnsi="Times New Roman" w:eastAsia="仿宋_GB2312" w:cs="仿宋_GB2312"/>
          <w:color w:val="333333"/>
          <w:sz w:val="31"/>
          <w:szCs w:val="31"/>
        </w:rPr>
        <w:t>、</w:t>
      </w:r>
      <w:r>
        <w:rPr>
          <w:rFonts w:hint="default" w:ascii="Times New Roman" w:hAnsi="Times New Roman" w:cs="Times New Roman"/>
          <w:color w:val="333333"/>
          <w:sz w:val="31"/>
          <w:szCs w:val="31"/>
        </w:rPr>
        <w:t>B</w:t>
      </w:r>
      <w:r>
        <w:rPr>
          <w:rFonts w:hint="eastAsia" w:ascii="仿宋_GB2312" w:hAnsi="Times New Roman" w:eastAsia="仿宋_GB2312" w:cs="仿宋_GB2312"/>
          <w:color w:val="333333"/>
          <w:sz w:val="31"/>
          <w:szCs w:val="31"/>
        </w:rPr>
        <w:t>、</w:t>
      </w:r>
      <w:r>
        <w:rPr>
          <w:rFonts w:hint="default" w:ascii="Times New Roman" w:hAnsi="Times New Roman" w:cs="Times New Roman"/>
          <w:color w:val="333333"/>
          <w:sz w:val="31"/>
          <w:szCs w:val="31"/>
        </w:rPr>
        <w:t>C</w:t>
      </w:r>
      <w:r>
        <w:rPr>
          <w:rFonts w:hint="eastAsia" w:ascii="仿宋_GB2312" w:hAnsi="Times New Roman" w:eastAsia="仿宋_GB2312" w:cs="仿宋_GB2312"/>
          <w:color w:val="333333"/>
          <w:sz w:val="31"/>
          <w:szCs w:val="31"/>
        </w:rPr>
        <w:t>、</w:t>
      </w:r>
      <w:r>
        <w:rPr>
          <w:rFonts w:hint="default" w:ascii="Times New Roman" w:hAnsi="Times New Roman" w:cs="Times New Roman"/>
          <w:color w:val="333333"/>
          <w:sz w:val="31"/>
          <w:szCs w:val="31"/>
        </w:rPr>
        <w:t>D</w:t>
      </w:r>
      <w:r>
        <w:rPr>
          <w:rFonts w:hint="eastAsia" w:ascii="仿宋_GB2312" w:hAnsi="Times New Roman" w:eastAsia="仿宋_GB2312" w:cs="仿宋_GB2312"/>
          <w:color w:val="333333"/>
          <w:sz w:val="31"/>
          <w:szCs w:val="31"/>
        </w:rPr>
        <w:t>类煤矿累计检查分别不超过</w:t>
      </w:r>
      <w:r>
        <w:rPr>
          <w:rFonts w:hint="default" w:ascii="Times New Roman" w:hAnsi="Times New Roman" w:cs="Times New Roman"/>
          <w:color w:val="333333"/>
          <w:sz w:val="31"/>
          <w:szCs w:val="31"/>
        </w:rPr>
        <w:t>2</w:t>
      </w:r>
      <w:r>
        <w:rPr>
          <w:rFonts w:hint="eastAsia" w:ascii="仿宋_GB2312" w:hAnsi="Times New Roman" w:eastAsia="仿宋_GB2312" w:cs="仿宋_GB2312"/>
          <w:color w:val="333333"/>
          <w:sz w:val="31"/>
          <w:szCs w:val="31"/>
        </w:rPr>
        <w:t>次、</w:t>
      </w:r>
      <w:r>
        <w:rPr>
          <w:rFonts w:hint="default" w:ascii="Times New Roman" w:hAnsi="Times New Roman" w:cs="Times New Roman"/>
          <w:color w:val="333333"/>
          <w:sz w:val="31"/>
          <w:szCs w:val="31"/>
        </w:rPr>
        <w:t>4</w:t>
      </w:r>
      <w:r>
        <w:rPr>
          <w:rFonts w:hint="eastAsia" w:ascii="仿宋_GB2312" w:hAnsi="Times New Roman" w:eastAsia="仿宋_GB2312" w:cs="仿宋_GB2312"/>
          <w:color w:val="333333"/>
          <w:sz w:val="31"/>
          <w:szCs w:val="31"/>
        </w:rPr>
        <w:t>次、</w:t>
      </w:r>
      <w:r>
        <w:rPr>
          <w:rFonts w:hint="default" w:ascii="Times New Roman" w:hAnsi="Times New Roman" w:cs="Times New Roman"/>
          <w:color w:val="333333"/>
          <w:sz w:val="31"/>
          <w:szCs w:val="31"/>
        </w:rPr>
        <w:t>6</w:t>
      </w:r>
      <w:r>
        <w:rPr>
          <w:rFonts w:hint="eastAsia" w:ascii="仿宋_GB2312" w:hAnsi="Times New Roman" w:eastAsia="仿宋_GB2312" w:cs="仿宋_GB2312"/>
          <w:color w:val="333333"/>
          <w:sz w:val="31"/>
          <w:szCs w:val="31"/>
        </w:rPr>
        <w:t>次、</w:t>
      </w:r>
      <w:r>
        <w:rPr>
          <w:rFonts w:hint="default" w:ascii="Times New Roman" w:hAnsi="Times New Roman" w:cs="Times New Roman"/>
          <w:color w:val="333333"/>
          <w:sz w:val="31"/>
          <w:szCs w:val="31"/>
        </w:rPr>
        <w:t>4</w:t>
      </w:r>
      <w:r>
        <w:rPr>
          <w:rFonts w:hint="eastAsia" w:ascii="仿宋_GB2312" w:hAnsi="Times New Roman" w:eastAsia="仿宋_GB2312" w:cs="仿宋_GB2312"/>
          <w:color w:val="333333"/>
          <w:sz w:val="31"/>
          <w:szCs w:val="31"/>
        </w:rPr>
        <w:t>次。</w:t>
      </w:r>
    </w:p>
    <w:p w14:paraId="6CA635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r>
        <w:rPr>
          <w:rFonts w:hint="eastAsia" w:ascii="黑体" w:hAnsi="宋体" w:eastAsia="黑体" w:cs="黑体"/>
          <w:color w:val="333333"/>
          <w:sz w:val="31"/>
          <w:szCs w:val="31"/>
        </w:rPr>
        <w:t>三、说明</w:t>
      </w:r>
    </w:p>
    <w:p w14:paraId="76421D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620" w:firstLineChars="200"/>
        <w:rPr>
          <w:color w:val="333333"/>
        </w:rPr>
      </w:pPr>
      <w:r>
        <w:rPr>
          <w:rFonts w:hint="default" w:ascii="Times New Roman" w:hAnsi="Times New Roman" w:cs="Times New Roman"/>
          <w:color w:val="333333"/>
          <w:sz w:val="31"/>
          <w:szCs w:val="31"/>
        </w:rPr>
        <w:t>1.</w:t>
      </w:r>
      <w:r>
        <w:rPr>
          <w:rFonts w:hint="eastAsia" w:ascii="仿宋_GB2312" w:hAnsi="Times New Roman" w:eastAsia="仿宋_GB2312" w:cs="仿宋_GB2312"/>
          <w:color w:val="333333"/>
          <w:sz w:val="31"/>
          <w:szCs w:val="31"/>
        </w:rPr>
        <w:t>以上明确的执法检查范围是指</w:t>
      </w:r>
      <w:r>
        <w:rPr>
          <w:rFonts w:hint="eastAsia" w:ascii="仿宋_GB2312" w:hAnsi="Times New Roman" w:eastAsia="仿宋_GB2312" w:cs="仿宋_GB2312"/>
          <w:color w:val="333333"/>
          <w:sz w:val="31"/>
          <w:szCs w:val="31"/>
          <w:lang w:val="en-US" w:eastAsia="zh-CN"/>
        </w:rPr>
        <w:t>隆尧</w:t>
      </w:r>
      <w:bookmarkStart w:id="0" w:name="_GoBack"/>
      <w:bookmarkEnd w:id="0"/>
      <w:r>
        <w:rPr>
          <w:rFonts w:hint="eastAsia" w:ascii="仿宋_GB2312" w:hAnsi="Times New Roman" w:eastAsia="仿宋_GB2312" w:cs="仿宋_GB2312"/>
          <w:color w:val="333333"/>
          <w:sz w:val="31"/>
          <w:szCs w:val="31"/>
          <w:lang w:val="en-US" w:eastAsia="zh-CN"/>
        </w:rPr>
        <w:t>县应急管理综合行政执法大队</w:t>
      </w:r>
      <w:r>
        <w:rPr>
          <w:rFonts w:hint="eastAsia" w:ascii="仿宋_GB2312" w:hAnsi="Times New Roman" w:eastAsia="仿宋_GB2312" w:cs="仿宋_GB2312"/>
          <w:color w:val="333333"/>
          <w:sz w:val="31"/>
          <w:szCs w:val="31"/>
        </w:rPr>
        <w:t>开展的各类检查。根据《国务院办公厅关于严格规范涉企行政检查的意见》（国办发〔</w:t>
      </w:r>
      <w:r>
        <w:rPr>
          <w:rFonts w:hint="default" w:ascii="Times New Roman" w:hAnsi="Times New Roman" w:cs="Times New Roman"/>
          <w:color w:val="333333"/>
          <w:sz w:val="31"/>
          <w:szCs w:val="31"/>
        </w:rPr>
        <w:t>2024</w:t>
      </w:r>
      <w:r>
        <w:rPr>
          <w:rFonts w:hint="eastAsia" w:ascii="仿宋_GB2312" w:hAnsi="Times New Roman" w:eastAsia="仿宋_GB2312" w:cs="仿宋_GB2312"/>
          <w:color w:val="333333"/>
          <w:sz w:val="31"/>
          <w:szCs w:val="31"/>
        </w:rPr>
        <w:t>〕</w:t>
      </w:r>
      <w:r>
        <w:rPr>
          <w:rFonts w:hint="default" w:ascii="Times New Roman" w:hAnsi="Times New Roman" w:cs="Times New Roman"/>
          <w:color w:val="333333"/>
          <w:sz w:val="31"/>
          <w:szCs w:val="31"/>
        </w:rPr>
        <w:t>54</w:t>
      </w:r>
      <w:r>
        <w:rPr>
          <w:rFonts w:hint="eastAsia" w:ascii="仿宋_GB2312" w:hAnsi="Times New Roman" w:eastAsia="仿宋_GB2312" w:cs="仿宋_GB2312"/>
          <w:color w:val="333333"/>
          <w:sz w:val="31"/>
          <w:szCs w:val="31"/>
        </w:rPr>
        <w:t>号）规定，其他任何单位、组织和个人不得实施安全生产执法检查。</w:t>
      </w:r>
    </w:p>
    <w:p w14:paraId="774832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r>
        <w:rPr>
          <w:rFonts w:hint="default" w:ascii="Times New Roman" w:hAnsi="Times New Roman" w:cs="Times New Roman"/>
          <w:color w:val="333333"/>
          <w:sz w:val="31"/>
          <w:szCs w:val="31"/>
        </w:rPr>
        <w:t>2.</w:t>
      </w:r>
      <w:r>
        <w:rPr>
          <w:rFonts w:hint="eastAsia" w:ascii="仿宋_GB2312" w:hAnsi="Times New Roman" w:eastAsia="仿宋_GB2312" w:cs="仿宋_GB2312"/>
          <w:color w:val="333333"/>
          <w:sz w:val="31"/>
          <w:szCs w:val="31"/>
        </w:rPr>
        <w:t>对检查发现的事故隐患整改情况进行复查，不纳入年度执法检查频次控制范围。</w:t>
      </w:r>
    </w:p>
    <w:p w14:paraId="3AE430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r>
        <w:rPr>
          <w:rFonts w:hint="default" w:ascii="Times New Roman" w:hAnsi="Times New Roman" w:cs="Times New Roman"/>
          <w:color w:val="333333"/>
          <w:sz w:val="31"/>
          <w:szCs w:val="31"/>
        </w:rPr>
        <w:t>3.</w:t>
      </w:r>
      <w:r>
        <w:rPr>
          <w:rFonts w:hint="eastAsia" w:ascii="仿宋_GB2312" w:eastAsia="仿宋_GB2312" w:cs="仿宋_GB2312"/>
          <w:color w:val="333333"/>
          <w:sz w:val="31"/>
          <w:szCs w:val="31"/>
        </w:rPr>
        <w:t>根据上级主管部门部署的专项检查计划实施的专项检查，不受</w:t>
      </w:r>
      <w:r>
        <w:rPr>
          <w:rFonts w:hint="eastAsia" w:ascii="仿宋_GB2312" w:hAnsi="Times New Roman" w:eastAsia="仿宋_GB2312" w:cs="仿宋_GB2312"/>
          <w:color w:val="333333"/>
          <w:sz w:val="31"/>
          <w:szCs w:val="31"/>
        </w:rPr>
        <w:t>执法检查频次上限限制。</w:t>
      </w:r>
    </w:p>
    <w:p w14:paraId="06FAB7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r>
        <w:rPr>
          <w:rFonts w:hint="default" w:ascii="Times New Roman" w:hAnsi="Times New Roman" w:cs="Times New Roman"/>
          <w:color w:val="333333"/>
          <w:sz w:val="31"/>
          <w:szCs w:val="31"/>
        </w:rPr>
        <w:t>4.</w:t>
      </w:r>
      <w:r>
        <w:rPr>
          <w:rFonts w:hint="eastAsia" w:ascii="仿宋_GB2312" w:hAnsi="Times New Roman" w:eastAsia="仿宋_GB2312" w:cs="仿宋_GB2312"/>
          <w:color w:val="333333"/>
          <w:sz w:val="31"/>
          <w:szCs w:val="31"/>
        </w:rPr>
        <w:t>根据投诉举报、转办交办、数据监测、隐蔽工作面等线索确需实施的现场核查，或者应企业申请实施的执法检查，不受执法检查频次上限限制。</w:t>
      </w:r>
    </w:p>
    <w:p w14:paraId="59603E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rPr>
          <w:color w:val="333333"/>
        </w:rPr>
      </w:pPr>
    </w:p>
    <w:p w14:paraId="74CE8B1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ESI仿宋-GB18030">
    <w:altName w:val="仿宋"/>
    <w:panose1 w:val="02000500000000000000"/>
    <w:charset w:val="00"/>
    <w:family w:val="auto"/>
    <w:pitch w:val="default"/>
    <w:sig w:usb0="00000000" w:usb1="00000000"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6A715E"/>
    <w:rsid w:val="10CC6994"/>
    <w:rsid w:val="44846113"/>
    <w:rsid w:val="61A23C3A"/>
    <w:rsid w:val="636A715E"/>
    <w:rsid w:val="6BF46376"/>
    <w:rsid w:val="777C7A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840</Words>
  <Characters>862</Characters>
  <Lines>0</Lines>
  <Paragraphs>0</Paragraphs>
  <TotalTime>1</TotalTime>
  <ScaleCrop>false</ScaleCrop>
  <LinksUpToDate>false</LinksUpToDate>
  <CharactersWithSpaces>862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2025-05-07T03:47:00Z</dcterms:created>
  <dc:creator>露露</dc:creator>
  <cp:lastModifiedBy>郭燕喃</cp:lastModifiedBy>
  <dcterms:modified xsi:type="dcterms:W3CDTF">2025-05-08T01:42:18Z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91E39C466D6E4623A31677D247559BDB_13</vt:lpwstr>
  </property>
  <property fmtid="{D5CDD505-2E9C-101B-9397-08002B2CF9AE}" pid="4" name="KSOTemplateDocerSaveRecord">
    <vt:lpwstr>eyJoZGlkIjoiNDQ4OTVkYWUwYzM0NDYxY2FmNDZjZTQxZWVjMjI4ZTMiLCJ1c2VySWQiOiIyNzkyNjQ1MTEifQ==</vt:lpwstr>
  </property>
</Properties>
</file>