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E165BB">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5D515E7">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隆尧县</w:t>
      </w:r>
      <w:r>
        <w:rPr>
          <w:rFonts w:hint="eastAsia" w:ascii="宋体" w:hAnsi="宋体"/>
          <w:b/>
          <w:sz w:val="44"/>
          <w:szCs w:val="44"/>
          <w:lang w:val="en-US" w:eastAsia="zh-CN"/>
        </w:rPr>
        <w:t xml:space="preserve">人力资源和社会保障局             </w:t>
      </w:r>
      <w:r>
        <w:rPr>
          <w:rFonts w:hint="eastAsia" w:ascii="宋体" w:hAnsi="宋体"/>
          <w:b/>
          <w:sz w:val="44"/>
          <w:szCs w:val="44"/>
        </w:rPr>
        <w:t>2021年部门整体支出绩效评价</w:t>
      </w:r>
      <w:r>
        <w:rPr>
          <w:rFonts w:hint="eastAsia" w:ascii="宋体" w:hAnsi="宋体" w:eastAsia="宋体" w:cs="宋体"/>
          <w:b/>
          <w:color w:val="000000"/>
          <w:kern w:val="0"/>
          <w:sz w:val="44"/>
          <w:szCs w:val="44"/>
          <w:shd w:val="clear" w:color="auto" w:fill="FFFFFF"/>
        </w:rPr>
        <w:t>指标体系评分表</w:t>
      </w:r>
    </w:p>
    <w:p w14:paraId="6FCF4839">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val="en-US" w:eastAsia="zh-CN"/>
        </w:rPr>
        <w:t>人社局</w:t>
      </w:r>
      <w:r>
        <w:rPr>
          <w:rFonts w:hint="eastAsia" w:ascii="仿宋" w:hAnsi="仿宋" w:eastAsia="仿宋" w:cs="仿宋"/>
          <w:sz w:val="24"/>
          <w:szCs w:val="24"/>
        </w:rPr>
        <w:t xml:space="preserve"> (公章)         单位负责人:          </w:t>
      </w:r>
    </w:p>
    <w:tbl>
      <w:tblPr>
        <w:tblStyle w:val="9"/>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0979E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07851F2">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827B7C4">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2A21F99">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59A3C99C">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77F7678A">
            <w:pPr>
              <w:widowControl/>
              <w:spacing w:line="240" w:lineRule="exact"/>
              <w:jc w:val="left"/>
              <w:rPr>
                <w:b/>
              </w:rPr>
            </w:pPr>
            <w:r>
              <w:rPr>
                <w:rFonts w:ascii="仿宋_GB2312" w:hAnsi="新宋体" w:eastAsia="仿宋_GB2312" w:cs="仿宋_GB2312"/>
                <w:b/>
                <w:kern w:val="0"/>
                <w:sz w:val="24"/>
                <w:szCs w:val="24"/>
              </w:rPr>
              <w:t>得分</w:t>
            </w:r>
          </w:p>
        </w:tc>
      </w:tr>
      <w:tr w14:paraId="64499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9F675C">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1390580">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3C4B079">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79C1A7EF">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48862CD1">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19954043">
            <w:pPr>
              <w:rPr>
                <w:rFonts w:ascii="宋体"/>
                <w:szCs w:val="21"/>
              </w:rPr>
            </w:pPr>
          </w:p>
        </w:tc>
      </w:tr>
      <w:tr w14:paraId="606DA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1C778629">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1A4FA2CE">
            <w:pPr>
              <w:widowControl/>
              <w:spacing w:line="240" w:lineRule="exact"/>
              <w:jc w:val="left"/>
              <w:rPr>
                <w:rFonts w:hint="default" w:eastAsiaTheme="minorEastAsia"/>
                <w:szCs w:val="21"/>
                <w:lang w:val="en-US" w:eastAsia="zh-CN"/>
              </w:rPr>
            </w:pPr>
            <w:r>
              <w:rPr>
                <w:rFonts w:hint="eastAsia"/>
                <w:szCs w:val="21"/>
                <w:lang w:val="en-US" w:eastAsia="zh-CN"/>
              </w:rPr>
              <w:t>96</w:t>
            </w:r>
          </w:p>
        </w:tc>
      </w:tr>
      <w:tr w14:paraId="155303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03ACED2">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D48B89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51085F36">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4706039D">
            <w:pPr>
              <w:widowControl/>
              <w:spacing w:line="240" w:lineRule="exact"/>
              <w:jc w:val="left"/>
              <w:rPr>
                <w:rFonts w:ascii="仿宋_GB2312" w:hAnsi="新宋体" w:eastAsia="仿宋_GB2312" w:cs="仿宋_GB2312"/>
                <w:kern w:val="0"/>
                <w:szCs w:val="21"/>
              </w:rPr>
            </w:pPr>
          </w:p>
          <w:p w14:paraId="43BC6B6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1289713C">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4CD57AE">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677BAEAA">
            <w:pPr>
              <w:widowControl/>
              <w:spacing w:line="240" w:lineRule="exact"/>
              <w:jc w:val="left"/>
              <w:rPr>
                <w:szCs w:val="21"/>
              </w:rPr>
            </w:pPr>
            <w:r>
              <w:rPr>
                <w:rFonts w:ascii="仿宋_GB2312" w:hAnsi="新宋体" w:eastAsia="仿宋_GB2312" w:cs="仿宋_GB2312"/>
                <w:kern w:val="0"/>
                <w:szCs w:val="21"/>
              </w:rPr>
              <w:t>符合（1）；</w:t>
            </w:r>
          </w:p>
          <w:p w14:paraId="4EEDE7F3">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8CFE78B">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F9E5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CF9C70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5F424E7">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113B46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72E8167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A1588F3">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741553E8">
            <w:pPr>
              <w:widowControl/>
              <w:spacing w:line="240" w:lineRule="exact"/>
              <w:jc w:val="left"/>
              <w:rPr>
                <w:szCs w:val="21"/>
              </w:rPr>
            </w:pPr>
            <w:r>
              <w:rPr>
                <w:rFonts w:ascii="仿宋_GB2312" w:hAnsi="新宋体" w:eastAsia="仿宋_GB2312" w:cs="仿宋_GB2312"/>
                <w:kern w:val="0"/>
                <w:szCs w:val="21"/>
              </w:rPr>
              <w:t>评价要点：</w:t>
            </w:r>
          </w:p>
          <w:p w14:paraId="72C138FA">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BE0D370">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14557FCB">
            <w:pPr>
              <w:widowControl/>
              <w:spacing w:line="240" w:lineRule="exact"/>
              <w:jc w:val="left"/>
              <w:rPr>
                <w:szCs w:val="21"/>
              </w:rPr>
            </w:pPr>
            <w:r>
              <w:rPr>
                <w:rFonts w:ascii="仿宋_GB2312" w:hAnsi="新宋体" w:eastAsia="仿宋_GB2312" w:cs="仿宋_GB2312"/>
                <w:kern w:val="0"/>
                <w:szCs w:val="21"/>
              </w:rPr>
              <w:t>全部符合（2）；</w:t>
            </w:r>
          </w:p>
          <w:p w14:paraId="61E930AF">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89427C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D972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A24497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C8161FD">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871B4C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6A543C11">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2AB02C0">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4BF4A997">
            <w:pPr>
              <w:widowControl/>
              <w:spacing w:line="240" w:lineRule="exact"/>
              <w:jc w:val="left"/>
              <w:rPr>
                <w:szCs w:val="21"/>
              </w:rPr>
            </w:pPr>
            <w:r>
              <w:rPr>
                <w:rFonts w:ascii="仿宋_GB2312" w:hAnsi="新宋体" w:eastAsia="仿宋_GB2312" w:cs="仿宋_GB2312"/>
                <w:kern w:val="0"/>
                <w:szCs w:val="21"/>
              </w:rPr>
              <w:t>评价要点：</w:t>
            </w:r>
          </w:p>
          <w:p w14:paraId="70F5B0D8">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4458A3C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312AFBEA">
            <w:pPr>
              <w:widowControl/>
              <w:spacing w:line="240" w:lineRule="exact"/>
              <w:jc w:val="left"/>
              <w:rPr>
                <w:szCs w:val="21"/>
              </w:rPr>
            </w:pPr>
            <w:r>
              <w:rPr>
                <w:rFonts w:ascii="仿宋_GB2312" w:hAnsi="新宋体" w:eastAsia="仿宋_GB2312" w:cs="仿宋_GB2312"/>
                <w:kern w:val="0"/>
                <w:szCs w:val="21"/>
              </w:rPr>
              <w:t>全部符合（2）；</w:t>
            </w:r>
          </w:p>
          <w:p w14:paraId="20B606F2">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A25D79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34CB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CADFDC">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077C33DC">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143BADDB">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247020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655483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1546B26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6C274B4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F627C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4D8169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5AB492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595C7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5387C12">
            <w:pPr>
              <w:widowControl/>
              <w:spacing w:line="240" w:lineRule="exact"/>
              <w:jc w:val="left"/>
              <w:rPr>
                <w:rFonts w:hint="default" w:eastAsiaTheme="minorEastAsia"/>
                <w:szCs w:val="21"/>
                <w:lang w:val="en-US" w:eastAsia="zh-CN"/>
              </w:rPr>
            </w:pPr>
            <w:r>
              <w:rPr>
                <w:rFonts w:hint="eastAsia"/>
                <w:szCs w:val="21"/>
                <w:lang w:val="en-US" w:eastAsia="zh-CN"/>
              </w:rPr>
              <w:t>1</w:t>
            </w:r>
          </w:p>
        </w:tc>
      </w:tr>
      <w:tr w14:paraId="1226A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421B19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6450E0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706A3C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37998C0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4CED8C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2B2275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52DB7C7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0A9C1361">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405C1B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12BE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F877441">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17230040">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231CD120">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333A63A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0F53D81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52280B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7E951A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06F4338B">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4FF13C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C108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E9B9804">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37A6604">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93849B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357E02D6">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58649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693C58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FC99F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461753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68751F0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06BD67A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E9FE779">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AC71F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F4FB77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DBC17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E905FD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7D9D31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B99E3A6">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49502C2">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96C36E4">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7593A447">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448FC9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7E1DE2D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7084FC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6E7F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89D92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DC0040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457BDCD">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081A57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E4298A1">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44522E58">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ACBDF6B">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A269357">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5A29DF3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63D3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687EDC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892D91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AE8E9C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172CEDF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2FD8EFF7">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6F49D4A">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47F8F737">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32E6A0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2056F1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8B334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423255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390A38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4476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78DDAC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2E6F12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33A87C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433858F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605D55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22EDFF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5ED319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1206DEE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B498E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7F3F46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65887E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44C71CA">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B1FA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1DDAD9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FC498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D466C4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568C634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6B448C0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C4D9A5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584D35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259C8D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FDDDA6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D82BD2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5E03566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524B68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3C4AD14">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71EB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21CB4CD">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FEAD036">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E0EE1C1">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37BAB8F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4A0BF4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1C2E8B5F">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C7DF705">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7D281BFC">
            <w:pPr>
              <w:widowControl/>
              <w:spacing w:line="240" w:lineRule="exact"/>
              <w:jc w:val="left"/>
              <w:rPr>
                <w:szCs w:val="21"/>
              </w:rPr>
            </w:pPr>
            <w:r>
              <w:rPr>
                <w:rFonts w:ascii="仿宋_GB2312" w:hAnsi="新宋体" w:eastAsia="仿宋_GB2312" w:cs="仿宋_GB2312"/>
                <w:kern w:val="0"/>
                <w:szCs w:val="21"/>
              </w:rPr>
              <w:t>评价要点：</w:t>
            </w:r>
          </w:p>
          <w:p w14:paraId="6DDC774A">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FB23CE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2B4B0078">
            <w:pPr>
              <w:widowControl/>
              <w:spacing w:line="240" w:lineRule="exact"/>
              <w:jc w:val="left"/>
              <w:rPr>
                <w:szCs w:val="21"/>
              </w:rPr>
            </w:pPr>
            <w:r>
              <w:rPr>
                <w:rFonts w:ascii="仿宋_GB2312" w:hAnsi="新宋体" w:eastAsia="仿宋_GB2312" w:cs="仿宋_GB2312"/>
                <w:kern w:val="0"/>
                <w:szCs w:val="21"/>
              </w:rPr>
              <w:t>3.项目的重大开支经过评估论证；</w:t>
            </w:r>
          </w:p>
          <w:p w14:paraId="2218FCC3">
            <w:pPr>
              <w:widowControl/>
              <w:spacing w:line="240" w:lineRule="exact"/>
              <w:jc w:val="left"/>
              <w:rPr>
                <w:szCs w:val="21"/>
              </w:rPr>
            </w:pPr>
            <w:r>
              <w:rPr>
                <w:rFonts w:ascii="仿宋_GB2312" w:hAnsi="新宋体" w:eastAsia="仿宋_GB2312" w:cs="仿宋_GB2312"/>
                <w:kern w:val="0"/>
                <w:szCs w:val="21"/>
              </w:rPr>
              <w:t>4.符合部门预算批复的用途；</w:t>
            </w:r>
          </w:p>
          <w:p w14:paraId="4EDB3F5A">
            <w:pPr>
              <w:widowControl/>
              <w:spacing w:line="240" w:lineRule="exact"/>
              <w:jc w:val="left"/>
              <w:rPr>
                <w:szCs w:val="21"/>
              </w:rPr>
            </w:pPr>
            <w:r>
              <w:rPr>
                <w:rFonts w:ascii="仿宋_GB2312" w:hAnsi="新宋体" w:eastAsia="仿宋_GB2312" w:cs="仿宋_GB2312"/>
                <w:kern w:val="0"/>
                <w:szCs w:val="21"/>
              </w:rPr>
              <w:t>5.不存在截留情况；</w:t>
            </w:r>
          </w:p>
          <w:p w14:paraId="3F3C3213">
            <w:pPr>
              <w:widowControl/>
              <w:spacing w:line="240" w:lineRule="exact"/>
              <w:jc w:val="left"/>
              <w:rPr>
                <w:szCs w:val="21"/>
              </w:rPr>
            </w:pPr>
            <w:r>
              <w:rPr>
                <w:rFonts w:ascii="仿宋_GB2312" w:hAnsi="新宋体" w:eastAsia="仿宋_GB2312" w:cs="仿宋_GB2312"/>
                <w:kern w:val="0"/>
                <w:szCs w:val="21"/>
              </w:rPr>
              <w:t>6.不存在挤占情况；</w:t>
            </w:r>
          </w:p>
          <w:p w14:paraId="3E3EE7CB">
            <w:pPr>
              <w:widowControl/>
              <w:spacing w:line="240" w:lineRule="exact"/>
              <w:jc w:val="left"/>
              <w:rPr>
                <w:szCs w:val="21"/>
              </w:rPr>
            </w:pPr>
            <w:r>
              <w:rPr>
                <w:rFonts w:ascii="仿宋_GB2312" w:hAnsi="新宋体" w:eastAsia="仿宋_GB2312" w:cs="仿宋_GB2312"/>
                <w:kern w:val="0"/>
                <w:szCs w:val="21"/>
              </w:rPr>
              <w:t>7.不存在挪用情况；</w:t>
            </w:r>
          </w:p>
          <w:p w14:paraId="6F02323A">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756F5AB9">
            <w:pPr>
              <w:widowControl/>
              <w:spacing w:line="240" w:lineRule="exact"/>
              <w:jc w:val="left"/>
              <w:rPr>
                <w:szCs w:val="21"/>
              </w:rPr>
            </w:pPr>
            <w:r>
              <w:rPr>
                <w:rFonts w:ascii="仿宋_GB2312" w:hAnsi="新宋体" w:eastAsia="仿宋_GB2312" w:cs="仿宋_GB2312"/>
                <w:kern w:val="0"/>
                <w:szCs w:val="21"/>
              </w:rPr>
              <w:t>全部符合（8）；</w:t>
            </w:r>
          </w:p>
          <w:p w14:paraId="699C60FB">
            <w:pPr>
              <w:widowControl/>
              <w:spacing w:line="240" w:lineRule="exact"/>
              <w:jc w:val="left"/>
              <w:rPr>
                <w:szCs w:val="21"/>
              </w:rPr>
            </w:pPr>
            <w:r>
              <w:rPr>
                <w:rFonts w:ascii="仿宋_GB2312" w:hAnsi="新宋体" w:eastAsia="仿宋_GB2312" w:cs="仿宋_GB2312"/>
                <w:kern w:val="0"/>
                <w:szCs w:val="21"/>
              </w:rPr>
              <w:t>符合其中七项（6）；</w:t>
            </w:r>
          </w:p>
          <w:p w14:paraId="13A9CD28">
            <w:pPr>
              <w:widowControl/>
              <w:spacing w:line="240" w:lineRule="exact"/>
              <w:jc w:val="left"/>
              <w:rPr>
                <w:szCs w:val="21"/>
              </w:rPr>
            </w:pPr>
            <w:r>
              <w:rPr>
                <w:rFonts w:ascii="仿宋_GB2312" w:hAnsi="新宋体" w:eastAsia="仿宋_GB2312" w:cs="仿宋_GB2312"/>
                <w:kern w:val="0"/>
                <w:szCs w:val="21"/>
              </w:rPr>
              <w:t>符合其中六项（4）；</w:t>
            </w:r>
          </w:p>
          <w:p w14:paraId="4E8E8890">
            <w:pPr>
              <w:widowControl/>
              <w:spacing w:line="240" w:lineRule="exact"/>
              <w:jc w:val="left"/>
              <w:rPr>
                <w:szCs w:val="21"/>
              </w:rPr>
            </w:pPr>
            <w:r>
              <w:rPr>
                <w:rFonts w:ascii="仿宋_GB2312" w:hAnsi="新宋体" w:eastAsia="仿宋_GB2312" w:cs="仿宋_GB2312"/>
                <w:kern w:val="0"/>
                <w:szCs w:val="21"/>
              </w:rPr>
              <w:t>符合其中五项（2）；</w:t>
            </w:r>
          </w:p>
          <w:p w14:paraId="7CDC5D2F">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CCEC320">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6F4FC3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F5AD3D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A9DA51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400E5F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20ACEB5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698385CA">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B70B53C">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6025FB4">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7B929215">
            <w:pPr>
              <w:widowControl/>
              <w:spacing w:line="240" w:lineRule="exact"/>
              <w:jc w:val="left"/>
              <w:rPr>
                <w:szCs w:val="21"/>
              </w:rPr>
            </w:pPr>
            <w:r>
              <w:rPr>
                <w:rFonts w:ascii="仿宋_GB2312" w:hAnsi="新宋体" w:eastAsia="仿宋_GB2312" w:cs="仿宋_GB2312"/>
                <w:kern w:val="0"/>
                <w:szCs w:val="21"/>
              </w:rPr>
              <w:t>评价要点：</w:t>
            </w:r>
          </w:p>
          <w:p w14:paraId="1403ED50">
            <w:pPr>
              <w:widowControl/>
              <w:spacing w:line="240" w:lineRule="exact"/>
              <w:jc w:val="left"/>
              <w:rPr>
                <w:szCs w:val="21"/>
              </w:rPr>
            </w:pPr>
            <w:r>
              <w:rPr>
                <w:rFonts w:ascii="仿宋_GB2312" w:hAnsi="新宋体" w:eastAsia="仿宋_GB2312" w:cs="仿宋_GB2312"/>
                <w:kern w:val="0"/>
                <w:szCs w:val="21"/>
              </w:rPr>
              <w:t>1.公开预决算信息；</w:t>
            </w:r>
          </w:p>
          <w:p w14:paraId="076EB6D1">
            <w:pPr>
              <w:widowControl/>
              <w:spacing w:line="240" w:lineRule="exact"/>
              <w:jc w:val="left"/>
              <w:rPr>
                <w:szCs w:val="21"/>
              </w:rPr>
            </w:pPr>
            <w:r>
              <w:rPr>
                <w:rFonts w:ascii="仿宋_GB2312" w:hAnsi="新宋体" w:eastAsia="仿宋_GB2312" w:cs="仿宋_GB2312"/>
                <w:kern w:val="0"/>
                <w:szCs w:val="21"/>
              </w:rPr>
              <w:t>2.按规定内容公开预决算信息；</w:t>
            </w:r>
          </w:p>
          <w:p w14:paraId="7F955803">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45A9F0B1">
            <w:pPr>
              <w:widowControl/>
              <w:spacing w:line="240" w:lineRule="exact"/>
              <w:jc w:val="left"/>
              <w:rPr>
                <w:szCs w:val="21"/>
              </w:rPr>
            </w:pPr>
            <w:r>
              <w:rPr>
                <w:rFonts w:ascii="仿宋_GB2312" w:hAnsi="新宋体" w:eastAsia="仿宋_GB2312" w:cs="仿宋_GB2312"/>
                <w:kern w:val="0"/>
                <w:szCs w:val="21"/>
              </w:rPr>
              <w:t>全部符合（3）；</w:t>
            </w:r>
          </w:p>
          <w:p w14:paraId="37D5F191">
            <w:pPr>
              <w:widowControl/>
              <w:spacing w:line="240" w:lineRule="exact"/>
              <w:jc w:val="left"/>
              <w:rPr>
                <w:szCs w:val="21"/>
              </w:rPr>
            </w:pPr>
            <w:r>
              <w:rPr>
                <w:rFonts w:ascii="仿宋_GB2312" w:hAnsi="新宋体" w:eastAsia="仿宋_GB2312" w:cs="仿宋_GB2312"/>
                <w:kern w:val="0"/>
                <w:szCs w:val="21"/>
              </w:rPr>
              <w:t>符合其中两项（2）</w:t>
            </w:r>
          </w:p>
          <w:p w14:paraId="3F6A3148">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CE01F40">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4B35F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46F18E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D93024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60B4B20">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51D5BA08">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4A48E9AE">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4CD93C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082FE2C">
            <w:pPr>
              <w:widowControl/>
              <w:spacing w:line="240" w:lineRule="exact"/>
              <w:jc w:val="left"/>
              <w:rPr>
                <w:szCs w:val="21"/>
              </w:rPr>
            </w:pPr>
            <w:r>
              <w:rPr>
                <w:rFonts w:ascii="仿宋_GB2312" w:hAnsi="新宋体" w:eastAsia="仿宋_GB2312" w:cs="仿宋_GB2312"/>
                <w:kern w:val="0"/>
                <w:szCs w:val="21"/>
              </w:rPr>
              <w:t>评价要点：</w:t>
            </w:r>
          </w:p>
          <w:p w14:paraId="6CEC762F">
            <w:pPr>
              <w:widowControl/>
              <w:spacing w:line="240" w:lineRule="exact"/>
              <w:jc w:val="left"/>
              <w:rPr>
                <w:szCs w:val="21"/>
              </w:rPr>
            </w:pPr>
            <w:r>
              <w:rPr>
                <w:rFonts w:ascii="仿宋_GB2312" w:hAnsi="新宋体" w:eastAsia="仿宋_GB2312" w:cs="仿宋_GB2312"/>
                <w:kern w:val="0"/>
                <w:szCs w:val="21"/>
              </w:rPr>
              <w:t>1.基本财务管理制度健全；</w:t>
            </w:r>
          </w:p>
          <w:p w14:paraId="2AA8336F">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F5E6959">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52F1270F">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3BBF0EF8">
            <w:pPr>
              <w:widowControl/>
              <w:spacing w:line="240" w:lineRule="exact"/>
              <w:jc w:val="left"/>
              <w:rPr>
                <w:szCs w:val="21"/>
              </w:rPr>
            </w:pPr>
            <w:r>
              <w:rPr>
                <w:rFonts w:ascii="仿宋_GB2312" w:hAnsi="新宋体" w:eastAsia="仿宋_GB2312" w:cs="仿宋_GB2312"/>
                <w:kern w:val="0"/>
                <w:szCs w:val="21"/>
              </w:rPr>
              <w:t>符合全部四项（4）；</w:t>
            </w:r>
          </w:p>
          <w:p w14:paraId="5F244EED">
            <w:pPr>
              <w:widowControl/>
              <w:spacing w:line="240" w:lineRule="exact"/>
              <w:jc w:val="left"/>
              <w:rPr>
                <w:szCs w:val="21"/>
              </w:rPr>
            </w:pPr>
            <w:r>
              <w:rPr>
                <w:rFonts w:ascii="仿宋_GB2312" w:hAnsi="新宋体" w:eastAsia="仿宋_GB2312" w:cs="仿宋_GB2312"/>
                <w:kern w:val="0"/>
                <w:szCs w:val="21"/>
              </w:rPr>
              <w:t>符合其中三项（2）；</w:t>
            </w:r>
          </w:p>
          <w:p w14:paraId="2AD2FA31">
            <w:pPr>
              <w:widowControl/>
              <w:spacing w:line="240" w:lineRule="exact"/>
              <w:jc w:val="left"/>
              <w:rPr>
                <w:szCs w:val="21"/>
              </w:rPr>
            </w:pPr>
            <w:r>
              <w:rPr>
                <w:rFonts w:ascii="仿宋_GB2312" w:hAnsi="新宋体" w:eastAsia="仿宋_GB2312" w:cs="仿宋_GB2312"/>
                <w:kern w:val="0"/>
                <w:szCs w:val="21"/>
              </w:rPr>
              <w:t>符合其中两项（1）；</w:t>
            </w:r>
          </w:p>
          <w:p w14:paraId="4D749485">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9A87664">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2D20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4B09F4F">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7160DDD">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ECC2B0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2F8DB3E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6696297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1A9B75D">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0F7C9DAC">
            <w:pPr>
              <w:widowControl/>
              <w:spacing w:line="240" w:lineRule="exact"/>
              <w:jc w:val="left"/>
              <w:rPr>
                <w:szCs w:val="21"/>
              </w:rPr>
            </w:pPr>
            <w:r>
              <w:rPr>
                <w:rFonts w:ascii="仿宋_GB2312" w:hAnsi="新宋体" w:eastAsia="仿宋_GB2312" w:cs="仿宋_GB2312"/>
                <w:kern w:val="0"/>
                <w:szCs w:val="21"/>
              </w:rPr>
              <w:t>评价要点：</w:t>
            </w:r>
          </w:p>
          <w:p w14:paraId="104813C0">
            <w:pPr>
              <w:widowControl/>
              <w:spacing w:line="240" w:lineRule="exact"/>
              <w:jc w:val="left"/>
              <w:rPr>
                <w:szCs w:val="21"/>
              </w:rPr>
            </w:pPr>
            <w:r>
              <w:rPr>
                <w:rFonts w:ascii="仿宋_GB2312" w:hAnsi="新宋体" w:eastAsia="仿宋_GB2312" w:cs="仿宋_GB2312"/>
                <w:kern w:val="0"/>
                <w:szCs w:val="21"/>
              </w:rPr>
              <w:t>1.资产保存完整；</w:t>
            </w:r>
          </w:p>
          <w:p w14:paraId="591F7AED">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账实相符</w:t>
            </w:r>
            <w:r>
              <w:rPr>
                <w:rFonts w:ascii="仿宋_GB2312" w:hAnsi="新宋体" w:eastAsia="仿宋_GB2312" w:cs="仿宋_GB2312"/>
                <w:kern w:val="0"/>
                <w:szCs w:val="21"/>
              </w:rPr>
              <w:t>；</w:t>
            </w:r>
          </w:p>
          <w:p w14:paraId="384A6412">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6C15E7B">
            <w:pPr>
              <w:widowControl/>
              <w:spacing w:line="240" w:lineRule="exact"/>
              <w:jc w:val="left"/>
              <w:rPr>
                <w:szCs w:val="21"/>
              </w:rPr>
            </w:pPr>
            <w:r>
              <w:rPr>
                <w:rFonts w:ascii="仿宋_GB2312" w:hAnsi="新宋体" w:eastAsia="仿宋_GB2312" w:cs="仿宋_GB2312"/>
                <w:kern w:val="0"/>
                <w:szCs w:val="21"/>
              </w:rPr>
              <w:t>符合全部三项（3）；</w:t>
            </w:r>
          </w:p>
          <w:p w14:paraId="130F7534">
            <w:pPr>
              <w:widowControl/>
              <w:spacing w:line="240" w:lineRule="exact"/>
              <w:jc w:val="left"/>
              <w:rPr>
                <w:szCs w:val="21"/>
              </w:rPr>
            </w:pPr>
            <w:r>
              <w:rPr>
                <w:rFonts w:ascii="仿宋_GB2312" w:hAnsi="新宋体" w:eastAsia="仿宋_GB2312" w:cs="仿宋_GB2312"/>
                <w:kern w:val="0"/>
                <w:szCs w:val="21"/>
              </w:rPr>
              <w:t>符合其中两项（2）；</w:t>
            </w:r>
          </w:p>
          <w:p w14:paraId="6782CF6B">
            <w:pPr>
              <w:widowControl/>
              <w:spacing w:line="240" w:lineRule="exact"/>
              <w:jc w:val="left"/>
              <w:rPr>
                <w:szCs w:val="21"/>
              </w:rPr>
            </w:pPr>
            <w:r>
              <w:rPr>
                <w:rFonts w:ascii="仿宋_GB2312" w:hAnsi="新宋体" w:eastAsia="仿宋_GB2312" w:cs="仿宋_GB2312"/>
                <w:kern w:val="0"/>
                <w:szCs w:val="21"/>
              </w:rPr>
              <w:t>符合其中一项（1）；</w:t>
            </w:r>
          </w:p>
          <w:p w14:paraId="450A9BE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7B8CE27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6589C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953CA8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104D2AF">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068E82D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7785CF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56375B4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56B0591">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60382AA0">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84D0B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41D0E2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3AA94F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2B9BCEE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0E8FB5A">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79DF9D2">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BDEF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FEA16B3">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6801C73">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34D77A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7646DF3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7106996A">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53B9B44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A24CEB0">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6E27E7FD">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008E3A93">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38169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B4FB52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CF51974">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592B512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1088FDF8">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24D5E45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0B365DEE">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23ED60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25032C4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3F03F4F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3B77E0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26996C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45A48786">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68C85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63C8674">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08FAD49">
            <w:pPr>
              <w:widowControl/>
              <w:spacing w:line="240" w:lineRule="exact"/>
              <w:jc w:val="left"/>
              <w:rPr>
                <w:rFonts w:ascii="仿宋_GB2312" w:hAnsi="新宋体" w:eastAsia="仿宋_GB2312" w:cs="仿宋_GB2312"/>
                <w:kern w:val="0"/>
                <w:szCs w:val="21"/>
              </w:rPr>
            </w:pPr>
          </w:p>
          <w:p w14:paraId="0786AEB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76A39C5B">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0B1FF2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52E8F162">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150F948">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034B38C5">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1CD05579">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628ADD2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03F8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7EBDFDC3">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4660A8AA">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8A1CF73">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29497CA9">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3BCFC7D">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5FAADFFE">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365F8946">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808CA5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61D6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587B6F2">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1817D3E">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C22943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9A8364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BBF8B8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988AF5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206EC00B">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6D8BDB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3777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5B7DD90">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B278ED4">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E11F6D3">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378D3A9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1EA42BC8">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70A6D3ED">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47532BE3">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40DC31E6">
      <w:pPr>
        <w:rPr>
          <w:rFonts w:ascii="黑体" w:hAnsi="黑体" w:eastAsia="黑体" w:cs="黑体"/>
          <w:b/>
          <w:bCs/>
          <w:sz w:val="30"/>
          <w:szCs w:val="30"/>
        </w:rPr>
      </w:pPr>
    </w:p>
    <w:p w14:paraId="14A96D6E">
      <w:pPr>
        <w:rPr>
          <w:rFonts w:ascii="黑体" w:hAnsi="黑体" w:eastAsia="黑体" w:cs="黑体"/>
          <w:b/>
          <w:bCs/>
          <w:sz w:val="30"/>
          <w:szCs w:val="30"/>
        </w:rPr>
      </w:pPr>
    </w:p>
    <w:p w14:paraId="2DD8D595">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val="en-US" w:eastAsia="zh-CN"/>
        </w:rPr>
        <w:t>人力资源和社会保障局</w:t>
      </w:r>
    </w:p>
    <w:p w14:paraId="0BBE7F60">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0EED1765">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3C61A5AE">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56FEC6D4">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w:t>
      </w:r>
      <w:r>
        <w:rPr>
          <w:rFonts w:hint="eastAsia" w:ascii="仿宋" w:hAnsi="仿宋" w:eastAsia="仿宋" w:cs="仿宋"/>
          <w:sz w:val="32"/>
          <w:szCs w:val="32"/>
        </w:rPr>
        <w:t>组织机构及人员</w:t>
      </w:r>
    </w:p>
    <w:p w14:paraId="40B27D48">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隆尧县</w:t>
      </w:r>
      <w:r>
        <w:rPr>
          <w:rFonts w:hint="eastAsia" w:ascii="仿宋" w:hAnsi="仿宋" w:eastAsia="仿宋" w:cs="仿宋"/>
          <w:sz w:val="32"/>
          <w:szCs w:val="32"/>
          <w:lang w:eastAsia="zh-CN"/>
        </w:rPr>
        <w:t>人社局</w:t>
      </w:r>
      <w:r>
        <w:rPr>
          <w:rFonts w:hint="eastAsia" w:ascii="仿宋" w:hAnsi="仿宋" w:eastAsia="仿宋" w:cs="仿宋"/>
          <w:sz w:val="32"/>
          <w:szCs w:val="32"/>
        </w:rPr>
        <w:t>，隶属于隆尧县人民政府，为机关行政正科级单位，共有干部职工</w:t>
      </w:r>
      <w:r>
        <w:rPr>
          <w:rFonts w:hint="eastAsia" w:ascii="仿宋" w:hAnsi="仿宋" w:eastAsia="仿宋" w:cs="仿宋"/>
          <w:sz w:val="32"/>
          <w:szCs w:val="32"/>
          <w:lang w:val="en-US" w:eastAsia="zh-CN"/>
        </w:rPr>
        <w:t>5</w:t>
      </w:r>
      <w:r>
        <w:rPr>
          <w:rFonts w:hint="eastAsia" w:ascii="仿宋" w:hAnsi="仿宋" w:eastAsia="仿宋" w:cs="仿宋"/>
          <w:sz w:val="32"/>
          <w:szCs w:val="32"/>
        </w:rPr>
        <w:t>3人，经费形式为全额财政。另有退休人员</w:t>
      </w:r>
      <w:r>
        <w:rPr>
          <w:rFonts w:hint="eastAsia" w:ascii="仿宋" w:hAnsi="仿宋" w:eastAsia="仿宋" w:cs="仿宋"/>
          <w:sz w:val="32"/>
          <w:szCs w:val="32"/>
          <w:lang w:val="en-US" w:eastAsia="zh-CN"/>
        </w:rPr>
        <w:t>26</w:t>
      </w:r>
      <w:r>
        <w:rPr>
          <w:rFonts w:hint="eastAsia" w:ascii="仿宋" w:hAnsi="仿宋" w:eastAsia="仿宋" w:cs="仿宋"/>
          <w:sz w:val="32"/>
          <w:szCs w:val="32"/>
        </w:rPr>
        <w:t>人。</w:t>
      </w:r>
    </w:p>
    <w:p w14:paraId="3B7A75DA">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主要职责</w:t>
      </w:r>
    </w:p>
    <w:p w14:paraId="0408AC3F">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按照法律法规及政策规定，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全面协调可持续发展。</w:t>
      </w:r>
    </w:p>
    <w:p w14:paraId="6D002DAB">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完成县委、县政府和省、市</w:t>
      </w:r>
      <w:r>
        <w:rPr>
          <w:rFonts w:hint="eastAsia" w:ascii="仿宋" w:hAnsi="仿宋" w:eastAsia="仿宋" w:cs="仿宋"/>
          <w:sz w:val="32"/>
          <w:szCs w:val="32"/>
          <w:lang w:val="en-US" w:eastAsia="zh-CN"/>
        </w:rPr>
        <w:t>人社</w:t>
      </w:r>
      <w:r>
        <w:rPr>
          <w:rFonts w:hint="eastAsia" w:ascii="仿宋" w:hAnsi="仿宋" w:eastAsia="仿宋" w:cs="仿宋"/>
          <w:sz w:val="32"/>
          <w:szCs w:val="32"/>
        </w:rPr>
        <w:t>部门交办的其他任务。</w:t>
      </w:r>
    </w:p>
    <w:p w14:paraId="446A6BF2">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机构设置</w:t>
      </w:r>
    </w:p>
    <w:p w14:paraId="5E9C4896">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隆尧县</w:t>
      </w:r>
      <w:r>
        <w:rPr>
          <w:rFonts w:hint="eastAsia" w:ascii="仿宋" w:hAnsi="仿宋" w:eastAsia="仿宋" w:cs="仿宋"/>
          <w:sz w:val="32"/>
          <w:szCs w:val="32"/>
          <w:lang w:eastAsia="zh-CN"/>
        </w:rPr>
        <w:t>人社局</w:t>
      </w:r>
      <w:r>
        <w:rPr>
          <w:rFonts w:hint="eastAsia" w:ascii="仿宋" w:hAnsi="仿宋" w:eastAsia="仿宋" w:cs="仿宋"/>
          <w:sz w:val="32"/>
          <w:szCs w:val="32"/>
        </w:rPr>
        <w:t>部门机构设置情况：</w:t>
      </w:r>
    </w:p>
    <w:tbl>
      <w:tblPr>
        <w:tblStyle w:val="9"/>
        <w:tblW w:w="8760" w:type="dxa"/>
        <w:tblInd w:w="4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98"/>
        <w:gridCol w:w="1832"/>
        <w:gridCol w:w="1681"/>
        <w:gridCol w:w="2349"/>
      </w:tblGrid>
      <w:tr w14:paraId="7ECD1A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2898" w:type="dxa"/>
          </w:tcPr>
          <w:p w14:paraId="1B14C344">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单位名称</w:t>
            </w:r>
          </w:p>
        </w:tc>
        <w:tc>
          <w:tcPr>
            <w:tcW w:w="1832" w:type="dxa"/>
          </w:tcPr>
          <w:p w14:paraId="0DC04E79">
            <w:pPr>
              <w:adjustRightInd w:val="0"/>
              <w:rPr>
                <w:rFonts w:hint="eastAsia" w:ascii="仿宋" w:hAnsi="仿宋" w:eastAsia="仿宋" w:cs="仿宋"/>
                <w:sz w:val="32"/>
                <w:szCs w:val="32"/>
              </w:rPr>
            </w:pPr>
            <w:r>
              <w:rPr>
                <w:rFonts w:hint="eastAsia" w:ascii="仿宋" w:hAnsi="仿宋" w:eastAsia="仿宋" w:cs="仿宋"/>
                <w:sz w:val="32"/>
                <w:szCs w:val="32"/>
              </w:rPr>
              <w:t>单位性质</w:t>
            </w:r>
          </w:p>
        </w:tc>
        <w:tc>
          <w:tcPr>
            <w:tcW w:w="1681" w:type="dxa"/>
          </w:tcPr>
          <w:p w14:paraId="734601D0">
            <w:pPr>
              <w:adjustRightInd w:val="0"/>
              <w:rPr>
                <w:rFonts w:hint="eastAsia" w:ascii="仿宋" w:hAnsi="仿宋" w:eastAsia="仿宋" w:cs="仿宋"/>
                <w:sz w:val="32"/>
                <w:szCs w:val="32"/>
              </w:rPr>
            </w:pPr>
            <w:r>
              <w:rPr>
                <w:rFonts w:hint="eastAsia" w:ascii="仿宋" w:hAnsi="仿宋" w:eastAsia="仿宋" w:cs="仿宋"/>
                <w:sz w:val="32"/>
                <w:szCs w:val="32"/>
              </w:rPr>
              <w:t>单位规格</w:t>
            </w:r>
          </w:p>
        </w:tc>
        <w:tc>
          <w:tcPr>
            <w:tcW w:w="2349" w:type="dxa"/>
          </w:tcPr>
          <w:p w14:paraId="68FF4659">
            <w:pPr>
              <w:adjustRightInd w:val="0"/>
              <w:rPr>
                <w:rFonts w:hint="eastAsia" w:ascii="仿宋" w:hAnsi="仿宋" w:eastAsia="仿宋" w:cs="仿宋"/>
                <w:sz w:val="32"/>
                <w:szCs w:val="32"/>
              </w:rPr>
            </w:pPr>
            <w:r>
              <w:rPr>
                <w:rFonts w:hint="eastAsia" w:ascii="仿宋" w:hAnsi="仿宋" w:eastAsia="仿宋" w:cs="仿宋"/>
                <w:sz w:val="32"/>
                <w:szCs w:val="32"/>
              </w:rPr>
              <w:t>经费保障形式</w:t>
            </w:r>
          </w:p>
        </w:tc>
      </w:tr>
      <w:tr w14:paraId="62196C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trPr>
        <w:tc>
          <w:tcPr>
            <w:tcW w:w="2898" w:type="dxa"/>
          </w:tcPr>
          <w:p w14:paraId="4A8115D8">
            <w:pPr>
              <w:adjustRightInd w:val="0"/>
              <w:rPr>
                <w:rFonts w:hint="eastAsia" w:ascii="仿宋" w:hAnsi="仿宋" w:eastAsia="仿宋" w:cs="仿宋"/>
                <w:sz w:val="32"/>
                <w:szCs w:val="32"/>
              </w:rPr>
            </w:pPr>
            <w:r>
              <w:rPr>
                <w:rFonts w:hint="eastAsia" w:ascii="仿宋" w:hAnsi="仿宋" w:eastAsia="仿宋" w:cs="仿宋"/>
                <w:sz w:val="32"/>
                <w:szCs w:val="32"/>
              </w:rPr>
              <w:t>隆尧县</w:t>
            </w:r>
            <w:r>
              <w:rPr>
                <w:rFonts w:hint="eastAsia" w:ascii="仿宋" w:hAnsi="仿宋" w:eastAsia="仿宋" w:cs="仿宋"/>
                <w:sz w:val="32"/>
                <w:szCs w:val="32"/>
                <w:lang w:eastAsia="zh-CN"/>
              </w:rPr>
              <w:t>人社局</w:t>
            </w:r>
          </w:p>
        </w:tc>
        <w:tc>
          <w:tcPr>
            <w:tcW w:w="1832" w:type="dxa"/>
          </w:tcPr>
          <w:p w14:paraId="7CEF6F0C">
            <w:pPr>
              <w:adjustRightInd w:val="0"/>
              <w:rPr>
                <w:rFonts w:hint="eastAsia" w:ascii="仿宋" w:hAnsi="仿宋" w:eastAsia="仿宋" w:cs="仿宋"/>
                <w:sz w:val="32"/>
                <w:szCs w:val="32"/>
              </w:rPr>
            </w:pPr>
            <w:r>
              <w:rPr>
                <w:rFonts w:hint="eastAsia" w:ascii="仿宋" w:hAnsi="仿宋" w:eastAsia="仿宋" w:cs="仿宋"/>
                <w:sz w:val="32"/>
                <w:szCs w:val="32"/>
              </w:rPr>
              <w:t>行政</w:t>
            </w:r>
          </w:p>
        </w:tc>
        <w:tc>
          <w:tcPr>
            <w:tcW w:w="1681" w:type="dxa"/>
          </w:tcPr>
          <w:p w14:paraId="69CCC0F0">
            <w:pPr>
              <w:adjustRightInd w:val="0"/>
              <w:rPr>
                <w:rFonts w:hint="eastAsia" w:ascii="仿宋" w:hAnsi="仿宋" w:eastAsia="仿宋" w:cs="仿宋"/>
                <w:sz w:val="32"/>
                <w:szCs w:val="32"/>
              </w:rPr>
            </w:pPr>
            <w:r>
              <w:rPr>
                <w:rFonts w:hint="eastAsia" w:ascii="仿宋" w:hAnsi="仿宋" w:eastAsia="仿宋" w:cs="仿宋"/>
                <w:sz w:val="32"/>
                <w:szCs w:val="32"/>
              </w:rPr>
              <w:t>正科级</w:t>
            </w:r>
          </w:p>
        </w:tc>
        <w:tc>
          <w:tcPr>
            <w:tcW w:w="2349" w:type="dxa"/>
          </w:tcPr>
          <w:p w14:paraId="1CF352C2">
            <w:pPr>
              <w:adjustRightInd w:val="0"/>
              <w:rPr>
                <w:rFonts w:hint="eastAsia" w:ascii="仿宋" w:hAnsi="仿宋" w:eastAsia="仿宋" w:cs="仿宋"/>
                <w:sz w:val="32"/>
                <w:szCs w:val="32"/>
              </w:rPr>
            </w:pPr>
            <w:r>
              <w:rPr>
                <w:rFonts w:hint="eastAsia" w:ascii="仿宋" w:hAnsi="仿宋" w:eastAsia="仿宋" w:cs="仿宋"/>
                <w:sz w:val="32"/>
                <w:szCs w:val="32"/>
              </w:rPr>
              <w:t>财政拨款</w:t>
            </w:r>
          </w:p>
        </w:tc>
      </w:tr>
      <w:tr w14:paraId="2DE50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trPr>
        <w:tc>
          <w:tcPr>
            <w:tcW w:w="2898" w:type="dxa"/>
          </w:tcPr>
          <w:p w14:paraId="353A7ADB">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w:t>
            </w:r>
          </w:p>
        </w:tc>
        <w:tc>
          <w:tcPr>
            <w:tcW w:w="1832" w:type="dxa"/>
          </w:tcPr>
          <w:p w14:paraId="157091C0">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w:t>
            </w:r>
          </w:p>
        </w:tc>
        <w:tc>
          <w:tcPr>
            <w:tcW w:w="1681" w:type="dxa"/>
          </w:tcPr>
          <w:p w14:paraId="3B0F2AE4">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w:t>
            </w:r>
          </w:p>
        </w:tc>
        <w:tc>
          <w:tcPr>
            <w:tcW w:w="2349" w:type="dxa"/>
          </w:tcPr>
          <w:p w14:paraId="7A90F39B">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w:t>
            </w:r>
          </w:p>
        </w:tc>
      </w:tr>
    </w:tbl>
    <w:p w14:paraId="46C15C0D">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部门履职总体目标</w:t>
      </w:r>
    </w:p>
    <w:p w14:paraId="783ED958">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年隆尧县人社局我局在县委、县政府的正确领导下，在市人社局的大力支持下，坚持以习近平新时代中国特色社会主义思想</w:t>
      </w:r>
      <w:bookmarkStart w:id="0" w:name="_GoBack"/>
      <w:bookmarkEnd w:id="0"/>
      <w:r>
        <w:rPr>
          <w:rFonts w:hint="eastAsia" w:ascii="仿宋" w:hAnsi="仿宋" w:eastAsia="仿宋" w:cs="仿宋"/>
          <w:sz w:val="32"/>
          <w:szCs w:val="32"/>
        </w:rPr>
        <w:t>为指引，全力推进我县人社事业高质量赶超发展，为建设经济强县、幸福隆尧做出了积极贡献。</w:t>
      </w:r>
    </w:p>
    <w:p w14:paraId="24865F84">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18A37D7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、全力做好就业创业工作</w:t>
      </w:r>
    </w:p>
    <w:p w14:paraId="189E55A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加大就业创业政策落实力度。</w:t>
      </w:r>
    </w:p>
    <w:p w14:paraId="795D369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加大就业扶贫力度，促进贫困劳动力就业。</w:t>
      </w:r>
    </w:p>
    <w:p w14:paraId="50DC9F3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进一步规范和完善政府购买服务职业培训服务流程，加大培训力度，开展有针对性的职业技能培训。</w:t>
      </w:r>
    </w:p>
    <w:p w14:paraId="3E1189D0">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加大创业担保贷款力度，提高贷款发放效率。</w:t>
      </w:r>
    </w:p>
    <w:p w14:paraId="07D9BAE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完善创业孵化园建设管理，为创业者提供便捷优良的创业环境和高效优质的创业服务。</w:t>
      </w:r>
    </w:p>
    <w:p w14:paraId="6836063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、不断完善社会保障体系</w:t>
      </w:r>
    </w:p>
    <w:p w14:paraId="6816BBF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加大社会保险政策宣传力度，充分发挥舆论宣传的引导和监督作用，营造依法参保的社会氛围。继续推进社会保障卡发行应用工作，不断扩大社保卡应用覆盖范围。</w:t>
      </w:r>
    </w:p>
    <w:p w14:paraId="5D73B36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、扎实推进人事人才工作</w:t>
      </w:r>
    </w:p>
    <w:p w14:paraId="3438579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以春季人力资源交流会为龙头，并借助新建成服务中心中人力资源交流大厅定期举办各类招聘活动，不断推动实现人才交流会常态化。</w:t>
      </w:r>
    </w:p>
    <w:p w14:paraId="7C986AC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积极探索网络人力资源交流途径。</w:t>
      </w:r>
    </w:p>
    <w:p w14:paraId="6DBE58A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提高职业介绍服务水平。</w:t>
      </w:r>
    </w:p>
    <w:p w14:paraId="12981D6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深入推进事业单位人事制度改革。</w:t>
      </w:r>
    </w:p>
    <w:p w14:paraId="2ACC637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深入推进职称制度改革。</w:t>
      </w:r>
    </w:p>
    <w:p w14:paraId="373FD73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、积极构建和谐劳动关系</w:t>
      </w:r>
    </w:p>
    <w:p w14:paraId="16C6A28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继续以规范劳动用工为重点，切实维护劳动者的合法权益。</w:t>
      </w:r>
    </w:p>
    <w:p w14:paraId="4B94B52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始终把打击拖欠农民工工资行为、保障农民工工资支付工作贯穿全年工作安排，切实保障农民工的合法权益。</w:t>
      </w:r>
    </w:p>
    <w:p w14:paraId="6DDED4FB">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认真贯彻落实《劳动人事争议调解仲裁法》，维护社会大局稳定。</w:t>
      </w:r>
    </w:p>
    <w:p w14:paraId="68624D6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、切实加强机关自身建设</w:t>
      </w:r>
    </w:p>
    <w:p w14:paraId="7128C6F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继续加强县乡村三级服务平台建设，形成覆盖全县城乡的人力资源和社会保障服务网络。</w:t>
      </w:r>
    </w:p>
    <w:p w14:paraId="11C3D53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借助隆尧县人力资源和社会保障综合服务中心的投入使用，大力推进“互联网+政务服务”工作，推行服务事项网上办理，切实提高服务质量和服务水平。</w:t>
      </w:r>
    </w:p>
    <w:p w14:paraId="59B78AC6">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坚持党要管党、全面从严治党，着力打造忠诚、干净、担当的人社干部队伍。</w:t>
      </w:r>
    </w:p>
    <w:p w14:paraId="28F0C490">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lang w:val="en-US" w:eastAsia="zh-CN"/>
        </w:rPr>
        <w:t>结合本单位实际情况</w:t>
      </w:r>
      <w:r>
        <w:rPr>
          <w:rFonts w:hint="eastAsia" w:ascii="仿宋" w:hAnsi="仿宋" w:eastAsia="仿宋" w:cs="仿宋"/>
          <w:sz w:val="32"/>
          <w:szCs w:val="32"/>
        </w:rPr>
        <w:t>人员及资产情况。</w:t>
      </w:r>
    </w:p>
    <w:p w14:paraId="5021FE24">
      <w:pPr>
        <w:numPr>
          <w:ilvl w:val="0"/>
          <w:numId w:val="0"/>
        </w:numPr>
        <w:adjustRightInd w:val="0"/>
        <w:ind w:left="480" w:leftChars="0"/>
        <w:rPr>
          <w:rFonts w:hint="default" w:ascii="仿宋" w:hAnsi="仿宋" w:eastAsia="仿宋" w:cs="仿宋"/>
          <w:sz w:val="32"/>
          <w:szCs w:val="32"/>
          <w:lang w:val="en-US"/>
        </w:rPr>
      </w:pPr>
      <w:r>
        <w:rPr>
          <w:rFonts w:hint="eastAsia" w:ascii="仿宋" w:hAnsi="仿宋" w:eastAsia="仿宋" w:cs="仿宋"/>
          <w:sz w:val="32"/>
          <w:szCs w:val="32"/>
          <w:lang w:eastAsia="zh-CN"/>
        </w:rPr>
        <w:t>单位年末在职人数</w:t>
      </w:r>
      <w:r>
        <w:rPr>
          <w:rFonts w:hint="eastAsia" w:ascii="仿宋" w:hAnsi="仿宋" w:eastAsia="仿宋" w:cs="仿宋"/>
          <w:sz w:val="32"/>
          <w:szCs w:val="32"/>
          <w:lang w:val="en-US" w:eastAsia="zh-CN"/>
        </w:rPr>
        <w:t>53人，年末资产原值</w:t>
      </w:r>
      <w:r>
        <w:rPr>
          <w:rFonts w:hint="eastAsia" w:ascii="仿宋_GB2312" w:hAnsi="仿宋" w:eastAsia="仿宋_GB2312"/>
          <w:sz w:val="32"/>
          <w:szCs w:val="32"/>
          <w:lang w:val="en-US" w:eastAsia="zh-CN"/>
        </w:rPr>
        <w:t>592.24</w:t>
      </w:r>
      <w:r>
        <w:rPr>
          <w:rFonts w:hint="eastAsia" w:ascii="仿宋" w:hAnsi="仿宋" w:eastAsia="仿宋" w:cs="仿宋"/>
          <w:sz w:val="32"/>
          <w:szCs w:val="32"/>
          <w:lang w:val="en-US" w:eastAsia="zh-CN"/>
        </w:rPr>
        <w:t>万元。</w:t>
      </w:r>
    </w:p>
    <w:p w14:paraId="2C22AF52">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5C0295F4">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年隆尧县人社局我局在县委、县政府的正确领导下，在市人社局的大力支持下，坚持以新时代中国特色社会主义思想为指引，全力推进我县人社事业高质量赶超发展，为建设经济强县、幸福隆尧做出了积极贡献。</w:t>
      </w:r>
    </w:p>
    <w:p w14:paraId="786F0082">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14:paraId="57617876">
      <w:pPr>
        <w:snapToGrid w:val="0"/>
        <w:spacing w:line="520" w:lineRule="exact"/>
        <w:ind w:firstLine="640" w:firstLineChars="200"/>
        <w:rPr>
          <w:rFonts w:hint="eastAsia" w:ascii="仿宋" w:hAnsi="仿宋" w:eastAsia="仿宋" w:cs="仿宋"/>
          <w:color w:val="000000"/>
          <w:kern w:val="0"/>
          <w:sz w:val="32"/>
          <w:szCs w:val="32"/>
        </w:rPr>
      </w:pPr>
      <w:r>
        <w:rPr>
          <w:rFonts w:hint="eastAsia" w:ascii="仿宋" w:hAnsi="仿宋" w:eastAsia="仿宋" w:cs="仿宋"/>
          <w:sz w:val="32"/>
          <w:szCs w:val="32"/>
        </w:rPr>
        <w:t>我单位20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color w:val="000000"/>
          <w:kern w:val="0"/>
          <w:sz w:val="32"/>
          <w:szCs w:val="32"/>
        </w:rPr>
        <w:t>本年度财政拨款</w:t>
      </w:r>
      <w:r>
        <w:rPr>
          <w:rFonts w:hint="eastAsia" w:ascii="仿宋" w:hAnsi="仿宋" w:eastAsia="仿宋" w:cs="仿宋"/>
          <w:color w:val="000000"/>
          <w:kern w:val="0"/>
          <w:sz w:val="32"/>
          <w:szCs w:val="32"/>
          <w:lang w:eastAsia="zh-CN"/>
        </w:rPr>
        <w:t>收入</w:t>
      </w:r>
      <w:r>
        <w:rPr>
          <w:rFonts w:hint="eastAsia" w:ascii="仿宋_GB2312" w:hAnsi="仿宋" w:eastAsia="仿宋_GB2312"/>
          <w:sz w:val="32"/>
          <w:szCs w:val="32"/>
          <w:lang w:val="en-US" w:eastAsia="zh-CN"/>
        </w:rPr>
        <w:t>2176.87</w:t>
      </w:r>
      <w:r>
        <w:rPr>
          <w:rFonts w:hint="eastAsia" w:ascii="仿宋" w:hAnsi="仿宋" w:eastAsia="仿宋" w:cs="仿宋"/>
          <w:color w:val="000000"/>
          <w:kern w:val="0"/>
          <w:sz w:val="32"/>
          <w:szCs w:val="32"/>
          <w:lang w:val="en-US" w:eastAsia="zh-CN"/>
        </w:rPr>
        <w:t>万</w:t>
      </w:r>
      <w:r>
        <w:rPr>
          <w:rFonts w:hint="eastAsia" w:ascii="仿宋" w:hAnsi="仿宋" w:eastAsia="仿宋" w:cs="仿宋"/>
          <w:color w:val="000000"/>
          <w:kern w:val="0"/>
          <w:sz w:val="32"/>
          <w:szCs w:val="32"/>
        </w:rPr>
        <w:t>元，</w:t>
      </w:r>
      <w:r>
        <w:rPr>
          <w:rFonts w:hint="eastAsia" w:ascii="仿宋_GB2312" w:hAnsi="仿宋" w:eastAsia="仿宋_GB2312"/>
          <w:sz w:val="32"/>
          <w:szCs w:val="32"/>
          <w:lang w:val="en-US" w:eastAsia="zh-CN"/>
        </w:rPr>
        <w:t>支出2215.41万元，其中基本支出491.88万元，项目支出1723.53万元，与上年对比，项目收入与支出都有了大幅减少，是因为就业支出减少和政府性基金预算财政未拨款。</w:t>
      </w:r>
    </w:p>
    <w:p w14:paraId="4C6FE425">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基本支出</w:t>
      </w:r>
      <w:r>
        <w:rPr>
          <w:rFonts w:hint="default" w:ascii="仿宋" w:hAnsi="仿宋" w:eastAsia="仿宋" w:cs="仿宋"/>
          <w:sz w:val="32"/>
          <w:szCs w:val="32"/>
          <w:lang w:val="en-US" w:eastAsia="zh-CN"/>
        </w:rPr>
        <w:t>491.88</w:t>
      </w:r>
      <w:r>
        <w:rPr>
          <w:rFonts w:hint="eastAsia" w:ascii="仿宋" w:hAnsi="仿宋" w:eastAsia="仿宋" w:cs="仿宋"/>
          <w:sz w:val="32"/>
          <w:szCs w:val="32"/>
        </w:rPr>
        <w:t>万元。</w:t>
      </w:r>
    </w:p>
    <w:p w14:paraId="4696837E">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项目支</w:t>
      </w:r>
      <w:r>
        <w:rPr>
          <w:rFonts w:hint="eastAsia" w:ascii="仿宋" w:hAnsi="仿宋" w:eastAsia="仿宋" w:cs="仿宋"/>
          <w:sz w:val="32"/>
          <w:szCs w:val="32"/>
          <w:lang w:val="en-US" w:eastAsia="zh-CN"/>
        </w:rPr>
        <w:t>出</w:t>
      </w:r>
      <w:r>
        <w:rPr>
          <w:rFonts w:hint="default" w:ascii="仿宋" w:hAnsi="仿宋" w:eastAsia="仿宋" w:cs="仿宋"/>
          <w:sz w:val="32"/>
          <w:szCs w:val="32"/>
          <w:lang w:val="en-US" w:eastAsia="zh-CN"/>
        </w:rPr>
        <w:t>1723.53</w:t>
      </w:r>
      <w:r>
        <w:rPr>
          <w:rFonts w:hint="eastAsia" w:ascii="仿宋" w:hAnsi="仿宋" w:eastAsia="仿宋" w:cs="仿宋"/>
          <w:sz w:val="32"/>
          <w:szCs w:val="32"/>
          <w:lang w:val="en-US" w:eastAsia="zh-CN"/>
        </w:rPr>
        <w:t>万元</w:t>
      </w:r>
      <w:r>
        <w:rPr>
          <w:rFonts w:hint="eastAsia" w:ascii="仿宋" w:hAnsi="仿宋" w:eastAsia="仿宋" w:cs="仿宋"/>
          <w:sz w:val="32"/>
          <w:szCs w:val="32"/>
        </w:rPr>
        <w:t>。</w:t>
      </w:r>
    </w:p>
    <w:p w14:paraId="50A0212C">
      <w:pPr>
        <w:pStyle w:val="18"/>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218C44B4">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191B451B">
      <w:pPr>
        <w:pStyle w:val="8"/>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w:t>
      </w:r>
      <w:r>
        <w:rPr>
          <w:rFonts w:hint="eastAsia" w:ascii="仿宋" w:hAnsi="仿宋" w:eastAsia="仿宋" w:cs="仿宋"/>
          <w:sz w:val="32"/>
          <w:szCs w:val="32"/>
          <w:lang w:val="en-US" w:eastAsia="zh-CN"/>
        </w:rPr>
        <w:t>人社局</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年部门整体支出绩效自评的结果分析如下：</w:t>
      </w:r>
    </w:p>
    <w:p w14:paraId="5CCC3C85">
      <w:pPr>
        <w:pStyle w:val="8"/>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14:paraId="5CBED0C4">
      <w:pPr>
        <w:pStyle w:val="8"/>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eastAsia="zh-CN"/>
        </w:rPr>
        <w:t>部长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14:paraId="0B114297">
      <w:pPr>
        <w:pStyle w:val="8"/>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14:paraId="470A6F71">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（二）工作履行活动完成情况。</w:t>
      </w:r>
    </w:p>
    <w:p w14:paraId="3DD6939F">
      <w:pPr>
        <w:pStyle w:val="8"/>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本部门绩效评价工作活动由</w:t>
      </w:r>
      <w:r>
        <w:rPr>
          <w:rFonts w:hint="eastAsia" w:ascii="仿宋" w:hAnsi="仿宋" w:eastAsia="仿宋" w:cs="仿宋"/>
          <w:sz w:val="32"/>
          <w:szCs w:val="32"/>
          <w:lang w:val="en-US" w:eastAsia="zh-CN"/>
        </w:rPr>
        <w:t>人社局局长白庆霞</w:t>
      </w:r>
      <w:r>
        <w:rPr>
          <w:rFonts w:hint="eastAsia" w:ascii="仿宋" w:hAnsi="仿宋" w:eastAsia="仿宋" w:cs="仿宋"/>
          <w:sz w:val="32"/>
          <w:szCs w:val="32"/>
          <w:lang w:eastAsia="zh-CN"/>
        </w:rPr>
        <w:t>同志任组长，</w:t>
      </w:r>
      <w:r>
        <w:rPr>
          <w:rFonts w:hint="eastAsia" w:ascii="仿宋" w:hAnsi="仿宋" w:eastAsia="仿宋" w:cs="仿宋"/>
          <w:sz w:val="32"/>
          <w:szCs w:val="32"/>
          <w:lang w:val="en-US" w:eastAsia="zh-CN"/>
        </w:rPr>
        <w:t>刘敬伟、国红利</w:t>
      </w:r>
      <w:r>
        <w:rPr>
          <w:rFonts w:hint="eastAsia" w:ascii="仿宋" w:hAnsi="仿宋" w:eastAsia="仿宋" w:cs="仿宋"/>
          <w:sz w:val="32"/>
          <w:szCs w:val="32"/>
          <w:lang w:eastAsia="zh-CN"/>
        </w:rPr>
        <w:t>为成员，</w:t>
      </w:r>
      <w:r>
        <w:rPr>
          <w:rFonts w:hint="eastAsia" w:ascii="仿宋" w:hAnsi="仿宋" w:eastAsia="仿宋" w:cs="Times New Roman"/>
          <w:color w:val="000000"/>
          <w:sz w:val="32"/>
          <w:szCs w:val="32"/>
          <w:lang w:val="en-US" w:eastAsia="zh-CN"/>
        </w:rPr>
        <w:t>项目绩效目标均已完成。</w:t>
      </w:r>
    </w:p>
    <w:p w14:paraId="1D5DCAA2">
      <w:pPr>
        <w:adjustRightInd w:val="0"/>
        <w:ind w:firstLine="480" w:firstLineChars="150"/>
        <w:rPr>
          <w:rFonts w:hint="eastAsia" w:ascii="仿宋" w:hAnsi="仿宋" w:eastAsia="仿宋" w:cs="仿宋"/>
          <w:sz w:val="32"/>
          <w:szCs w:val="32"/>
        </w:rPr>
      </w:pPr>
    </w:p>
    <w:p w14:paraId="36EF9624">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247A2CB3">
      <w:pPr>
        <w:snapToGrid/>
        <w:spacing w:line="240" w:lineRule="auto"/>
        <w:ind w:firstLine="640" w:firstLineChars="200"/>
        <w:rPr>
          <w:rFonts w:hint="eastAsia" w:ascii="仿宋" w:hAnsi="仿宋" w:eastAsia="仿宋" w:cs="仿宋"/>
          <w:sz w:val="32"/>
          <w:szCs w:val="32"/>
        </w:rPr>
      </w:pP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w:t>
      </w:r>
      <w:r>
        <w:rPr>
          <w:rFonts w:hint="eastAsia" w:ascii="仿宋" w:hAnsi="仿宋" w:eastAsia="仿宋" w:cs="仿宋"/>
          <w:sz w:val="32"/>
          <w:szCs w:val="32"/>
          <w:lang w:eastAsia="zh-CN"/>
        </w:rPr>
        <w:t>县级项目活动</w:t>
      </w:r>
      <w:r>
        <w:rPr>
          <w:rFonts w:hint="eastAsia" w:ascii="仿宋" w:hAnsi="仿宋" w:eastAsia="仿宋" w:cs="仿宋"/>
          <w:sz w:val="32"/>
          <w:szCs w:val="32"/>
        </w:rPr>
        <w:t>已全部完成，完成率</w:t>
      </w:r>
      <w:r>
        <w:rPr>
          <w:rFonts w:ascii="仿宋" w:hAnsi="仿宋" w:eastAsia="仿宋" w:cs="仿宋"/>
          <w:sz w:val="32"/>
          <w:szCs w:val="32"/>
        </w:rPr>
        <w:t>100%</w:t>
      </w:r>
      <w:r>
        <w:rPr>
          <w:rFonts w:hint="eastAsia" w:ascii="仿宋" w:hAnsi="仿宋" w:eastAsia="仿宋" w:cs="仿宋"/>
          <w:sz w:val="32"/>
          <w:szCs w:val="32"/>
        </w:rPr>
        <w:t>，资金使用合理规规，得到群众认可</w:t>
      </w:r>
      <w:r>
        <w:rPr>
          <w:rFonts w:hint="eastAsia" w:ascii="仿宋" w:hAnsi="仿宋" w:eastAsia="仿宋" w:cs="宋体"/>
          <w:kern w:val="0"/>
          <w:sz w:val="32"/>
          <w:szCs w:val="32"/>
          <w:shd w:val="clear" w:color="auto" w:fill="FFFFFF"/>
        </w:rPr>
        <w:t>并取得了很好的社会反响</w:t>
      </w:r>
      <w:r>
        <w:rPr>
          <w:rFonts w:hint="eastAsia" w:ascii="仿宋" w:hAnsi="仿宋" w:eastAsia="仿宋" w:cs="仿宋"/>
          <w:sz w:val="32"/>
          <w:szCs w:val="32"/>
        </w:rPr>
        <w:t>。</w:t>
      </w:r>
    </w:p>
    <w:p w14:paraId="5A3B54A7">
      <w:pPr>
        <w:pStyle w:val="18"/>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6CE451FA">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人社局</w:t>
      </w:r>
      <w:r>
        <w:rPr>
          <w:rFonts w:hint="eastAsia" w:ascii="Times New Roman" w:hAnsi="Times New Roman" w:eastAsia="仿宋" w:cs="Times New Roman"/>
          <w:sz w:val="32"/>
          <w:szCs w:val="32"/>
        </w:rPr>
        <w:t>主管全县</w:t>
      </w:r>
      <w:r>
        <w:rPr>
          <w:rFonts w:hint="eastAsia" w:ascii="Times New Roman" w:hAnsi="Times New Roman" w:eastAsia="仿宋" w:cs="Times New Roman"/>
          <w:sz w:val="32"/>
          <w:szCs w:val="32"/>
          <w:lang w:eastAsia="zh-CN"/>
        </w:rPr>
        <w:t>人力资源和社会保障工</w:t>
      </w:r>
      <w:r>
        <w:rPr>
          <w:rFonts w:hint="eastAsia" w:ascii="Times New Roman" w:hAnsi="Times New Roman" w:eastAsia="仿宋" w:cs="Times New Roman"/>
          <w:sz w:val="32"/>
          <w:szCs w:val="32"/>
        </w:rPr>
        <w:t>作。按照法律法规及政策规定，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全面协调可持续发展。</w:t>
      </w:r>
    </w:p>
    <w:p w14:paraId="3A72EA1D">
      <w:pPr>
        <w:numPr>
          <w:ilvl w:val="0"/>
          <w:numId w:val="0"/>
        </w:numPr>
        <w:ind w:firstLine="640" w:firstLineChars="200"/>
        <w:jc w:val="left"/>
        <w:rPr>
          <w:rFonts w:hint="eastAsia" w:ascii="仿宋_GB2312" w:hAnsi="宋体" w:eastAsia="仿宋_GB2312"/>
          <w:sz w:val="32"/>
          <w:szCs w:val="32"/>
          <w:lang w:val="en-US" w:eastAsia="zh-CN"/>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年，县</w:t>
      </w:r>
      <w:r>
        <w:rPr>
          <w:rFonts w:hint="eastAsia" w:ascii="仿宋_GB2312" w:hAnsi="宋体" w:eastAsia="仿宋_GB2312"/>
          <w:sz w:val="32"/>
          <w:szCs w:val="32"/>
          <w:lang w:eastAsia="zh-CN"/>
        </w:rPr>
        <w:t>人社局</w:t>
      </w:r>
      <w:r>
        <w:rPr>
          <w:rFonts w:hint="eastAsia" w:ascii="仿宋_GB2312" w:hAnsi="宋体" w:eastAsia="仿宋_GB2312"/>
          <w:sz w:val="32"/>
          <w:szCs w:val="32"/>
        </w:rPr>
        <w:t>在县委、县政府的正确领导下，以习近平新时代中国特色社会主义思想为指导，认真贯彻落实省、市</w:t>
      </w:r>
      <w:r>
        <w:rPr>
          <w:rFonts w:hint="eastAsia" w:ascii="仿宋_GB2312" w:hAnsi="宋体" w:eastAsia="仿宋_GB2312"/>
          <w:sz w:val="32"/>
          <w:szCs w:val="32"/>
          <w:lang w:val="en-US" w:eastAsia="zh-CN"/>
        </w:rPr>
        <w:t>人社系统</w:t>
      </w:r>
      <w:r>
        <w:rPr>
          <w:rFonts w:hint="eastAsia" w:ascii="仿宋_GB2312" w:hAnsi="宋体" w:eastAsia="仿宋_GB2312"/>
          <w:sz w:val="32"/>
          <w:szCs w:val="32"/>
        </w:rPr>
        <w:t>工作部署，紧紧围绕县委县政府“3351”工作主线，依法全面履行职责，切实加强自身建设，圆满的完成了年度各项任务。</w:t>
      </w:r>
      <w:r>
        <w:rPr>
          <w:rFonts w:hint="eastAsia" w:ascii="仿宋_GB2312" w:hAnsi="宋体" w:eastAsia="仿宋_GB2312"/>
          <w:sz w:val="32"/>
          <w:szCs w:val="32"/>
          <w:lang w:val="en-US" w:eastAsia="zh-CN"/>
        </w:rPr>
        <w:t xml:space="preserve">  </w:t>
      </w:r>
    </w:p>
    <w:p w14:paraId="4F06BBC6">
      <w:pPr>
        <w:pStyle w:val="18"/>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00C1F015">
      <w:pPr>
        <w:pStyle w:val="18"/>
        <w:numPr>
          <w:ilvl w:val="0"/>
          <w:numId w:val="0"/>
        </w:numPr>
        <w:ind w:left="709" w:leftChars="0"/>
        <w:rPr>
          <w:rFonts w:hint="eastAsia" w:ascii="黑体" w:hAnsi="黑体" w:eastAsia="黑体" w:cs="仿宋"/>
          <w:sz w:val="32"/>
          <w:szCs w:val="32"/>
        </w:rPr>
      </w:pPr>
      <w:r>
        <w:rPr>
          <w:rFonts w:hint="eastAsia" w:ascii="仿宋" w:hAnsi="仿宋" w:eastAsia="仿宋" w:cs="仿宋"/>
          <w:sz w:val="32"/>
          <w:szCs w:val="32"/>
        </w:rPr>
        <w:t>圆满完成隆尧县</w:t>
      </w:r>
      <w:r>
        <w:rPr>
          <w:rFonts w:hint="eastAsia" w:ascii="仿宋" w:hAnsi="仿宋" w:eastAsia="仿宋" w:cs="仿宋"/>
          <w:sz w:val="32"/>
          <w:szCs w:val="32"/>
          <w:lang w:eastAsia="zh-CN"/>
        </w:rPr>
        <w:t>人社局</w:t>
      </w:r>
      <w:r>
        <w:rPr>
          <w:rFonts w:hint="eastAsia" w:ascii="仿宋" w:hAnsi="仿宋" w:eastAsia="仿宋" w:cs="仿宋"/>
          <w:sz w:val="32"/>
          <w:szCs w:val="32"/>
        </w:rPr>
        <w:t>所有目标任务。</w:t>
      </w:r>
    </w:p>
    <w:p w14:paraId="1676FC06">
      <w:pPr>
        <w:pStyle w:val="18"/>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1F483E6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_GB2312" w:hAnsi="宋体" w:eastAsia="仿宋_GB2312"/>
          <w:sz w:val="32"/>
          <w:szCs w:val="32"/>
        </w:rPr>
        <w:t>202</w:t>
      </w:r>
      <w:r>
        <w:rPr>
          <w:rFonts w:hint="eastAsia" w:ascii="仿宋_GB2312"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val="en-US" w:eastAsia="zh-CN"/>
        </w:rPr>
        <w:t>人社</w:t>
      </w:r>
      <w:r>
        <w:rPr>
          <w:rFonts w:hint="eastAsia" w:ascii="仿宋_GB2312" w:eastAsia="仿宋_GB2312"/>
          <w:sz w:val="32"/>
          <w:szCs w:val="32"/>
          <w:lang w:val="en-US" w:eastAsia="zh-CN"/>
        </w:rPr>
        <w:t>局</w:t>
      </w:r>
      <w:r>
        <w:rPr>
          <w:rFonts w:hint="eastAsia" w:ascii="仿宋_GB2312" w:hAnsi="宋体" w:eastAsia="仿宋_GB2312"/>
          <w:sz w:val="32"/>
          <w:szCs w:val="32"/>
        </w:rPr>
        <w:t>工作虽然取得了一定成绩，但是我们也清醒地认识到目前工作中还存在一些问题和不足</w:t>
      </w:r>
      <w:r>
        <w:rPr>
          <w:rFonts w:hint="eastAsia" w:ascii="仿宋_GB2312" w:hAnsi="宋体" w:eastAsia="仿宋_GB2312"/>
          <w:sz w:val="32"/>
          <w:szCs w:val="32"/>
          <w:lang w:eastAsia="zh-CN"/>
        </w:rPr>
        <w:t>，</w:t>
      </w:r>
      <w:r>
        <w:rPr>
          <w:rFonts w:hint="eastAsia" w:ascii="仿宋" w:hAnsi="仿宋" w:eastAsia="仿宋" w:cs="仿宋"/>
          <w:sz w:val="32"/>
          <w:szCs w:val="32"/>
        </w:rPr>
        <w:t>预算编制有待更严格执行。预算编制与实际支出项目有的仍存在细微差异。</w:t>
      </w:r>
      <w:r>
        <w:rPr>
          <w:rFonts w:hint="eastAsia" w:ascii="仿宋_GB2312" w:hAnsi="宋体" w:eastAsia="仿宋_GB2312"/>
          <w:sz w:val="32"/>
          <w:szCs w:val="32"/>
        </w:rPr>
        <w:t>在以后的工作中，我们将不断完善存在的问题，使得</w:t>
      </w:r>
      <w:r>
        <w:rPr>
          <w:rFonts w:hint="eastAsia" w:ascii="仿宋_GB2312" w:hAnsi="宋体" w:eastAsia="仿宋_GB2312"/>
          <w:sz w:val="32"/>
          <w:szCs w:val="32"/>
          <w:lang w:val="en-US" w:eastAsia="zh-CN"/>
        </w:rPr>
        <w:t>各项</w:t>
      </w:r>
      <w:r>
        <w:rPr>
          <w:rFonts w:hint="eastAsia" w:ascii="仿宋_GB2312" w:hAnsi="宋体" w:eastAsia="仿宋_GB2312"/>
          <w:sz w:val="32"/>
          <w:szCs w:val="32"/>
        </w:rPr>
        <w:t>经费更能有效的利用，产生更好的社会效益</w:t>
      </w:r>
      <w:r>
        <w:rPr>
          <w:rFonts w:hint="eastAsia" w:ascii="仿宋" w:hAnsi="仿宋" w:eastAsia="仿宋" w:cs="仿宋"/>
          <w:sz w:val="32"/>
          <w:szCs w:val="32"/>
        </w:rPr>
        <w:t>。</w:t>
      </w:r>
    </w:p>
    <w:p w14:paraId="1268585F">
      <w:pPr>
        <w:pStyle w:val="18"/>
        <w:numPr>
          <w:ilvl w:val="0"/>
          <w:numId w:val="0"/>
        </w:numPr>
        <w:ind w:left="709" w:leftChars="0"/>
      </w:pPr>
      <w:r>
        <w:rPr>
          <w:rFonts w:hint="eastAsia" w:ascii="黑体" w:hAnsi="黑体" w:eastAsia="黑体" w:cs="仿宋"/>
          <w:sz w:val="32"/>
          <w:szCs w:val="32"/>
          <w:lang w:eastAsia="zh-CN"/>
        </w:rPr>
        <w:t>五、</w:t>
      </w:r>
      <w:r>
        <w:rPr>
          <w:rFonts w:hint="eastAsia" w:ascii="黑体" w:hAnsi="黑体" w:eastAsia="黑体" w:cs="仿宋"/>
          <w:sz w:val="32"/>
          <w:szCs w:val="32"/>
        </w:rPr>
        <w:t>采取的纠偏措施及改进绩效管理建议。</w:t>
      </w:r>
    </w:p>
    <w:p w14:paraId="67024FF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480" w:firstLineChars="200"/>
        <w:jc w:val="left"/>
        <w:textAlignment w:val="auto"/>
        <w:rPr>
          <w:rFonts w:hint="eastAsia" w:ascii="仿宋" w:hAnsi="仿宋" w:eastAsia="仿宋" w:cs="仿宋"/>
          <w:sz w:val="32"/>
          <w:szCs w:val="32"/>
        </w:rPr>
      </w:pPr>
      <w:r>
        <w:rPr>
          <w:rFonts w:hint="eastAsia"/>
          <w:lang w:eastAsia="zh-CN"/>
        </w:rPr>
        <w:tab/>
      </w: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14:paraId="3EF0AB7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E0E9D">
    <w:pPr>
      <w:pStyle w:val="6"/>
      <w:framePr w:wrap="around" w:vAnchor="text" w:hAnchor="margin" w:xAlign="outside" w:y="1"/>
      <w:rPr>
        <w:rStyle w:val="12"/>
        <w:rFonts w:ascii="宋体" w:hAnsi="宋体" w:eastAsia="宋体"/>
        <w:sz w:val="28"/>
        <w:szCs w:val="28"/>
      </w:rPr>
    </w:pPr>
    <w:r>
      <w:rPr>
        <w:rStyle w:val="12"/>
        <w:rFonts w:hint="eastAsia" w:ascii="宋体" w:hAnsi="宋体" w:eastAsia="宋体"/>
        <w:sz w:val="28"/>
        <w:szCs w:val="28"/>
      </w:rPr>
      <w:t>-</w:t>
    </w:r>
    <w:r>
      <w:rPr>
        <w:rStyle w:val="12"/>
        <w:rFonts w:ascii="宋体" w:hAnsi="宋体" w:eastAsia="宋体"/>
        <w:sz w:val="28"/>
        <w:szCs w:val="28"/>
      </w:rPr>
      <w:fldChar w:fldCharType="begin"/>
    </w:r>
    <w:r>
      <w:rPr>
        <w:rStyle w:val="12"/>
        <w:rFonts w:ascii="宋体" w:hAnsi="宋体" w:eastAsia="宋体"/>
        <w:sz w:val="28"/>
        <w:szCs w:val="28"/>
      </w:rPr>
      <w:instrText xml:space="preserve">PAGE  </w:instrText>
    </w:r>
    <w:r>
      <w:rPr>
        <w:rStyle w:val="12"/>
        <w:rFonts w:ascii="宋体" w:hAnsi="宋体" w:eastAsia="宋体"/>
        <w:sz w:val="28"/>
        <w:szCs w:val="28"/>
      </w:rPr>
      <w:fldChar w:fldCharType="separate"/>
    </w:r>
    <w:r>
      <w:rPr>
        <w:rStyle w:val="12"/>
        <w:rFonts w:ascii="宋体" w:hAnsi="宋体" w:eastAsia="宋体"/>
        <w:sz w:val="28"/>
        <w:szCs w:val="28"/>
      </w:rPr>
      <w:t>7</w:t>
    </w:r>
    <w:r>
      <w:rPr>
        <w:rStyle w:val="12"/>
        <w:rFonts w:ascii="宋体" w:hAnsi="宋体" w:eastAsia="宋体"/>
        <w:sz w:val="28"/>
        <w:szCs w:val="28"/>
      </w:rPr>
      <w:fldChar w:fldCharType="end"/>
    </w:r>
    <w:r>
      <w:rPr>
        <w:rStyle w:val="12"/>
        <w:rFonts w:hint="eastAsia" w:ascii="宋体" w:hAnsi="宋体" w:eastAsia="宋体"/>
        <w:sz w:val="28"/>
        <w:szCs w:val="28"/>
      </w:rPr>
      <w:t>-</w:t>
    </w:r>
  </w:p>
  <w:p w14:paraId="375E715B">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4C049">
    <w:pPr>
      <w:pStyle w:val="6"/>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14:paraId="7D565B0E">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AAE27E"/>
    <w:multiLevelType w:val="singleLevel"/>
    <w:tmpl w:val="A9AAE27E"/>
    <w:lvl w:ilvl="0" w:tentative="0">
      <w:start w:val="2"/>
      <w:numFmt w:val="chineseCounting"/>
      <w:suff w:val="nothing"/>
      <w:lvlText w:val="（%1）"/>
      <w:lvlJc w:val="left"/>
      <w:pPr>
        <w:ind w:left="480" w:leftChars="0" w:firstLine="0" w:firstLineChars="0"/>
      </w:pPr>
      <w:rPr>
        <w:rFonts w:hint="eastAsia"/>
      </w:rPr>
    </w:lvl>
  </w:abstractNum>
  <w:abstractNum w:abstractNumId="1">
    <w:nsid w:val="B11941B4"/>
    <w:multiLevelType w:val="singleLevel"/>
    <w:tmpl w:val="B11941B4"/>
    <w:lvl w:ilvl="0" w:tentative="0">
      <w:start w:val="1"/>
      <w:numFmt w:val="chineseCounting"/>
      <w:suff w:val="nothing"/>
      <w:lvlText w:val="（%1）"/>
      <w:lvlJc w:val="left"/>
      <w:rPr>
        <w:rFonts w:hint="eastAsia"/>
      </w:r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Dk2NGJkZTFhZTQ3ZmE1MWIxMDFjZDVkZGQ0ODIifQ=="/>
  </w:docVars>
  <w:rsids>
    <w:rsidRoot w:val="00042933"/>
    <w:rsid w:val="00002F2C"/>
    <w:rsid w:val="000070A8"/>
    <w:rsid w:val="00016CA4"/>
    <w:rsid w:val="000324AE"/>
    <w:rsid w:val="00042933"/>
    <w:rsid w:val="00044EF2"/>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566D"/>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0E52470"/>
    <w:rsid w:val="1C841DE7"/>
    <w:rsid w:val="24F66727"/>
    <w:rsid w:val="30DF358F"/>
    <w:rsid w:val="32AF043E"/>
    <w:rsid w:val="3522249B"/>
    <w:rsid w:val="3791647A"/>
    <w:rsid w:val="397C3722"/>
    <w:rsid w:val="3C1F2937"/>
    <w:rsid w:val="3EB26ED5"/>
    <w:rsid w:val="413861FB"/>
    <w:rsid w:val="455969D8"/>
    <w:rsid w:val="48725571"/>
    <w:rsid w:val="4BDB04ED"/>
    <w:rsid w:val="4ECD2494"/>
    <w:rsid w:val="50605BBE"/>
    <w:rsid w:val="526A3656"/>
    <w:rsid w:val="53CD5365"/>
    <w:rsid w:val="5C4D5A5F"/>
    <w:rsid w:val="5D643D56"/>
    <w:rsid w:val="64283056"/>
    <w:rsid w:val="65674D6E"/>
    <w:rsid w:val="69BD0A47"/>
    <w:rsid w:val="6C8141B1"/>
    <w:rsid w:val="71A911C9"/>
    <w:rsid w:val="75864A32"/>
    <w:rsid w:val="774C6096"/>
    <w:rsid w:val="7793669D"/>
    <w:rsid w:val="77E954A8"/>
    <w:rsid w:val="7AD93A26"/>
    <w:rsid w:val="7CCC213E"/>
    <w:rsid w:val="7D293A1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6"/>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footnote text"/>
    <w:basedOn w:val="1"/>
    <w:qFormat/>
    <w:uiPriority w:val="0"/>
    <w:pPr>
      <w:snapToGrid w:val="0"/>
      <w:jc w:val="left"/>
    </w:pPr>
    <w:rPr>
      <w:sz w:val="18"/>
    </w:rPr>
  </w:style>
  <w:style w:type="paragraph" w:styleId="4">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5">
    <w:name w:val="Plain Text"/>
    <w:basedOn w:val="1"/>
    <w:link w:val="15"/>
    <w:qFormat/>
    <w:uiPriority w:val="0"/>
    <w:rPr>
      <w:rFonts w:ascii="宋体" w:hAnsi="Courier New" w:eastAsia="宋体" w:cs="Courier New"/>
      <w:szCs w:val="21"/>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1">
    <w:name w:val="Strong"/>
    <w:basedOn w:val="10"/>
    <w:qFormat/>
    <w:uiPriority w:val="22"/>
    <w:rPr>
      <w:b/>
      <w:bCs/>
    </w:rPr>
  </w:style>
  <w:style w:type="character" w:styleId="12">
    <w:name w:val="page number"/>
    <w:basedOn w:val="10"/>
    <w:semiHidden/>
    <w:unhideWhenUsed/>
    <w:qFormat/>
    <w:uiPriority w:val="99"/>
  </w:style>
  <w:style w:type="character" w:customStyle="1" w:styleId="13">
    <w:name w:val="页眉 Char"/>
    <w:basedOn w:val="10"/>
    <w:link w:val="7"/>
    <w:qFormat/>
    <w:uiPriority w:val="99"/>
    <w:rPr>
      <w:sz w:val="18"/>
      <w:szCs w:val="18"/>
    </w:rPr>
  </w:style>
  <w:style w:type="character" w:customStyle="1" w:styleId="14">
    <w:name w:val="页脚 Char"/>
    <w:basedOn w:val="10"/>
    <w:link w:val="6"/>
    <w:qFormat/>
    <w:uiPriority w:val="99"/>
    <w:rPr>
      <w:sz w:val="18"/>
      <w:szCs w:val="18"/>
    </w:rPr>
  </w:style>
  <w:style w:type="character" w:customStyle="1" w:styleId="15">
    <w:name w:val="纯文本 Char"/>
    <w:basedOn w:val="10"/>
    <w:link w:val="5"/>
    <w:qFormat/>
    <w:uiPriority w:val="0"/>
    <w:rPr>
      <w:rFonts w:ascii="宋体" w:hAnsi="Courier New" w:eastAsia="宋体" w:cs="Courier New"/>
      <w:szCs w:val="21"/>
    </w:rPr>
  </w:style>
  <w:style w:type="character" w:customStyle="1" w:styleId="16">
    <w:name w:val="标题 1 Char"/>
    <w:basedOn w:val="10"/>
    <w:link w:val="3"/>
    <w:qFormat/>
    <w:uiPriority w:val="9"/>
    <w:rPr>
      <w:rFonts w:ascii="宋体" w:hAnsi="宋体" w:eastAsia="宋体" w:cs="宋体"/>
      <w:b/>
      <w:kern w:val="44"/>
      <w:sz w:val="48"/>
      <w:szCs w:val="48"/>
    </w:rPr>
  </w:style>
  <w:style w:type="character" w:customStyle="1" w:styleId="17">
    <w:name w:val="font31"/>
    <w:basedOn w:val="10"/>
    <w:qFormat/>
    <w:uiPriority w:val="0"/>
    <w:rPr>
      <w:rFonts w:hint="eastAsia" w:ascii="宋体" w:hAnsi="宋体" w:eastAsia="宋体" w:cs="宋体"/>
      <w:b/>
      <w:color w:val="000000"/>
      <w:sz w:val="36"/>
      <w:szCs w:val="36"/>
      <w:u w:val="none"/>
    </w:rPr>
  </w:style>
  <w:style w:type="paragraph" w:styleId="1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7265</Words>
  <Characters>7662</Characters>
  <Lines>40</Lines>
  <Paragraphs>11</Paragraphs>
  <TotalTime>0</TotalTime>
  <ScaleCrop>false</ScaleCrop>
  <LinksUpToDate>false</LinksUpToDate>
  <CharactersWithSpaces>7735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DELL</cp:lastModifiedBy>
  <cp:lastPrinted>2022-03-25T01:30:00Z</cp:lastPrinted>
  <dcterms:modified xsi:type="dcterms:W3CDTF">2025-04-30T07:52:05Z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9DEA352F936F44ED874B7EC89D8EF74F_13</vt:lpwstr>
  </property>
</Properties>
</file>