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5A448A">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48DACA14">
      <w:pPr>
        <w:spacing w:line="480" w:lineRule="exact"/>
        <w:jc w:val="center"/>
        <w:rPr>
          <w:rFonts w:ascii="宋体" w:hAnsi="宋体"/>
          <w:b/>
          <w:sz w:val="44"/>
          <w:szCs w:val="44"/>
        </w:rPr>
      </w:pPr>
      <w:r>
        <w:rPr>
          <w:rFonts w:hint="eastAsia" w:ascii="宋体" w:hAnsi="宋体"/>
          <w:b/>
          <w:sz w:val="44"/>
          <w:szCs w:val="44"/>
        </w:rPr>
        <w:t>隆尧县尹村镇人民政府2021年</w:t>
      </w:r>
    </w:p>
    <w:p w14:paraId="157CB158">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4B0179FD">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尹村镇        单位负责人:路腾飞          </w:t>
      </w:r>
    </w:p>
    <w:tbl>
      <w:tblPr>
        <w:tblStyle w:val="9"/>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708"/>
      </w:tblGrid>
      <w:tr w14:paraId="116E9C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D7F1312">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A05D0C1">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6852FFBD">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0F95BC99">
            <w:pPr>
              <w:widowControl/>
              <w:spacing w:line="240" w:lineRule="exact"/>
              <w:jc w:val="center"/>
              <w:rPr>
                <w:b/>
              </w:rPr>
            </w:pPr>
            <w:r>
              <w:rPr>
                <w:rFonts w:ascii="仿宋_GB2312" w:hAnsi="新宋体" w:eastAsia="仿宋_GB2312" w:cs="仿宋_GB2312"/>
                <w:b/>
                <w:kern w:val="0"/>
                <w:sz w:val="24"/>
                <w:szCs w:val="24"/>
              </w:rPr>
              <w:t>评分标准</w:t>
            </w:r>
          </w:p>
        </w:tc>
        <w:tc>
          <w:tcPr>
            <w:tcW w:w="708" w:type="dxa"/>
            <w:vMerge w:val="restart"/>
            <w:tcBorders>
              <w:top w:val="single" w:color="000000" w:sz="4" w:space="0"/>
              <w:left w:val="single" w:color="auto" w:sz="4" w:space="0"/>
              <w:bottom w:val="single" w:color="000000" w:sz="4" w:space="0"/>
              <w:right w:val="single" w:color="auto" w:sz="4" w:space="0"/>
            </w:tcBorders>
            <w:vAlign w:val="center"/>
          </w:tcPr>
          <w:p w14:paraId="15C430B7">
            <w:pPr>
              <w:widowControl/>
              <w:spacing w:line="240" w:lineRule="exact"/>
              <w:jc w:val="left"/>
              <w:rPr>
                <w:b/>
              </w:rPr>
            </w:pPr>
            <w:r>
              <w:rPr>
                <w:rFonts w:ascii="仿宋_GB2312" w:hAnsi="新宋体" w:eastAsia="仿宋_GB2312" w:cs="仿宋_GB2312"/>
                <w:b/>
                <w:kern w:val="0"/>
                <w:sz w:val="24"/>
                <w:szCs w:val="24"/>
              </w:rPr>
              <w:t>得分</w:t>
            </w:r>
          </w:p>
        </w:tc>
      </w:tr>
      <w:tr w14:paraId="3A6623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4DE55AB">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E2A3461">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97204FA">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28CA75B0">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37A419F3">
            <w:pPr>
              <w:rPr>
                <w:rFonts w:ascii="宋体"/>
                <w:szCs w:val="21"/>
              </w:rPr>
            </w:pPr>
          </w:p>
        </w:tc>
        <w:tc>
          <w:tcPr>
            <w:tcW w:w="708" w:type="dxa"/>
            <w:vMerge w:val="continue"/>
            <w:tcBorders>
              <w:top w:val="single" w:color="000000" w:sz="4" w:space="0"/>
              <w:left w:val="single" w:color="auto" w:sz="4" w:space="0"/>
              <w:bottom w:val="single" w:color="000000" w:sz="4" w:space="0"/>
              <w:right w:val="single" w:color="auto" w:sz="4" w:space="0"/>
            </w:tcBorders>
            <w:vAlign w:val="center"/>
          </w:tcPr>
          <w:p w14:paraId="5BA167BC">
            <w:pPr>
              <w:rPr>
                <w:rFonts w:ascii="宋体"/>
                <w:szCs w:val="21"/>
              </w:rPr>
            </w:pPr>
          </w:p>
        </w:tc>
      </w:tr>
      <w:tr w14:paraId="2B51B6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531D5B8E">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708" w:type="dxa"/>
            <w:tcBorders>
              <w:top w:val="single" w:color="000000" w:sz="4" w:space="0"/>
              <w:left w:val="single" w:color="auto" w:sz="4" w:space="0"/>
              <w:bottom w:val="single" w:color="auto" w:sz="4" w:space="0"/>
              <w:right w:val="single" w:color="000000" w:sz="4" w:space="0"/>
            </w:tcBorders>
            <w:vAlign w:val="center"/>
          </w:tcPr>
          <w:p w14:paraId="25F55569">
            <w:pPr>
              <w:widowControl/>
              <w:spacing w:line="240" w:lineRule="exact"/>
              <w:jc w:val="left"/>
              <w:rPr>
                <w:szCs w:val="21"/>
              </w:rPr>
            </w:pPr>
            <w:r>
              <w:rPr>
                <w:rFonts w:hint="eastAsia"/>
                <w:szCs w:val="21"/>
              </w:rPr>
              <w:t>96</w:t>
            </w:r>
          </w:p>
        </w:tc>
      </w:tr>
      <w:tr w14:paraId="086BCD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D732785">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759557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7B801E25">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8813CBC">
            <w:pPr>
              <w:widowControl/>
              <w:spacing w:line="240" w:lineRule="exact"/>
              <w:jc w:val="left"/>
              <w:rPr>
                <w:rFonts w:ascii="仿宋_GB2312" w:hAnsi="新宋体" w:eastAsia="仿宋_GB2312" w:cs="仿宋_GB2312"/>
                <w:kern w:val="0"/>
                <w:szCs w:val="21"/>
              </w:rPr>
            </w:pPr>
          </w:p>
          <w:p w14:paraId="3190A5F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19C01D4A">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9B2B05F">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738C3A84">
            <w:pPr>
              <w:widowControl/>
              <w:spacing w:line="240" w:lineRule="exact"/>
              <w:jc w:val="left"/>
              <w:rPr>
                <w:szCs w:val="21"/>
              </w:rPr>
            </w:pPr>
            <w:r>
              <w:rPr>
                <w:rFonts w:ascii="仿宋_GB2312" w:hAnsi="新宋体" w:eastAsia="仿宋_GB2312" w:cs="仿宋_GB2312"/>
                <w:kern w:val="0"/>
                <w:szCs w:val="21"/>
              </w:rPr>
              <w:t>符合（1）；</w:t>
            </w:r>
          </w:p>
          <w:p w14:paraId="1B8D82BF">
            <w:pPr>
              <w:widowControl/>
              <w:spacing w:line="240" w:lineRule="exact"/>
              <w:jc w:val="left"/>
              <w:rPr>
                <w:szCs w:val="21"/>
              </w:rPr>
            </w:pPr>
            <w:r>
              <w:rPr>
                <w:rFonts w:ascii="仿宋_GB2312" w:hAnsi="新宋体" w:eastAsia="仿宋_GB2312" w:cs="仿宋_GB2312"/>
                <w:kern w:val="0"/>
                <w:szCs w:val="21"/>
              </w:rPr>
              <w:t>不符合（0）。</w:t>
            </w:r>
          </w:p>
        </w:tc>
        <w:tc>
          <w:tcPr>
            <w:tcW w:w="708" w:type="dxa"/>
            <w:tcBorders>
              <w:top w:val="single" w:color="000000" w:sz="4" w:space="0"/>
              <w:left w:val="single" w:color="auto" w:sz="4" w:space="0"/>
              <w:bottom w:val="single" w:color="auto" w:sz="4" w:space="0"/>
              <w:right w:val="single" w:color="000000" w:sz="4" w:space="0"/>
            </w:tcBorders>
            <w:vAlign w:val="center"/>
          </w:tcPr>
          <w:p w14:paraId="588B87A2">
            <w:pPr>
              <w:widowControl/>
              <w:spacing w:line="240" w:lineRule="exact"/>
              <w:jc w:val="left"/>
              <w:rPr>
                <w:szCs w:val="21"/>
              </w:rPr>
            </w:pPr>
            <w:r>
              <w:rPr>
                <w:rFonts w:hint="eastAsia"/>
                <w:szCs w:val="21"/>
              </w:rPr>
              <w:t>1</w:t>
            </w:r>
          </w:p>
        </w:tc>
      </w:tr>
      <w:tr w14:paraId="70A4F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A1B0E5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93D48C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5854553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7C39589">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09DBDE9">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720E06B">
            <w:pPr>
              <w:widowControl/>
              <w:spacing w:line="240" w:lineRule="exact"/>
              <w:jc w:val="left"/>
              <w:rPr>
                <w:szCs w:val="21"/>
              </w:rPr>
            </w:pPr>
            <w:r>
              <w:rPr>
                <w:rFonts w:ascii="仿宋_GB2312" w:hAnsi="新宋体" w:eastAsia="仿宋_GB2312" w:cs="仿宋_GB2312"/>
                <w:kern w:val="0"/>
                <w:szCs w:val="21"/>
              </w:rPr>
              <w:t>评价要点：</w:t>
            </w:r>
          </w:p>
          <w:p w14:paraId="1D6E906C">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284C4640">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0834D04D">
            <w:pPr>
              <w:widowControl/>
              <w:spacing w:line="240" w:lineRule="exact"/>
              <w:jc w:val="left"/>
              <w:rPr>
                <w:szCs w:val="21"/>
              </w:rPr>
            </w:pPr>
            <w:r>
              <w:rPr>
                <w:rFonts w:ascii="仿宋_GB2312" w:hAnsi="新宋体" w:eastAsia="仿宋_GB2312" w:cs="仿宋_GB2312"/>
                <w:kern w:val="0"/>
                <w:szCs w:val="21"/>
              </w:rPr>
              <w:t>全部符合（2）；</w:t>
            </w:r>
          </w:p>
          <w:p w14:paraId="2750C8DE">
            <w:pPr>
              <w:widowControl/>
              <w:spacing w:line="240" w:lineRule="exact"/>
              <w:jc w:val="left"/>
              <w:rPr>
                <w:szCs w:val="21"/>
              </w:rPr>
            </w:pPr>
            <w:r>
              <w:rPr>
                <w:rFonts w:ascii="仿宋_GB2312" w:hAnsi="新宋体" w:eastAsia="仿宋_GB2312" w:cs="仿宋_GB2312"/>
                <w:kern w:val="0"/>
                <w:szCs w:val="21"/>
              </w:rPr>
              <w:t>其中一项不符合（0）。</w:t>
            </w:r>
          </w:p>
        </w:tc>
        <w:tc>
          <w:tcPr>
            <w:tcW w:w="708" w:type="dxa"/>
            <w:tcBorders>
              <w:top w:val="single" w:color="000000" w:sz="4" w:space="0"/>
              <w:left w:val="single" w:color="auto" w:sz="4" w:space="0"/>
              <w:bottom w:val="single" w:color="auto" w:sz="4" w:space="0"/>
              <w:right w:val="single" w:color="000000" w:sz="4" w:space="0"/>
            </w:tcBorders>
            <w:vAlign w:val="center"/>
          </w:tcPr>
          <w:p w14:paraId="70C4DD10">
            <w:pPr>
              <w:widowControl/>
              <w:spacing w:line="240" w:lineRule="exact"/>
              <w:jc w:val="left"/>
              <w:rPr>
                <w:szCs w:val="21"/>
              </w:rPr>
            </w:pPr>
            <w:r>
              <w:rPr>
                <w:rFonts w:hint="eastAsia"/>
                <w:szCs w:val="21"/>
              </w:rPr>
              <w:t>2</w:t>
            </w:r>
          </w:p>
        </w:tc>
      </w:tr>
      <w:tr w14:paraId="4E9D5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559D60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4B4E75C">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6FAF9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1740B7C1">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8839F84">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BC2D297">
            <w:pPr>
              <w:widowControl/>
              <w:spacing w:line="240" w:lineRule="exact"/>
              <w:jc w:val="left"/>
              <w:rPr>
                <w:szCs w:val="21"/>
              </w:rPr>
            </w:pPr>
            <w:r>
              <w:rPr>
                <w:rFonts w:ascii="仿宋_GB2312" w:hAnsi="新宋体" w:eastAsia="仿宋_GB2312" w:cs="仿宋_GB2312"/>
                <w:kern w:val="0"/>
                <w:szCs w:val="21"/>
              </w:rPr>
              <w:t>评价要点：</w:t>
            </w:r>
          </w:p>
          <w:p w14:paraId="46D95E2D">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5EF2C88F">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9A55862">
            <w:pPr>
              <w:widowControl/>
              <w:spacing w:line="240" w:lineRule="exact"/>
              <w:jc w:val="left"/>
              <w:rPr>
                <w:szCs w:val="21"/>
              </w:rPr>
            </w:pPr>
            <w:r>
              <w:rPr>
                <w:rFonts w:ascii="仿宋_GB2312" w:hAnsi="新宋体" w:eastAsia="仿宋_GB2312" w:cs="仿宋_GB2312"/>
                <w:kern w:val="0"/>
                <w:szCs w:val="21"/>
              </w:rPr>
              <w:t>全部符合（2）；</w:t>
            </w:r>
          </w:p>
          <w:p w14:paraId="2AF2C574">
            <w:pPr>
              <w:widowControl/>
              <w:spacing w:line="240" w:lineRule="exact"/>
              <w:jc w:val="left"/>
              <w:rPr>
                <w:szCs w:val="21"/>
              </w:rPr>
            </w:pPr>
            <w:r>
              <w:rPr>
                <w:rFonts w:ascii="仿宋_GB2312" w:hAnsi="新宋体" w:eastAsia="仿宋_GB2312" w:cs="仿宋_GB2312"/>
                <w:kern w:val="0"/>
                <w:szCs w:val="21"/>
              </w:rPr>
              <w:t>其中一项不符合（0）。</w:t>
            </w:r>
          </w:p>
        </w:tc>
        <w:tc>
          <w:tcPr>
            <w:tcW w:w="708" w:type="dxa"/>
            <w:tcBorders>
              <w:top w:val="single" w:color="000000" w:sz="4" w:space="0"/>
              <w:left w:val="single" w:color="auto" w:sz="4" w:space="0"/>
              <w:bottom w:val="single" w:color="auto" w:sz="4" w:space="0"/>
              <w:right w:val="single" w:color="000000" w:sz="4" w:space="0"/>
            </w:tcBorders>
            <w:vAlign w:val="center"/>
          </w:tcPr>
          <w:p w14:paraId="006CCC4E">
            <w:pPr>
              <w:widowControl/>
              <w:spacing w:line="240" w:lineRule="exact"/>
              <w:jc w:val="left"/>
              <w:rPr>
                <w:szCs w:val="21"/>
              </w:rPr>
            </w:pPr>
            <w:r>
              <w:rPr>
                <w:rFonts w:hint="eastAsia"/>
                <w:szCs w:val="21"/>
              </w:rPr>
              <w:t>2</w:t>
            </w:r>
          </w:p>
        </w:tc>
      </w:tr>
      <w:tr w14:paraId="2AA697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E6D08B">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6CD4AA0E">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D3ADE76">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3E641AF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44083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42ABE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3FA1D2F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2E0E936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4356545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61D392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7FA3FCE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08" w:type="dxa"/>
            <w:tcBorders>
              <w:top w:val="single" w:color="auto" w:sz="4" w:space="0"/>
              <w:left w:val="single" w:color="auto" w:sz="4" w:space="0"/>
              <w:bottom w:val="single" w:color="000000" w:sz="4" w:space="0"/>
              <w:right w:val="single" w:color="000000" w:sz="4" w:space="0"/>
            </w:tcBorders>
            <w:vAlign w:val="center"/>
          </w:tcPr>
          <w:p w14:paraId="62DB197B">
            <w:pPr>
              <w:widowControl/>
              <w:spacing w:line="240" w:lineRule="exact"/>
              <w:jc w:val="left"/>
              <w:rPr>
                <w:szCs w:val="21"/>
              </w:rPr>
            </w:pPr>
            <w:r>
              <w:rPr>
                <w:rFonts w:hint="eastAsia"/>
                <w:szCs w:val="21"/>
              </w:rPr>
              <w:t>1</w:t>
            </w:r>
          </w:p>
        </w:tc>
      </w:tr>
      <w:tr w14:paraId="01410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607A9D99">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A56839A">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B146BC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1637C8E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73F0123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3C1F8C2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210140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7D90EA8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708" w:type="dxa"/>
            <w:tcBorders>
              <w:top w:val="single" w:color="auto" w:sz="4" w:space="0"/>
              <w:left w:val="single" w:color="auto" w:sz="4" w:space="0"/>
              <w:bottom w:val="single" w:color="000000" w:sz="4" w:space="0"/>
              <w:right w:val="single" w:color="000000" w:sz="4" w:space="0"/>
            </w:tcBorders>
            <w:vAlign w:val="center"/>
          </w:tcPr>
          <w:p w14:paraId="67C7D368">
            <w:pPr>
              <w:widowControl/>
              <w:spacing w:line="240" w:lineRule="exact"/>
              <w:jc w:val="left"/>
              <w:rPr>
                <w:szCs w:val="21"/>
              </w:rPr>
            </w:pPr>
            <w:r>
              <w:rPr>
                <w:rFonts w:hint="eastAsia"/>
                <w:szCs w:val="21"/>
              </w:rPr>
              <w:t>2</w:t>
            </w:r>
          </w:p>
        </w:tc>
      </w:tr>
      <w:tr w14:paraId="1D17A1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07BEC922">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127BFA59">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BFFE685">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F3ABE6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59CC081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253DD20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03E6C57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3F9AA8E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08" w:type="dxa"/>
            <w:tcBorders>
              <w:top w:val="single" w:color="auto" w:sz="4" w:space="0"/>
              <w:left w:val="single" w:color="auto" w:sz="4" w:space="0"/>
              <w:bottom w:val="single" w:color="000000" w:sz="4" w:space="0"/>
              <w:right w:val="single" w:color="000000" w:sz="4" w:space="0"/>
            </w:tcBorders>
            <w:vAlign w:val="center"/>
          </w:tcPr>
          <w:p w14:paraId="082C6849">
            <w:pPr>
              <w:widowControl/>
              <w:spacing w:line="240" w:lineRule="exact"/>
              <w:jc w:val="left"/>
              <w:rPr>
                <w:szCs w:val="21"/>
              </w:rPr>
            </w:pPr>
            <w:r>
              <w:rPr>
                <w:rFonts w:hint="eastAsia"/>
                <w:szCs w:val="21"/>
              </w:rPr>
              <w:t>2</w:t>
            </w:r>
          </w:p>
        </w:tc>
      </w:tr>
      <w:tr w14:paraId="21621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28CB155">
            <w:pPr>
              <w:widowControl/>
              <w:spacing w:line="240" w:lineRule="exact"/>
              <w:jc w:val="left"/>
              <w:rPr>
                <w:szCs w:val="21"/>
              </w:rPr>
            </w:pPr>
            <w:r>
              <w:rPr>
                <w:rFonts w:hint="eastAsia" w:ascii="仿宋_GB2312" w:hAnsi="新宋体" w:eastAsia="仿宋_GB2312" w:cs="仿宋_GB2312"/>
                <w:kern w:val="0"/>
                <w:szCs w:val="21"/>
              </w:rPr>
              <w:t>8</w:t>
            </w: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8DE91A9">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91BA2B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3351E910">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B8415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701D50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B88C9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3C58323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79F170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057E8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08" w:type="dxa"/>
            <w:tcBorders>
              <w:top w:val="single" w:color="000000" w:sz="4" w:space="0"/>
              <w:left w:val="single" w:color="auto" w:sz="4" w:space="0"/>
              <w:bottom w:val="single" w:color="000000" w:sz="4" w:space="0"/>
              <w:right w:val="single" w:color="000000" w:sz="4" w:space="0"/>
            </w:tcBorders>
            <w:vAlign w:val="center"/>
          </w:tcPr>
          <w:p w14:paraId="2A561D3E">
            <w:pPr>
              <w:widowControl/>
              <w:spacing w:line="240" w:lineRule="exact"/>
              <w:jc w:val="left"/>
              <w:rPr>
                <w:szCs w:val="21"/>
              </w:rPr>
            </w:pPr>
            <w:r>
              <w:rPr>
                <w:rFonts w:hint="eastAsia"/>
                <w:szCs w:val="21"/>
              </w:rPr>
              <w:t>4</w:t>
            </w:r>
          </w:p>
        </w:tc>
      </w:tr>
      <w:tr w14:paraId="22492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1CD619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EE508D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217E2A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7CBB2AA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C48CAF4">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2AE7B31">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11A722C">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0E6A3FB7">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3BB0C8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7E7C21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08" w:type="dxa"/>
            <w:tcBorders>
              <w:top w:val="single" w:color="000000" w:sz="4" w:space="0"/>
              <w:left w:val="single" w:color="auto" w:sz="4" w:space="0"/>
              <w:bottom w:val="single" w:color="000000" w:sz="4" w:space="0"/>
              <w:right w:val="single" w:color="000000" w:sz="4" w:space="0"/>
            </w:tcBorders>
            <w:vAlign w:val="center"/>
          </w:tcPr>
          <w:p w14:paraId="2018CDC2">
            <w:pPr>
              <w:widowControl/>
              <w:spacing w:line="240" w:lineRule="exact"/>
              <w:jc w:val="left"/>
              <w:rPr>
                <w:szCs w:val="21"/>
              </w:rPr>
            </w:pPr>
            <w:r>
              <w:rPr>
                <w:rFonts w:hint="eastAsia"/>
                <w:szCs w:val="21"/>
              </w:rPr>
              <w:t>3</w:t>
            </w:r>
          </w:p>
        </w:tc>
      </w:tr>
      <w:tr w14:paraId="2BD9E1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1B6CA5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F4EF5F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424E8E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8EACFA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F522E3D">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5540D01">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65D5359">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648464EA">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08" w:type="dxa"/>
            <w:tcBorders>
              <w:top w:val="single" w:color="000000" w:sz="4" w:space="0"/>
              <w:left w:val="single" w:color="auto" w:sz="4" w:space="0"/>
              <w:bottom w:val="single" w:color="000000" w:sz="4" w:space="0"/>
              <w:right w:val="single" w:color="000000" w:sz="4" w:space="0"/>
            </w:tcBorders>
            <w:vAlign w:val="center"/>
          </w:tcPr>
          <w:p w14:paraId="77FD6A28">
            <w:pPr>
              <w:widowControl/>
              <w:spacing w:line="240" w:lineRule="exact"/>
              <w:jc w:val="left"/>
              <w:rPr>
                <w:szCs w:val="21"/>
              </w:rPr>
            </w:pPr>
            <w:r>
              <w:rPr>
                <w:rFonts w:hint="eastAsia"/>
                <w:szCs w:val="21"/>
              </w:rPr>
              <w:t>4</w:t>
            </w:r>
          </w:p>
        </w:tc>
      </w:tr>
      <w:tr w14:paraId="43836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337F33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4960398">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C7F13F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9C63CB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70B0E402">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58853A8">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660403EC">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A78717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11626F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6E0A8A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59DA43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08" w:type="dxa"/>
            <w:tcBorders>
              <w:top w:val="single" w:color="000000" w:sz="4" w:space="0"/>
              <w:left w:val="single" w:color="auto" w:sz="4" w:space="0"/>
              <w:bottom w:val="single" w:color="000000" w:sz="4" w:space="0"/>
              <w:right w:val="single" w:color="000000" w:sz="4" w:space="0"/>
            </w:tcBorders>
            <w:vAlign w:val="center"/>
          </w:tcPr>
          <w:p w14:paraId="63503858">
            <w:pPr>
              <w:widowControl/>
              <w:spacing w:line="240" w:lineRule="exact"/>
              <w:jc w:val="left"/>
              <w:rPr>
                <w:szCs w:val="21"/>
              </w:rPr>
            </w:pPr>
            <w:r>
              <w:rPr>
                <w:rFonts w:hint="eastAsia"/>
                <w:szCs w:val="21"/>
              </w:rPr>
              <w:t>3</w:t>
            </w:r>
          </w:p>
        </w:tc>
      </w:tr>
      <w:tr w14:paraId="03269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FCB959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E12293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0B0B59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4C0BF6C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0189AD6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7FDCD7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67A08D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0EACF3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7E2AA47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A0C51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72C40D9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08" w:type="dxa"/>
            <w:tcBorders>
              <w:top w:val="single" w:color="000000" w:sz="4" w:space="0"/>
              <w:left w:val="single" w:color="auto" w:sz="4" w:space="0"/>
              <w:bottom w:val="single" w:color="000000" w:sz="4" w:space="0"/>
              <w:right w:val="single" w:color="000000" w:sz="4" w:space="0"/>
            </w:tcBorders>
            <w:vAlign w:val="center"/>
          </w:tcPr>
          <w:p w14:paraId="6E0A0B25">
            <w:pPr>
              <w:widowControl/>
              <w:spacing w:line="240" w:lineRule="exact"/>
              <w:jc w:val="left"/>
              <w:rPr>
                <w:szCs w:val="21"/>
              </w:rPr>
            </w:pPr>
            <w:r>
              <w:rPr>
                <w:rFonts w:hint="eastAsia"/>
                <w:szCs w:val="21"/>
              </w:rPr>
              <w:t>4</w:t>
            </w:r>
          </w:p>
        </w:tc>
      </w:tr>
      <w:tr w14:paraId="3B83D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EDA04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C90A6B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C99EC7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20DE140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6A46702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E23A8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5A6E34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78DC43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0FFF2E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802080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C10A6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59D62CB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08" w:type="dxa"/>
            <w:tcBorders>
              <w:top w:val="single" w:color="000000" w:sz="4" w:space="0"/>
              <w:left w:val="single" w:color="auto" w:sz="4" w:space="0"/>
              <w:bottom w:val="single" w:color="000000" w:sz="4" w:space="0"/>
              <w:right w:val="single" w:color="000000" w:sz="4" w:space="0"/>
            </w:tcBorders>
            <w:vAlign w:val="center"/>
          </w:tcPr>
          <w:p w14:paraId="4D1AC9CE">
            <w:pPr>
              <w:widowControl/>
              <w:spacing w:line="240" w:lineRule="exact"/>
              <w:jc w:val="left"/>
              <w:rPr>
                <w:szCs w:val="21"/>
              </w:rPr>
            </w:pPr>
            <w:r>
              <w:rPr>
                <w:rFonts w:hint="eastAsia"/>
                <w:szCs w:val="21"/>
              </w:rPr>
              <w:t>4</w:t>
            </w:r>
          </w:p>
        </w:tc>
      </w:tr>
      <w:tr w14:paraId="1125F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DBC2D0A">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7CA3B59">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49EF3FC4">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536D272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FEF58E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5010CAEE">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D3F8A9A">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34329A1B">
            <w:pPr>
              <w:widowControl/>
              <w:spacing w:line="240" w:lineRule="exact"/>
              <w:jc w:val="left"/>
              <w:rPr>
                <w:szCs w:val="21"/>
              </w:rPr>
            </w:pPr>
            <w:r>
              <w:rPr>
                <w:rFonts w:ascii="仿宋_GB2312" w:hAnsi="新宋体" w:eastAsia="仿宋_GB2312" w:cs="仿宋_GB2312"/>
                <w:kern w:val="0"/>
                <w:szCs w:val="21"/>
              </w:rPr>
              <w:t>评价要点：</w:t>
            </w:r>
          </w:p>
          <w:p w14:paraId="044250DF">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08865877">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65079444">
            <w:pPr>
              <w:widowControl/>
              <w:spacing w:line="240" w:lineRule="exact"/>
              <w:jc w:val="left"/>
              <w:rPr>
                <w:szCs w:val="21"/>
              </w:rPr>
            </w:pPr>
            <w:r>
              <w:rPr>
                <w:rFonts w:ascii="仿宋_GB2312" w:hAnsi="新宋体" w:eastAsia="仿宋_GB2312" w:cs="仿宋_GB2312"/>
                <w:kern w:val="0"/>
                <w:szCs w:val="21"/>
              </w:rPr>
              <w:t>3.项目的重大开支经过评估论证；</w:t>
            </w:r>
          </w:p>
          <w:p w14:paraId="44F7CD31">
            <w:pPr>
              <w:widowControl/>
              <w:spacing w:line="240" w:lineRule="exact"/>
              <w:jc w:val="left"/>
              <w:rPr>
                <w:szCs w:val="21"/>
              </w:rPr>
            </w:pPr>
            <w:r>
              <w:rPr>
                <w:rFonts w:ascii="仿宋_GB2312" w:hAnsi="新宋体" w:eastAsia="仿宋_GB2312" w:cs="仿宋_GB2312"/>
                <w:kern w:val="0"/>
                <w:szCs w:val="21"/>
              </w:rPr>
              <w:t>4.符合部门预算批复的用途；</w:t>
            </w:r>
          </w:p>
          <w:p w14:paraId="192328DE">
            <w:pPr>
              <w:widowControl/>
              <w:spacing w:line="240" w:lineRule="exact"/>
              <w:jc w:val="left"/>
              <w:rPr>
                <w:szCs w:val="21"/>
              </w:rPr>
            </w:pPr>
            <w:r>
              <w:rPr>
                <w:rFonts w:ascii="仿宋_GB2312" w:hAnsi="新宋体" w:eastAsia="仿宋_GB2312" w:cs="仿宋_GB2312"/>
                <w:kern w:val="0"/>
                <w:szCs w:val="21"/>
              </w:rPr>
              <w:t>5.不存在截留情况；</w:t>
            </w:r>
          </w:p>
          <w:p w14:paraId="43ACE250">
            <w:pPr>
              <w:widowControl/>
              <w:spacing w:line="240" w:lineRule="exact"/>
              <w:jc w:val="left"/>
              <w:rPr>
                <w:szCs w:val="21"/>
              </w:rPr>
            </w:pPr>
            <w:r>
              <w:rPr>
                <w:rFonts w:ascii="仿宋_GB2312" w:hAnsi="新宋体" w:eastAsia="仿宋_GB2312" w:cs="仿宋_GB2312"/>
                <w:kern w:val="0"/>
                <w:szCs w:val="21"/>
              </w:rPr>
              <w:t>6.不存在挤占情况；</w:t>
            </w:r>
          </w:p>
          <w:p w14:paraId="333B8952">
            <w:pPr>
              <w:widowControl/>
              <w:spacing w:line="240" w:lineRule="exact"/>
              <w:jc w:val="left"/>
              <w:rPr>
                <w:szCs w:val="21"/>
              </w:rPr>
            </w:pPr>
            <w:r>
              <w:rPr>
                <w:rFonts w:ascii="仿宋_GB2312" w:hAnsi="新宋体" w:eastAsia="仿宋_GB2312" w:cs="仿宋_GB2312"/>
                <w:kern w:val="0"/>
                <w:szCs w:val="21"/>
              </w:rPr>
              <w:t>7.不存在挪用情况；</w:t>
            </w:r>
          </w:p>
          <w:p w14:paraId="2570113D">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2E01464C">
            <w:pPr>
              <w:widowControl/>
              <w:spacing w:line="240" w:lineRule="exact"/>
              <w:jc w:val="left"/>
              <w:rPr>
                <w:szCs w:val="21"/>
              </w:rPr>
            </w:pPr>
            <w:r>
              <w:rPr>
                <w:rFonts w:ascii="仿宋_GB2312" w:hAnsi="新宋体" w:eastAsia="仿宋_GB2312" w:cs="仿宋_GB2312"/>
                <w:kern w:val="0"/>
                <w:szCs w:val="21"/>
              </w:rPr>
              <w:t>全部符合（8）；</w:t>
            </w:r>
          </w:p>
          <w:p w14:paraId="1DD0AEDB">
            <w:pPr>
              <w:widowControl/>
              <w:spacing w:line="240" w:lineRule="exact"/>
              <w:jc w:val="left"/>
              <w:rPr>
                <w:szCs w:val="21"/>
              </w:rPr>
            </w:pPr>
            <w:r>
              <w:rPr>
                <w:rFonts w:ascii="仿宋_GB2312" w:hAnsi="新宋体" w:eastAsia="仿宋_GB2312" w:cs="仿宋_GB2312"/>
                <w:kern w:val="0"/>
                <w:szCs w:val="21"/>
              </w:rPr>
              <w:t>符合其中七项（6）；</w:t>
            </w:r>
          </w:p>
          <w:p w14:paraId="4DB600D6">
            <w:pPr>
              <w:widowControl/>
              <w:spacing w:line="240" w:lineRule="exact"/>
              <w:jc w:val="left"/>
              <w:rPr>
                <w:szCs w:val="21"/>
              </w:rPr>
            </w:pPr>
            <w:r>
              <w:rPr>
                <w:rFonts w:ascii="仿宋_GB2312" w:hAnsi="新宋体" w:eastAsia="仿宋_GB2312" w:cs="仿宋_GB2312"/>
                <w:kern w:val="0"/>
                <w:szCs w:val="21"/>
              </w:rPr>
              <w:t>符合其中六项（4）；</w:t>
            </w:r>
          </w:p>
          <w:p w14:paraId="335685A7">
            <w:pPr>
              <w:widowControl/>
              <w:spacing w:line="240" w:lineRule="exact"/>
              <w:jc w:val="left"/>
              <w:rPr>
                <w:szCs w:val="21"/>
              </w:rPr>
            </w:pPr>
            <w:r>
              <w:rPr>
                <w:rFonts w:ascii="仿宋_GB2312" w:hAnsi="新宋体" w:eastAsia="仿宋_GB2312" w:cs="仿宋_GB2312"/>
                <w:kern w:val="0"/>
                <w:szCs w:val="21"/>
              </w:rPr>
              <w:t>符合其中五项（2）；</w:t>
            </w:r>
          </w:p>
          <w:p w14:paraId="05A6FA4C">
            <w:pPr>
              <w:widowControl/>
              <w:spacing w:line="240" w:lineRule="exact"/>
              <w:jc w:val="left"/>
              <w:rPr>
                <w:szCs w:val="21"/>
              </w:rPr>
            </w:pPr>
            <w:r>
              <w:rPr>
                <w:rFonts w:ascii="仿宋_GB2312" w:hAnsi="新宋体" w:eastAsia="仿宋_GB2312" w:cs="仿宋_GB2312"/>
                <w:kern w:val="0"/>
                <w:szCs w:val="21"/>
              </w:rPr>
              <w:t>符合其中四项及以下（0）。</w:t>
            </w:r>
          </w:p>
        </w:tc>
        <w:tc>
          <w:tcPr>
            <w:tcW w:w="708" w:type="dxa"/>
            <w:tcBorders>
              <w:top w:val="single" w:color="000000" w:sz="4" w:space="0"/>
              <w:left w:val="single" w:color="auto" w:sz="4" w:space="0"/>
              <w:bottom w:val="single" w:color="000000" w:sz="4" w:space="0"/>
              <w:right w:val="single" w:color="000000" w:sz="4" w:space="0"/>
            </w:tcBorders>
            <w:vAlign w:val="center"/>
          </w:tcPr>
          <w:p w14:paraId="1A230A7C">
            <w:pPr>
              <w:widowControl/>
              <w:spacing w:line="240" w:lineRule="exact"/>
              <w:jc w:val="left"/>
              <w:rPr>
                <w:szCs w:val="21"/>
              </w:rPr>
            </w:pPr>
            <w:r>
              <w:rPr>
                <w:rFonts w:hint="eastAsia"/>
                <w:szCs w:val="21"/>
              </w:rPr>
              <w:t>8</w:t>
            </w:r>
          </w:p>
        </w:tc>
      </w:tr>
      <w:tr w14:paraId="29D27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D4F12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0A5DA6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5EBEB6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4D23151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7A16279">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AD815D3">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007B1F37">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1B6E5541">
            <w:pPr>
              <w:widowControl/>
              <w:spacing w:line="240" w:lineRule="exact"/>
              <w:jc w:val="left"/>
              <w:rPr>
                <w:szCs w:val="21"/>
              </w:rPr>
            </w:pPr>
            <w:r>
              <w:rPr>
                <w:rFonts w:ascii="仿宋_GB2312" w:hAnsi="新宋体" w:eastAsia="仿宋_GB2312" w:cs="仿宋_GB2312"/>
                <w:kern w:val="0"/>
                <w:szCs w:val="21"/>
              </w:rPr>
              <w:t>评价要点：</w:t>
            </w:r>
          </w:p>
          <w:p w14:paraId="3096B977">
            <w:pPr>
              <w:widowControl/>
              <w:spacing w:line="240" w:lineRule="exact"/>
              <w:jc w:val="left"/>
              <w:rPr>
                <w:szCs w:val="21"/>
              </w:rPr>
            </w:pPr>
            <w:r>
              <w:rPr>
                <w:rFonts w:ascii="仿宋_GB2312" w:hAnsi="新宋体" w:eastAsia="仿宋_GB2312" w:cs="仿宋_GB2312"/>
                <w:kern w:val="0"/>
                <w:szCs w:val="21"/>
              </w:rPr>
              <w:t>1.公开预决算信息；</w:t>
            </w:r>
          </w:p>
          <w:p w14:paraId="5883363F">
            <w:pPr>
              <w:widowControl/>
              <w:spacing w:line="240" w:lineRule="exact"/>
              <w:jc w:val="left"/>
              <w:rPr>
                <w:szCs w:val="21"/>
              </w:rPr>
            </w:pPr>
            <w:r>
              <w:rPr>
                <w:rFonts w:ascii="仿宋_GB2312" w:hAnsi="新宋体" w:eastAsia="仿宋_GB2312" w:cs="仿宋_GB2312"/>
                <w:kern w:val="0"/>
                <w:szCs w:val="21"/>
              </w:rPr>
              <w:t>2.按规定内容公开预决算信息；</w:t>
            </w:r>
          </w:p>
          <w:p w14:paraId="532839DC">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097D4C02">
            <w:pPr>
              <w:widowControl/>
              <w:spacing w:line="240" w:lineRule="exact"/>
              <w:jc w:val="left"/>
              <w:rPr>
                <w:szCs w:val="21"/>
              </w:rPr>
            </w:pPr>
            <w:r>
              <w:rPr>
                <w:rFonts w:ascii="仿宋_GB2312" w:hAnsi="新宋体" w:eastAsia="仿宋_GB2312" w:cs="仿宋_GB2312"/>
                <w:kern w:val="0"/>
                <w:szCs w:val="21"/>
              </w:rPr>
              <w:t>全部符合（3）；</w:t>
            </w:r>
          </w:p>
          <w:p w14:paraId="4A95881B">
            <w:pPr>
              <w:widowControl/>
              <w:spacing w:line="240" w:lineRule="exact"/>
              <w:jc w:val="left"/>
              <w:rPr>
                <w:szCs w:val="21"/>
              </w:rPr>
            </w:pPr>
            <w:r>
              <w:rPr>
                <w:rFonts w:ascii="仿宋_GB2312" w:hAnsi="新宋体" w:eastAsia="仿宋_GB2312" w:cs="仿宋_GB2312"/>
                <w:kern w:val="0"/>
                <w:szCs w:val="21"/>
              </w:rPr>
              <w:t>符合其中两项（2）</w:t>
            </w:r>
          </w:p>
          <w:p w14:paraId="5A1F055F">
            <w:pPr>
              <w:widowControl/>
              <w:spacing w:line="240" w:lineRule="exact"/>
              <w:jc w:val="left"/>
              <w:rPr>
                <w:szCs w:val="21"/>
              </w:rPr>
            </w:pPr>
            <w:r>
              <w:rPr>
                <w:rFonts w:ascii="仿宋_GB2312" w:hAnsi="新宋体" w:eastAsia="仿宋_GB2312" w:cs="仿宋_GB2312"/>
                <w:kern w:val="0"/>
                <w:szCs w:val="21"/>
              </w:rPr>
              <w:t>符合其中一项及以下（0）。</w:t>
            </w:r>
          </w:p>
        </w:tc>
        <w:tc>
          <w:tcPr>
            <w:tcW w:w="708" w:type="dxa"/>
            <w:tcBorders>
              <w:top w:val="single" w:color="000000" w:sz="4" w:space="0"/>
              <w:left w:val="single" w:color="auto" w:sz="4" w:space="0"/>
              <w:bottom w:val="single" w:color="000000" w:sz="4" w:space="0"/>
              <w:right w:val="single" w:color="000000" w:sz="4" w:space="0"/>
            </w:tcBorders>
            <w:vAlign w:val="center"/>
          </w:tcPr>
          <w:p w14:paraId="74C5DAF4">
            <w:pPr>
              <w:widowControl/>
              <w:spacing w:line="240" w:lineRule="exact"/>
              <w:jc w:val="left"/>
              <w:rPr>
                <w:szCs w:val="21"/>
              </w:rPr>
            </w:pPr>
            <w:r>
              <w:rPr>
                <w:rFonts w:hint="eastAsia"/>
                <w:szCs w:val="21"/>
              </w:rPr>
              <w:t>3</w:t>
            </w:r>
          </w:p>
        </w:tc>
      </w:tr>
      <w:tr w14:paraId="52DB3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58E971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A0A059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921E9D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B42D00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13566989">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1344610">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0275456D">
            <w:pPr>
              <w:widowControl/>
              <w:spacing w:line="240" w:lineRule="exact"/>
              <w:jc w:val="left"/>
              <w:rPr>
                <w:szCs w:val="21"/>
              </w:rPr>
            </w:pPr>
            <w:r>
              <w:rPr>
                <w:rFonts w:ascii="仿宋_GB2312" w:hAnsi="新宋体" w:eastAsia="仿宋_GB2312" w:cs="仿宋_GB2312"/>
                <w:kern w:val="0"/>
                <w:szCs w:val="21"/>
              </w:rPr>
              <w:t>评价要点：</w:t>
            </w:r>
          </w:p>
          <w:p w14:paraId="1F7238B5">
            <w:pPr>
              <w:widowControl/>
              <w:spacing w:line="240" w:lineRule="exact"/>
              <w:jc w:val="left"/>
              <w:rPr>
                <w:szCs w:val="21"/>
              </w:rPr>
            </w:pPr>
            <w:r>
              <w:rPr>
                <w:rFonts w:ascii="仿宋_GB2312" w:hAnsi="新宋体" w:eastAsia="仿宋_GB2312" w:cs="仿宋_GB2312"/>
                <w:kern w:val="0"/>
                <w:szCs w:val="21"/>
              </w:rPr>
              <w:t>1.基本财务管理制度健全；</w:t>
            </w:r>
          </w:p>
          <w:p w14:paraId="1A07ADCF">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0A694C5F">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011B14C8">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647080D5">
            <w:pPr>
              <w:widowControl/>
              <w:spacing w:line="240" w:lineRule="exact"/>
              <w:jc w:val="left"/>
              <w:rPr>
                <w:szCs w:val="21"/>
              </w:rPr>
            </w:pPr>
            <w:r>
              <w:rPr>
                <w:rFonts w:ascii="仿宋_GB2312" w:hAnsi="新宋体" w:eastAsia="仿宋_GB2312" w:cs="仿宋_GB2312"/>
                <w:kern w:val="0"/>
                <w:szCs w:val="21"/>
              </w:rPr>
              <w:t>符合全部四项（4）；</w:t>
            </w:r>
          </w:p>
          <w:p w14:paraId="6FA97987">
            <w:pPr>
              <w:widowControl/>
              <w:spacing w:line="240" w:lineRule="exact"/>
              <w:jc w:val="left"/>
              <w:rPr>
                <w:szCs w:val="21"/>
              </w:rPr>
            </w:pPr>
            <w:r>
              <w:rPr>
                <w:rFonts w:ascii="仿宋_GB2312" w:hAnsi="新宋体" w:eastAsia="仿宋_GB2312" w:cs="仿宋_GB2312"/>
                <w:kern w:val="0"/>
                <w:szCs w:val="21"/>
              </w:rPr>
              <w:t>符合其中三项（2）；</w:t>
            </w:r>
          </w:p>
          <w:p w14:paraId="6BDD00A0">
            <w:pPr>
              <w:widowControl/>
              <w:spacing w:line="240" w:lineRule="exact"/>
              <w:jc w:val="left"/>
              <w:rPr>
                <w:szCs w:val="21"/>
              </w:rPr>
            </w:pPr>
            <w:r>
              <w:rPr>
                <w:rFonts w:ascii="仿宋_GB2312" w:hAnsi="新宋体" w:eastAsia="仿宋_GB2312" w:cs="仿宋_GB2312"/>
                <w:kern w:val="0"/>
                <w:szCs w:val="21"/>
              </w:rPr>
              <w:t>符合其中两项（1）；</w:t>
            </w:r>
          </w:p>
          <w:p w14:paraId="0130C410">
            <w:pPr>
              <w:widowControl/>
              <w:spacing w:line="240" w:lineRule="exact"/>
              <w:jc w:val="left"/>
              <w:rPr>
                <w:szCs w:val="21"/>
              </w:rPr>
            </w:pPr>
            <w:r>
              <w:rPr>
                <w:rFonts w:ascii="仿宋_GB2312" w:hAnsi="新宋体" w:eastAsia="仿宋_GB2312" w:cs="仿宋_GB2312"/>
                <w:kern w:val="0"/>
                <w:szCs w:val="21"/>
              </w:rPr>
              <w:t>符合其中一项及以下（0）。</w:t>
            </w:r>
          </w:p>
        </w:tc>
        <w:tc>
          <w:tcPr>
            <w:tcW w:w="708" w:type="dxa"/>
            <w:tcBorders>
              <w:top w:val="single" w:color="000000" w:sz="4" w:space="0"/>
              <w:left w:val="single" w:color="auto" w:sz="4" w:space="0"/>
              <w:bottom w:val="single" w:color="000000" w:sz="4" w:space="0"/>
              <w:right w:val="single" w:color="000000" w:sz="4" w:space="0"/>
            </w:tcBorders>
            <w:vAlign w:val="center"/>
          </w:tcPr>
          <w:p w14:paraId="67F27CD3">
            <w:pPr>
              <w:widowControl/>
              <w:spacing w:line="240" w:lineRule="exact"/>
              <w:jc w:val="left"/>
              <w:rPr>
                <w:szCs w:val="21"/>
              </w:rPr>
            </w:pPr>
            <w:r>
              <w:rPr>
                <w:rFonts w:hint="eastAsia"/>
                <w:szCs w:val="21"/>
              </w:rPr>
              <w:t>4</w:t>
            </w:r>
          </w:p>
        </w:tc>
      </w:tr>
      <w:tr w14:paraId="195C1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F9D7293">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2D68FDB">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9574CA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6A2ED80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4193E9E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7C631D9B">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131CB32">
            <w:pPr>
              <w:widowControl/>
              <w:spacing w:line="240" w:lineRule="exact"/>
              <w:jc w:val="left"/>
              <w:rPr>
                <w:szCs w:val="21"/>
              </w:rPr>
            </w:pPr>
            <w:r>
              <w:rPr>
                <w:rFonts w:ascii="仿宋_GB2312" w:hAnsi="新宋体" w:eastAsia="仿宋_GB2312" w:cs="仿宋_GB2312"/>
                <w:kern w:val="0"/>
                <w:szCs w:val="21"/>
              </w:rPr>
              <w:t>评价要点：</w:t>
            </w:r>
          </w:p>
          <w:p w14:paraId="590CB06D">
            <w:pPr>
              <w:widowControl/>
              <w:spacing w:line="240" w:lineRule="exact"/>
              <w:jc w:val="left"/>
              <w:rPr>
                <w:szCs w:val="21"/>
              </w:rPr>
            </w:pPr>
            <w:r>
              <w:rPr>
                <w:rFonts w:ascii="仿宋_GB2312" w:hAnsi="新宋体" w:eastAsia="仿宋_GB2312" w:cs="仿宋_GB2312"/>
                <w:kern w:val="0"/>
                <w:szCs w:val="21"/>
              </w:rPr>
              <w:t>1.资产保存完整；</w:t>
            </w:r>
          </w:p>
          <w:p w14:paraId="0564D3BD">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14:paraId="01476881">
            <w:pPr>
              <w:widowControl/>
              <w:spacing w:line="240" w:lineRule="exact"/>
              <w:jc w:val="left"/>
              <w:rPr>
                <w:szCs w:val="21"/>
              </w:rPr>
            </w:pPr>
            <w:r>
              <w:rPr>
                <w:rFonts w:ascii="仿宋_GB2312" w:hAnsi="新宋体" w:eastAsia="仿宋_GB2312" w:cs="仿宋_GB2312"/>
                <w:kern w:val="0"/>
                <w:szCs w:val="21"/>
              </w:rPr>
              <w:t>3.资产有偿使用及处置收入及时足额上缴。</w:t>
            </w:r>
            <w:bookmarkStart w:id="0" w:name="_GoBack"/>
            <w:bookmarkEnd w:id="0"/>
          </w:p>
        </w:tc>
        <w:tc>
          <w:tcPr>
            <w:tcW w:w="2552" w:type="dxa"/>
            <w:tcBorders>
              <w:top w:val="single" w:color="auto" w:sz="4" w:space="0"/>
              <w:left w:val="single" w:color="auto" w:sz="4" w:space="0"/>
              <w:bottom w:val="single" w:color="000000" w:sz="4" w:space="0"/>
              <w:right w:val="single" w:color="auto" w:sz="4" w:space="0"/>
            </w:tcBorders>
            <w:vAlign w:val="center"/>
          </w:tcPr>
          <w:p w14:paraId="1213496C">
            <w:pPr>
              <w:widowControl/>
              <w:spacing w:line="240" w:lineRule="exact"/>
              <w:jc w:val="left"/>
              <w:rPr>
                <w:szCs w:val="21"/>
              </w:rPr>
            </w:pPr>
            <w:r>
              <w:rPr>
                <w:rFonts w:ascii="仿宋_GB2312" w:hAnsi="新宋体" w:eastAsia="仿宋_GB2312" w:cs="仿宋_GB2312"/>
                <w:kern w:val="0"/>
                <w:szCs w:val="21"/>
              </w:rPr>
              <w:t>符合全部三项（3）；</w:t>
            </w:r>
          </w:p>
          <w:p w14:paraId="2CC54F92">
            <w:pPr>
              <w:widowControl/>
              <w:spacing w:line="240" w:lineRule="exact"/>
              <w:jc w:val="left"/>
              <w:rPr>
                <w:szCs w:val="21"/>
              </w:rPr>
            </w:pPr>
            <w:r>
              <w:rPr>
                <w:rFonts w:ascii="仿宋_GB2312" w:hAnsi="新宋体" w:eastAsia="仿宋_GB2312" w:cs="仿宋_GB2312"/>
                <w:kern w:val="0"/>
                <w:szCs w:val="21"/>
              </w:rPr>
              <w:t>符合其中两项（2）；</w:t>
            </w:r>
          </w:p>
          <w:p w14:paraId="68D5D329">
            <w:pPr>
              <w:widowControl/>
              <w:spacing w:line="240" w:lineRule="exact"/>
              <w:jc w:val="left"/>
              <w:rPr>
                <w:szCs w:val="21"/>
              </w:rPr>
            </w:pPr>
            <w:r>
              <w:rPr>
                <w:rFonts w:ascii="仿宋_GB2312" w:hAnsi="新宋体" w:eastAsia="仿宋_GB2312" w:cs="仿宋_GB2312"/>
                <w:kern w:val="0"/>
                <w:szCs w:val="21"/>
              </w:rPr>
              <w:t>符合其中一项（1）；</w:t>
            </w:r>
          </w:p>
          <w:p w14:paraId="04268F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708" w:type="dxa"/>
            <w:tcBorders>
              <w:top w:val="single" w:color="auto" w:sz="4" w:space="0"/>
              <w:left w:val="single" w:color="auto" w:sz="4" w:space="0"/>
              <w:bottom w:val="single" w:color="000000" w:sz="4" w:space="0"/>
              <w:right w:val="single" w:color="000000" w:sz="4" w:space="0"/>
            </w:tcBorders>
            <w:vAlign w:val="center"/>
          </w:tcPr>
          <w:p w14:paraId="0206D9A1">
            <w:pPr>
              <w:widowControl/>
              <w:spacing w:line="240" w:lineRule="exact"/>
              <w:jc w:val="left"/>
              <w:rPr>
                <w:szCs w:val="21"/>
              </w:rPr>
            </w:pPr>
            <w:r>
              <w:rPr>
                <w:rFonts w:hint="eastAsia"/>
                <w:szCs w:val="21"/>
              </w:rPr>
              <w:t>2</w:t>
            </w:r>
          </w:p>
        </w:tc>
      </w:tr>
      <w:tr w14:paraId="11BA9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D59205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375FBE7">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5404C45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65290ED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087D1EE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0E1015CA">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1CE2E389">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3ADE7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4799ED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62641A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0E3819B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A79C0A1">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08" w:type="dxa"/>
            <w:tcBorders>
              <w:top w:val="single" w:color="auto" w:sz="4" w:space="0"/>
              <w:left w:val="single" w:color="auto" w:sz="4" w:space="0"/>
              <w:bottom w:val="single" w:color="000000" w:sz="4" w:space="0"/>
              <w:right w:val="single" w:color="000000" w:sz="4" w:space="0"/>
            </w:tcBorders>
            <w:vAlign w:val="center"/>
          </w:tcPr>
          <w:p w14:paraId="565C938F">
            <w:pPr>
              <w:widowControl/>
              <w:spacing w:line="240" w:lineRule="exact"/>
              <w:jc w:val="left"/>
              <w:rPr>
                <w:szCs w:val="21"/>
              </w:rPr>
            </w:pPr>
            <w:r>
              <w:rPr>
                <w:rFonts w:hint="eastAsia"/>
                <w:szCs w:val="21"/>
              </w:rPr>
              <w:t>3</w:t>
            </w:r>
          </w:p>
        </w:tc>
      </w:tr>
      <w:tr w14:paraId="26294C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C94137C">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34F33B9">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6ED114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6BB36B7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05D3E8F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13E10AC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EFD2CDC">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25AAD6BA">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08" w:type="dxa"/>
            <w:tcBorders>
              <w:top w:val="single" w:color="000000" w:sz="4" w:space="0"/>
              <w:left w:val="single" w:color="auto" w:sz="4" w:space="0"/>
              <w:bottom w:val="single" w:color="auto" w:sz="4" w:space="0"/>
              <w:right w:val="single" w:color="000000" w:sz="4" w:space="0"/>
            </w:tcBorders>
            <w:vAlign w:val="center"/>
          </w:tcPr>
          <w:p w14:paraId="16D90494">
            <w:pPr>
              <w:widowControl/>
              <w:spacing w:line="240" w:lineRule="exact"/>
              <w:jc w:val="left"/>
              <w:rPr>
                <w:szCs w:val="21"/>
              </w:rPr>
            </w:pPr>
            <w:r>
              <w:rPr>
                <w:rFonts w:hint="eastAsia"/>
                <w:szCs w:val="21"/>
              </w:rPr>
              <w:t>10</w:t>
            </w:r>
          </w:p>
        </w:tc>
      </w:tr>
      <w:tr w14:paraId="60A1C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94E01C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C7CCDE7">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327F760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1B677CFE">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6BBE97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6944226F">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64BC8F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2BA13A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296A1E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91989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0984DF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08" w:type="dxa"/>
            <w:tcBorders>
              <w:top w:val="single" w:color="000000" w:sz="4" w:space="0"/>
              <w:left w:val="single" w:color="auto" w:sz="4" w:space="0"/>
              <w:bottom w:val="single" w:color="auto" w:sz="4" w:space="0"/>
              <w:right w:val="single" w:color="000000" w:sz="4" w:space="0"/>
            </w:tcBorders>
            <w:vAlign w:val="center"/>
          </w:tcPr>
          <w:p w14:paraId="440EC239">
            <w:pPr>
              <w:widowControl/>
              <w:spacing w:line="240" w:lineRule="exact"/>
              <w:jc w:val="left"/>
              <w:rPr>
                <w:szCs w:val="21"/>
              </w:rPr>
            </w:pPr>
            <w:r>
              <w:rPr>
                <w:rFonts w:hint="eastAsia"/>
                <w:szCs w:val="21"/>
              </w:rPr>
              <w:t>14</w:t>
            </w:r>
          </w:p>
        </w:tc>
      </w:tr>
      <w:tr w14:paraId="5234BB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00BA608">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79A06C47">
            <w:pPr>
              <w:widowControl/>
              <w:spacing w:line="240" w:lineRule="exact"/>
              <w:jc w:val="left"/>
              <w:rPr>
                <w:rFonts w:ascii="仿宋_GB2312" w:hAnsi="新宋体" w:eastAsia="仿宋_GB2312" w:cs="仿宋_GB2312"/>
                <w:kern w:val="0"/>
                <w:szCs w:val="21"/>
              </w:rPr>
            </w:pPr>
          </w:p>
          <w:p w14:paraId="1F1CDAE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1D600CD2">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719C8CB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2097F5C4">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904D2F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34DEACF">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7E912A60">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08" w:type="dxa"/>
            <w:tcBorders>
              <w:top w:val="single" w:color="000000" w:sz="4" w:space="0"/>
              <w:left w:val="single" w:color="auto" w:sz="4" w:space="0"/>
              <w:bottom w:val="single" w:color="000000" w:sz="4" w:space="0"/>
              <w:right w:val="single" w:color="000000" w:sz="4" w:space="0"/>
            </w:tcBorders>
            <w:vAlign w:val="center"/>
          </w:tcPr>
          <w:p w14:paraId="3F1326BE">
            <w:pPr>
              <w:widowControl/>
              <w:spacing w:line="240" w:lineRule="exact"/>
              <w:jc w:val="left"/>
              <w:rPr>
                <w:szCs w:val="21"/>
              </w:rPr>
            </w:pPr>
            <w:r>
              <w:rPr>
                <w:rFonts w:hint="eastAsia"/>
                <w:szCs w:val="21"/>
              </w:rPr>
              <w:t>5</w:t>
            </w:r>
          </w:p>
        </w:tc>
      </w:tr>
      <w:tr w14:paraId="0EDE7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5F98D6EE">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8D60260">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523F6C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13A3B7EC">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18856811">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24BF229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0F13BFFB">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08" w:type="dxa"/>
            <w:tcBorders>
              <w:top w:val="single" w:color="000000" w:sz="4" w:space="0"/>
              <w:left w:val="single" w:color="auto" w:sz="4" w:space="0"/>
              <w:bottom w:val="single" w:color="000000" w:sz="4" w:space="0"/>
              <w:right w:val="single" w:color="000000" w:sz="4" w:space="0"/>
            </w:tcBorders>
            <w:vAlign w:val="center"/>
          </w:tcPr>
          <w:p w14:paraId="5C188BF5">
            <w:pPr>
              <w:widowControl/>
              <w:spacing w:line="240" w:lineRule="exact"/>
              <w:jc w:val="left"/>
              <w:rPr>
                <w:szCs w:val="21"/>
              </w:rPr>
            </w:pPr>
            <w:r>
              <w:rPr>
                <w:rFonts w:hint="eastAsia"/>
                <w:szCs w:val="21"/>
              </w:rPr>
              <w:t>5</w:t>
            </w:r>
          </w:p>
        </w:tc>
      </w:tr>
      <w:tr w14:paraId="5D303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7A6F99F2">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4D852D08">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036C13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02E5770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C79377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19B3FE2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578381BE">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08" w:type="dxa"/>
            <w:tcBorders>
              <w:top w:val="single" w:color="000000" w:sz="4" w:space="0"/>
              <w:left w:val="single" w:color="auto" w:sz="4" w:space="0"/>
              <w:bottom w:val="single" w:color="000000" w:sz="4" w:space="0"/>
              <w:right w:val="single" w:color="000000" w:sz="4" w:space="0"/>
            </w:tcBorders>
            <w:vAlign w:val="center"/>
          </w:tcPr>
          <w:p w14:paraId="53AB1097">
            <w:pPr>
              <w:widowControl/>
              <w:spacing w:line="240" w:lineRule="exact"/>
              <w:jc w:val="left"/>
              <w:rPr>
                <w:szCs w:val="21"/>
              </w:rPr>
            </w:pPr>
            <w:r>
              <w:rPr>
                <w:rFonts w:hint="eastAsia"/>
                <w:szCs w:val="21"/>
              </w:rPr>
              <w:t>5</w:t>
            </w:r>
          </w:p>
        </w:tc>
      </w:tr>
      <w:tr w14:paraId="16CDC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20D1F2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A331054">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C914954">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02204B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CC694E4">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067E4356">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08" w:type="dxa"/>
            <w:tcBorders>
              <w:top w:val="single" w:color="000000" w:sz="4" w:space="0"/>
              <w:left w:val="single" w:color="auto" w:sz="4" w:space="0"/>
              <w:bottom w:val="single" w:color="000000" w:sz="4" w:space="0"/>
              <w:right w:val="single" w:color="000000" w:sz="4" w:space="0"/>
            </w:tcBorders>
            <w:vAlign w:val="center"/>
          </w:tcPr>
          <w:p w14:paraId="60AC3F6C">
            <w:pPr>
              <w:widowControl/>
              <w:spacing w:line="240" w:lineRule="exact"/>
              <w:jc w:val="left"/>
              <w:rPr>
                <w:szCs w:val="21"/>
              </w:rPr>
            </w:pPr>
            <w:r>
              <w:rPr>
                <w:rFonts w:hint="eastAsia"/>
                <w:szCs w:val="21"/>
              </w:rPr>
              <w:t>5</w:t>
            </w:r>
          </w:p>
        </w:tc>
      </w:tr>
    </w:tbl>
    <w:p w14:paraId="695527B2">
      <w:pPr>
        <w:widowControl/>
        <w:spacing w:line="480" w:lineRule="exact"/>
        <w:jc w:val="left"/>
        <w:rPr>
          <w:rFonts w:ascii="仿宋" w:hAnsi="仿宋" w:eastAsia="仿宋" w:cs="仿宋"/>
          <w:kern w:val="0"/>
          <w:sz w:val="32"/>
          <w:szCs w:val="32"/>
          <w:shd w:val="clear" w:color="auto" w:fill="FFFFFF"/>
        </w:rPr>
      </w:pPr>
    </w:p>
    <w:p w14:paraId="13C6C262">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515F0ECD">
      <w:pPr>
        <w:rPr>
          <w:rFonts w:ascii="黑体" w:hAnsi="黑体" w:eastAsia="黑体" w:cs="黑体"/>
          <w:b/>
          <w:bCs/>
          <w:sz w:val="30"/>
          <w:szCs w:val="30"/>
        </w:rPr>
      </w:pPr>
    </w:p>
    <w:p w14:paraId="4F089B43">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隆尧县尹村镇人民政府</w:t>
      </w:r>
    </w:p>
    <w:p w14:paraId="519B9161">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0433FBA4">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7E964D6F">
      <w:pPr>
        <w:ind w:firstLine="640" w:firstLineChars="200"/>
        <w:rPr>
          <w:rFonts w:ascii="仿宋" w:hAnsi="仿宋" w:eastAsia="仿宋" w:cs="仿宋"/>
          <w:sz w:val="32"/>
          <w:szCs w:val="32"/>
        </w:rPr>
      </w:pPr>
      <w:r>
        <w:rPr>
          <w:rFonts w:hint="eastAsia" w:ascii="仿宋" w:hAnsi="仿宋" w:eastAsia="仿宋" w:cs="仿宋"/>
          <w:sz w:val="32"/>
          <w:szCs w:val="32"/>
        </w:rPr>
        <w:t>（一)部门基本情况</w:t>
      </w:r>
    </w:p>
    <w:p w14:paraId="74256EF9">
      <w:pPr>
        <w:ind w:firstLine="640" w:firstLineChars="200"/>
        <w:rPr>
          <w:rFonts w:ascii="仿宋" w:hAnsi="仿宋" w:eastAsia="仿宋" w:cs="仿宋"/>
          <w:sz w:val="32"/>
          <w:szCs w:val="32"/>
        </w:rPr>
      </w:pPr>
      <w:r>
        <w:rPr>
          <w:rFonts w:hint="eastAsia" w:ascii="仿宋" w:hAnsi="仿宋" w:eastAsia="仿宋" w:cs="仿宋"/>
          <w:sz w:val="32"/>
          <w:szCs w:val="32"/>
        </w:rPr>
        <w:t>尹村镇地处隆尧最西部，与内丘、临城、柏乡三县接壤。全镇共有面积235.2平方公里，辖区内共23个村。2020年核定编制数62人。2020年末实有在职人员共52人，其中：行政编制人员33人，事业编制人员19人，退休21人。</w:t>
      </w:r>
    </w:p>
    <w:p w14:paraId="5F99ECE3">
      <w:pPr>
        <w:ind w:firstLine="640" w:firstLineChars="200"/>
        <w:rPr>
          <w:rFonts w:ascii="仿宋" w:hAnsi="仿宋" w:eastAsia="仿宋" w:cs="仿宋"/>
          <w:sz w:val="32"/>
          <w:szCs w:val="32"/>
        </w:rPr>
      </w:pPr>
      <w:r>
        <w:rPr>
          <w:rFonts w:hint="eastAsia" w:ascii="仿宋" w:hAnsi="仿宋" w:eastAsia="仿宋" w:cs="仿宋"/>
          <w:sz w:val="32"/>
          <w:szCs w:val="32"/>
        </w:rPr>
        <w:t>（二）部门主要职责</w:t>
      </w:r>
    </w:p>
    <w:p w14:paraId="5094FF84">
      <w:pPr>
        <w:ind w:firstLine="640" w:firstLineChars="200"/>
        <w:rPr>
          <w:rFonts w:ascii="仿宋" w:hAnsi="仿宋" w:eastAsia="仿宋" w:cs="仿宋"/>
          <w:sz w:val="32"/>
          <w:szCs w:val="32"/>
        </w:rPr>
      </w:pPr>
      <w:r>
        <w:rPr>
          <w:rFonts w:hint="eastAsia" w:ascii="仿宋" w:hAnsi="仿宋" w:eastAsia="仿宋" w:cs="仿宋"/>
          <w:sz w:val="32"/>
          <w:szCs w:val="32"/>
        </w:rPr>
        <w:t>本单位现有机构9个，即</w:t>
      </w:r>
      <w:r>
        <w:rPr>
          <w:rFonts w:hint="eastAsia" w:ascii="仿宋_GB2312" w:hAnsi="仿宋_GB2312" w:eastAsia="仿宋_GB2312" w:cs="仿宋_GB2312"/>
          <w:sz w:val="32"/>
          <w:szCs w:val="32"/>
        </w:rPr>
        <w:t>党政综合办公室（财经工作办公室）、党建工作办公室（人大主席团办公室）、应急管理办公室、自然资源和生态环境办公室、综合行政执法队、行政综合服务中心（综合文化服务站）、农业综合服务中心、退役军人服务站、综合指挥和信息化网络中心（社会治安综合治理中心）</w:t>
      </w:r>
      <w:r>
        <w:rPr>
          <w:rFonts w:hint="eastAsia" w:ascii="仿宋" w:hAnsi="仿宋" w:eastAsia="仿宋" w:cs="仿宋"/>
          <w:sz w:val="32"/>
          <w:szCs w:val="32"/>
        </w:rPr>
        <w:t>。</w:t>
      </w:r>
    </w:p>
    <w:p w14:paraId="45076AAC">
      <w:pPr>
        <w:ind w:firstLine="640" w:firstLineChars="200"/>
        <w:rPr>
          <w:rFonts w:ascii="仿宋" w:hAnsi="仿宋" w:eastAsia="仿宋" w:cs="仿宋"/>
          <w:sz w:val="32"/>
          <w:szCs w:val="32"/>
        </w:rPr>
      </w:pPr>
      <w:r>
        <w:rPr>
          <w:rFonts w:hint="eastAsia" w:ascii="仿宋" w:hAnsi="仿宋" w:eastAsia="仿宋" w:cs="仿宋"/>
          <w:sz w:val="32"/>
          <w:szCs w:val="32"/>
        </w:rPr>
        <w:t>1.</w:t>
      </w:r>
      <w:r>
        <w:rPr>
          <w:rFonts w:hint="eastAsia" w:ascii="仿宋_GB2312" w:hAnsi="仿宋_GB2312" w:eastAsia="仿宋_GB2312" w:cs="仿宋_GB2312"/>
          <w:sz w:val="32"/>
          <w:szCs w:val="32"/>
        </w:rPr>
        <w:t xml:space="preserve"> 党政综合办公室（财经工作办公室）</w:t>
      </w:r>
      <w:r>
        <w:rPr>
          <w:rFonts w:hint="eastAsia" w:ascii="仿宋" w:hAnsi="仿宋" w:eastAsia="仿宋" w:cs="仿宋"/>
          <w:sz w:val="32"/>
          <w:szCs w:val="32"/>
        </w:rPr>
        <w:t>：</w:t>
      </w:r>
      <w:r>
        <w:rPr>
          <w:rFonts w:hint="eastAsia" w:ascii="仿宋_GB2312" w:hAnsi="仿宋_GB2312" w:eastAsia="仿宋_GB2312" w:cs="仿宋_GB2312"/>
          <w:sz w:val="32"/>
          <w:szCs w:val="32"/>
        </w:rPr>
        <w:t>宣传执行党的路线、方针、政策，宣传和执行党中央、上级党组织和本镇党组织的决议，团结、组织党内外的干部和群众，努力完成本镇所担负的任务。执行本行政区域内的经济和社会发展计划。综合管理财政收支、编制财政计划、制定财政预算草案和审编年度决算。负责辖区内农村集体资产管理的指导和监督，按分工和权限负责村集体财务管理工作。负责内部审计监督工作。</w:t>
      </w:r>
    </w:p>
    <w:p w14:paraId="6AA8B578">
      <w:pPr>
        <w:ind w:firstLine="640" w:firstLineChars="200"/>
        <w:rPr>
          <w:rFonts w:ascii="仿宋_GB2312" w:hAnsi="仿宋_GB2312" w:eastAsia="仿宋_GB2312" w:cs="仿宋_GB2312"/>
          <w:sz w:val="32"/>
          <w:szCs w:val="32"/>
        </w:rPr>
      </w:pPr>
      <w:r>
        <w:rPr>
          <w:rFonts w:hint="eastAsia" w:ascii="仿宋" w:hAnsi="仿宋" w:eastAsia="仿宋" w:cs="仿宋"/>
          <w:sz w:val="32"/>
          <w:szCs w:val="32"/>
        </w:rPr>
        <w:t>2.</w:t>
      </w:r>
      <w:r>
        <w:rPr>
          <w:rFonts w:hint="eastAsia" w:ascii="仿宋_GB2312" w:hAnsi="仿宋_GB2312" w:eastAsia="仿宋_GB2312" w:cs="仿宋_GB2312"/>
          <w:sz w:val="32"/>
          <w:szCs w:val="32"/>
        </w:rPr>
        <w:t xml:space="preserve"> 党建工作办公室（人大主席团办公室）</w:t>
      </w:r>
      <w:r>
        <w:rPr>
          <w:rFonts w:hint="eastAsia" w:ascii="仿宋" w:hAnsi="仿宋" w:eastAsia="仿宋" w:cs="仿宋"/>
          <w:sz w:val="32"/>
          <w:szCs w:val="32"/>
        </w:rPr>
        <w:t>：</w:t>
      </w:r>
      <w:r>
        <w:rPr>
          <w:rFonts w:hint="eastAsia" w:ascii="仿宋_GB2312" w:hAnsi="仿宋_GB2312" w:eastAsia="仿宋_GB2312" w:cs="仿宋_GB2312"/>
          <w:sz w:val="32"/>
          <w:szCs w:val="32"/>
        </w:rPr>
        <w:t>维护和执行党的纪律，监督党员干部和其他任何工作人员严格遵守国家法律法规。负责镇党委自身建设和基层党组织建设，以及其他隶属本镇党委的党组织建设。负责下级党的基层组织选举工作，对下级党组织的成立或撤销作出决定。负责非公有制企业和社会组织党建工作，扩大新兴领域党建有效覆盖。</w:t>
      </w:r>
    </w:p>
    <w:p w14:paraId="00E281A3">
      <w:pPr>
        <w:ind w:firstLine="640" w:firstLineChars="200"/>
        <w:rPr>
          <w:rFonts w:ascii="仿宋" w:hAnsi="仿宋" w:eastAsia="仿宋" w:cs="仿宋"/>
          <w:sz w:val="32"/>
          <w:szCs w:val="32"/>
        </w:rPr>
      </w:pPr>
      <w:r>
        <w:rPr>
          <w:rFonts w:hint="eastAsia" w:ascii="仿宋" w:hAnsi="仿宋" w:eastAsia="仿宋" w:cs="仿宋"/>
          <w:sz w:val="32"/>
          <w:szCs w:val="32"/>
        </w:rPr>
        <w:t>3.</w:t>
      </w:r>
      <w:r>
        <w:rPr>
          <w:rFonts w:hint="eastAsia" w:ascii="仿宋_GB2312" w:hAnsi="仿宋_GB2312" w:eastAsia="仿宋_GB2312" w:cs="仿宋_GB2312"/>
          <w:sz w:val="32"/>
          <w:szCs w:val="32"/>
        </w:rPr>
        <w:t xml:space="preserve"> 应急管理办公室</w:t>
      </w:r>
      <w:r>
        <w:rPr>
          <w:rFonts w:hint="eastAsia" w:ascii="仿宋" w:hAnsi="仿宋" w:eastAsia="仿宋" w:cs="仿宋"/>
          <w:sz w:val="32"/>
          <w:szCs w:val="32"/>
        </w:rPr>
        <w:t>：</w:t>
      </w:r>
      <w:r>
        <w:rPr>
          <w:rFonts w:hint="eastAsia" w:ascii="仿宋_GB2312" w:hAnsi="仿宋_GB2312" w:eastAsia="仿宋_GB2312" w:cs="仿宋_GB2312"/>
          <w:sz w:val="32"/>
          <w:szCs w:val="32"/>
        </w:rPr>
        <w:t>负责辖区应急管理工作，建立健全应急联动机制，严格落实应急管理责任，加强基层综合应急队伍建设和应急保障能力建设。依法做好本辖区的突发事件应对工作，制定本级突发事件应急预案，组织开展应急演练。</w:t>
      </w:r>
      <w:r>
        <w:rPr>
          <w:rFonts w:hint="eastAsia" w:ascii="仿宋" w:hAnsi="仿宋" w:eastAsia="仿宋" w:cs="仿宋"/>
          <w:sz w:val="32"/>
          <w:szCs w:val="32"/>
        </w:rPr>
        <w:t>主要职能是为农业农村相关工作提供服务和技术指导，主要承担农村产业发展、农业技术推广、农机管理与推广；</w:t>
      </w:r>
    </w:p>
    <w:p w14:paraId="5F139391">
      <w:pPr>
        <w:ind w:firstLine="640" w:firstLineChars="200"/>
        <w:rPr>
          <w:rFonts w:ascii="仿宋" w:hAnsi="仿宋" w:eastAsia="仿宋" w:cs="仿宋"/>
          <w:sz w:val="32"/>
          <w:szCs w:val="32"/>
        </w:rPr>
      </w:pPr>
      <w:r>
        <w:rPr>
          <w:rFonts w:hint="eastAsia" w:ascii="仿宋" w:hAnsi="仿宋" w:eastAsia="仿宋" w:cs="仿宋"/>
          <w:sz w:val="32"/>
          <w:szCs w:val="32"/>
        </w:rPr>
        <w:t>4.</w:t>
      </w:r>
      <w:r>
        <w:rPr>
          <w:rFonts w:hint="eastAsia" w:ascii="仿宋_GB2312" w:hAnsi="仿宋_GB2312" w:eastAsia="仿宋_GB2312" w:cs="仿宋_GB2312"/>
          <w:sz w:val="32"/>
          <w:szCs w:val="32"/>
        </w:rPr>
        <w:t xml:space="preserve"> 自然资源和生态环境办公室</w:t>
      </w:r>
      <w:r>
        <w:rPr>
          <w:rFonts w:hint="eastAsia" w:ascii="仿宋" w:hAnsi="仿宋" w:eastAsia="仿宋" w:cs="仿宋"/>
          <w:sz w:val="32"/>
          <w:szCs w:val="32"/>
        </w:rPr>
        <w:t>：</w:t>
      </w:r>
      <w:r>
        <w:rPr>
          <w:rFonts w:hint="eastAsia" w:ascii="仿宋_GB2312" w:hAnsi="仿宋_GB2312" w:eastAsia="仿宋_GB2312" w:cs="仿宋_GB2312"/>
          <w:sz w:val="32"/>
          <w:szCs w:val="32"/>
        </w:rPr>
        <w:t>负责辖区自然资源保护和监管工作。负责本区域范围内的村镇规划建设管理工作。负责本辖区乡道、村道建设管理工作，负责乡村道路交通安全监督管理工作。</w:t>
      </w:r>
    </w:p>
    <w:p w14:paraId="022C08C5">
      <w:pPr>
        <w:ind w:firstLine="640" w:firstLineChars="200"/>
        <w:rPr>
          <w:rFonts w:ascii="仿宋_GB2312" w:hAnsi="仿宋_GB2312" w:eastAsia="仿宋_GB2312" w:cs="仿宋_GB2312"/>
          <w:sz w:val="32"/>
          <w:szCs w:val="32"/>
        </w:rPr>
      </w:pPr>
      <w:r>
        <w:rPr>
          <w:rFonts w:hint="eastAsia" w:ascii="仿宋" w:hAnsi="仿宋" w:eastAsia="仿宋" w:cs="仿宋"/>
          <w:sz w:val="32"/>
          <w:szCs w:val="32"/>
        </w:rPr>
        <w:t>5.</w:t>
      </w:r>
      <w:r>
        <w:rPr>
          <w:rFonts w:hint="eastAsia" w:ascii="仿宋_GB2312" w:hAnsi="仿宋_GB2312" w:eastAsia="仿宋_GB2312" w:cs="仿宋_GB2312"/>
          <w:sz w:val="32"/>
          <w:szCs w:val="32"/>
        </w:rPr>
        <w:t xml:space="preserve"> 综合行政执法队</w:t>
      </w:r>
      <w:r>
        <w:rPr>
          <w:rFonts w:hint="eastAsia" w:ascii="仿宋" w:hAnsi="仿宋" w:eastAsia="仿宋" w:cs="仿宋"/>
          <w:sz w:val="32"/>
          <w:szCs w:val="32"/>
        </w:rPr>
        <w:t>：</w:t>
      </w:r>
      <w:r>
        <w:rPr>
          <w:rFonts w:hint="eastAsia" w:ascii="仿宋_GB2312" w:hAnsi="仿宋_GB2312" w:eastAsia="仿宋_GB2312" w:cs="仿宋_GB2312"/>
          <w:sz w:val="32"/>
          <w:szCs w:val="32"/>
        </w:rPr>
        <w:t>负责辖区内生态环境、自然资源、农业农村、城乡建设、应急管理、市场监管、城市管理、民族事务、宗教管理等领域相关情况的日常巡查、信息报告、宣传教育和执法等工作。</w:t>
      </w:r>
    </w:p>
    <w:p w14:paraId="64CD6560">
      <w:pPr>
        <w:ind w:firstLine="640" w:firstLineChars="200"/>
        <w:rPr>
          <w:rFonts w:ascii="仿宋_GB2312" w:hAnsi="仿宋_GB2312" w:eastAsia="仿宋_GB2312" w:cs="仿宋_GB2312"/>
          <w:sz w:val="32"/>
          <w:szCs w:val="32"/>
        </w:rPr>
      </w:pPr>
      <w:r>
        <w:rPr>
          <w:rFonts w:hint="eastAsia" w:ascii="仿宋" w:hAnsi="仿宋" w:eastAsia="仿宋" w:cs="仿宋"/>
          <w:sz w:val="32"/>
          <w:szCs w:val="32"/>
        </w:rPr>
        <w:t>6.</w:t>
      </w:r>
      <w:r>
        <w:rPr>
          <w:rFonts w:hint="eastAsia" w:ascii="仿宋_GB2312" w:hAnsi="仿宋_GB2312" w:eastAsia="仿宋_GB2312" w:cs="仿宋_GB2312"/>
          <w:sz w:val="32"/>
          <w:szCs w:val="32"/>
        </w:rPr>
        <w:t xml:space="preserve"> 行政综合服务中心（综合文化服务站）</w:t>
      </w:r>
      <w:r>
        <w:rPr>
          <w:rFonts w:hint="eastAsia" w:ascii="仿宋" w:hAnsi="仿宋" w:eastAsia="仿宋" w:cs="仿宋"/>
          <w:sz w:val="32"/>
          <w:szCs w:val="32"/>
        </w:rPr>
        <w:t>：</w:t>
      </w:r>
      <w:r>
        <w:rPr>
          <w:rFonts w:hint="eastAsia" w:ascii="仿宋_GB2312" w:hAnsi="仿宋_GB2312" w:eastAsia="仿宋_GB2312" w:cs="仿宋_GB2312"/>
          <w:sz w:val="32"/>
          <w:szCs w:val="32"/>
        </w:rPr>
        <w:t>承担行政审批服务工作。加大信用信息归集应用力度，落实守信联合激励和失信联合惩戒制度、推进信用分级分类监管。负责社会福利事业。负责殡葬改革工作。负责妇女、未成年人保护工作。开展就业政策宣传、就业援助等就业服务工作。</w:t>
      </w:r>
    </w:p>
    <w:p w14:paraId="1210EDD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农业综合服务中心：加强党对农村经济建设的领导，巩固和加强农业基础地位，保障重要农产品有效供给和促进农民持续增收；按职责分工负责农产品质量安全监管工作，加强农产品质量安全知识的宣传，及时上报有关单位和个人报告的农产品质量安全事故。</w:t>
      </w:r>
    </w:p>
    <w:p w14:paraId="6D1E665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退役军人服务站：。负责做好本辖区拥军优属、退役军人服务等工作。负责辖区内退役军人就业创业扶持、走访慰问、帮扶援助、信息采集、信访接待、化解矛盾、优抚服务、培树典型、建档立卡、党员管理、政策调研、政策宣传、职业教育和技能培训等工作。</w:t>
      </w:r>
    </w:p>
    <w:p w14:paraId="3AAE19D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9.综合指挥和信息化网络中心（社会治安综合治理中心）：制定本辖区社会治安综合治理规划，检查、推动社会治安综合治理措施的落实，协调和督促有关部门开展法制宣传教育工作。</w:t>
      </w:r>
    </w:p>
    <w:p w14:paraId="25DAFFC0">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（三）年度工作计划</w:t>
      </w:r>
    </w:p>
    <w:p w14:paraId="711B0D16">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1.持续抓好党建工作，紧紧围绕以党建促发展的中心，积极发挥农村党员带头作用；在规范农村集体资产承包合同基础上，因村施策，采取多种方式，千方百计增加村集体经济收入。</w:t>
      </w:r>
    </w:p>
    <w:p w14:paraId="68FD00C0">
      <w:pPr>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2. 研究制定环境整治工作规划，引导各村不等不靠，全面发动群众，激发群众内生动力，利用社会力量多方筹资进行自治。加大对农村垃圾、污水清理力度，完善长效管控措施。</w:t>
      </w:r>
    </w:p>
    <w:p w14:paraId="67055655">
      <w:pPr>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3. 加大环保执法力度，以经济手段促进污染治理步伐。通过发挥网格员作用（人防）和供电部门提供的用电量（技防），进一步监管好辖区重点企业重污染天气应急响应落实停限产情况，切实落实相关减排措施。持续推进全年禁烧工作。充分发挥网格员、蓝天卫士作用，及时消除焚烧隐患，确保全年零焚烧。</w:t>
      </w:r>
    </w:p>
    <w:p w14:paraId="3483018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 加大对中央八项规定及其实施细则落实情况的督查力度，形成震慑，摒弃老办法老思想，挣脱圈圈套套，敢于动真碰硬，自觉克服老好人思想。使镇村干部对于此项工作重视程度增加，从被动问责变为主动作为，增强对党员干部的管理和监督执纪有力约束。</w:t>
      </w:r>
    </w:p>
    <w:p w14:paraId="1AF93098">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 继续加大普法宣传力度，每年定期组织普法宣传，使我镇干部群众法律意识明显增强。做好敏感时期信访稳定工作。做好敏感时期信访稳定督查工作，采取白天与晚上相结合，采取不定期抽查的方式，检查重点人头在位情况和稳控值班情况，确保我镇社会和谐稳定。继续推进扫黑除恶斗争，定期摸排线索，将扫黑除恶斗争进行到底。</w:t>
      </w:r>
    </w:p>
    <w:p w14:paraId="01812E87">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 吸引投资20亿元，打造“中国北方知名阀门生产基地”，提升群众生活幸福指数。</w:t>
      </w:r>
    </w:p>
    <w:p w14:paraId="4CE76BD8">
      <w:pPr>
        <w:pStyle w:val="18"/>
        <w:numPr>
          <w:ilvl w:val="0"/>
          <w:numId w:val="1"/>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35D07A2A">
      <w:pPr>
        <w:pStyle w:val="19"/>
        <w:spacing w:before="0" w:beforeAutospacing="0" w:after="0" w:afterAutospacing="0" w:line="480" w:lineRule="auto"/>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1.2021年度全镇总预算1713.94万元，其中一般预算拨款1711.43万元，纳入预算管理的非税收入拨款2.51万元。资金均于2021年内拨付到位。项目支出1024.46万元。项目的开展主要根据县委县政府的安排，绩效总目标和阶段性目标都已按照计划完成，未逾期。所有开支均按照我单位财务管理制度执行，资金的使用严格把关；项目运行完全按照我镇内部管理制度、县委县政府及财政的有关规定执行，严格落实制度管理，单位内部组织不定期进行自查，未存在违规、违法问题。</w:t>
      </w:r>
    </w:p>
    <w:p w14:paraId="66F6AFB9">
      <w:pPr>
        <w:pStyle w:val="19"/>
        <w:spacing w:before="0" w:beforeAutospacing="0" w:after="0" w:afterAutospacing="0" w:line="480" w:lineRule="auto"/>
        <w:ind w:firstLine="480" w:firstLineChars="15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2.资金组织实施情况。我单位申报的资金项目均从2021年初计划实施，并于2021年底前完成年度绩效目标。</w:t>
      </w:r>
    </w:p>
    <w:p w14:paraId="125BE9FF">
      <w:pPr>
        <w:pStyle w:val="19"/>
        <w:spacing w:before="0" w:beforeAutospacing="0" w:after="0" w:afterAutospacing="0" w:line="480" w:lineRule="auto"/>
        <w:ind w:firstLine="480" w:firstLineChars="15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3.绩效情况分析。我镇申报的各项资金，实施后均已实现了预定的绩效目标，依据充分，目标明确，同时预定目标设置合理，符合相关规定和要求。2021年部门整体绩效自评得分92.42分。</w:t>
      </w:r>
    </w:p>
    <w:p w14:paraId="66F81D53">
      <w:pPr>
        <w:pStyle w:val="18"/>
        <w:numPr>
          <w:ilvl w:val="0"/>
          <w:numId w:val="1"/>
        </w:numPr>
        <w:ind w:firstLineChars="0"/>
        <w:rPr>
          <w:rFonts w:ascii="黑体" w:hAnsi="黑体" w:eastAsia="黑体" w:cs="仿宋"/>
          <w:sz w:val="32"/>
          <w:szCs w:val="32"/>
        </w:rPr>
      </w:pPr>
      <w:r>
        <w:rPr>
          <w:rFonts w:hint="eastAsia" w:ascii="黑体" w:hAnsi="黑体" w:eastAsia="黑体" w:cs="仿宋"/>
          <w:sz w:val="32"/>
          <w:szCs w:val="32"/>
        </w:rPr>
        <w:t>效评价的组织实施情况</w:t>
      </w:r>
    </w:p>
    <w:p w14:paraId="0FCF3B9A">
      <w:pPr>
        <w:pStyle w:val="19"/>
        <w:spacing w:before="0" w:beforeAutospacing="0" w:after="0" w:afterAutospacing="0" w:line="480" w:lineRule="auto"/>
        <w:ind w:firstLine="48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明确项目发展方向的指导思想。一是紧密结合政府中心工作。项目选择要以县委县政府中心工作为依据，从本乡经济社会发展客观要求出发，发展壮大本乡经济。二是结合重点产业发展领域需求。项目实施要紧密结合我乡经济社会发展的现状和需求，提升自主创新能力。三是体现“以人为本、民生为重”的理念。惠及民众，造福百姓。</w:t>
      </w:r>
    </w:p>
    <w:p w14:paraId="41E3D6C0">
      <w:pPr>
        <w:pStyle w:val="19"/>
        <w:spacing w:before="0" w:beforeAutospacing="0" w:after="0" w:afterAutospacing="0" w:line="480" w:lineRule="auto"/>
        <w:ind w:firstLine="48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2.做好项目筛选和论证工作。一是广泛征集实施意见和建议。二是认真开展调查研究。</w:t>
      </w:r>
    </w:p>
    <w:p w14:paraId="5A9AC6BF">
      <w:pPr>
        <w:pStyle w:val="19"/>
        <w:spacing w:before="0" w:beforeAutospacing="0" w:after="0" w:afterAutospacing="0" w:line="480" w:lineRule="auto"/>
        <w:ind w:firstLine="48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做好项目实施的后续跟踪检查工作。对立项实施的项目，定期不定期地对项目实施情况和资金使用情况进行跟踪检查，对实现预期绩效目标的项目予以充分肯定，对实施进展缓慢的项目督促整改，确保项目实施工作正常运行，达到预期绩效目标。</w:t>
      </w:r>
    </w:p>
    <w:p w14:paraId="63D9A970">
      <w:pPr>
        <w:pStyle w:val="18"/>
        <w:numPr>
          <w:ilvl w:val="0"/>
          <w:numId w:val="1"/>
        </w:numPr>
        <w:ind w:firstLineChars="0"/>
        <w:rPr>
          <w:rFonts w:ascii="黑体" w:hAnsi="黑体" w:eastAsia="黑体" w:cs="仿宋"/>
          <w:sz w:val="32"/>
          <w:szCs w:val="32"/>
        </w:rPr>
      </w:pPr>
      <w:r>
        <w:rPr>
          <w:rFonts w:hint="eastAsia" w:ascii="黑体" w:hAnsi="黑体" w:eastAsia="黑体" w:cs="仿宋"/>
          <w:sz w:val="32"/>
          <w:szCs w:val="32"/>
        </w:rPr>
        <w:t>存在问题</w:t>
      </w:r>
    </w:p>
    <w:p w14:paraId="445C82E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随着经济日益发展，财政开支范围逐年扩大，所需的财政资金量越来越大，而我镇财力基本靠上级拨款，无其他收入来源，财力相对薄弱，镇级运转有一定压力。</w:t>
      </w:r>
    </w:p>
    <w:p w14:paraId="30210D04">
      <w:pPr>
        <w:pStyle w:val="18"/>
        <w:numPr>
          <w:ilvl w:val="0"/>
          <w:numId w:val="1"/>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12E35C03">
      <w:pPr>
        <w:pStyle w:val="19"/>
        <w:spacing w:before="0" w:beforeAutospacing="0" w:after="0" w:afterAutospacing="0" w:line="480" w:lineRule="auto"/>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1.完善管理机制，明确责任。项目实施完成移交后，要加大对项目基础设施保护工作的关注和重视，构建一个职责分明、科学规范、具有可操作性的长效机制。</w:t>
      </w:r>
    </w:p>
    <w:p w14:paraId="22544AAB">
      <w:pPr>
        <w:pStyle w:val="19"/>
        <w:spacing w:before="0" w:beforeAutospacing="0" w:after="0" w:afterAutospacing="0" w:line="480" w:lineRule="auto"/>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2.拓宽资金来源渠道，增加基础设施建设投入。</w:t>
      </w:r>
    </w:p>
    <w:p w14:paraId="12FBA75C">
      <w:pPr>
        <w:pStyle w:val="18"/>
        <w:ind w:left="1429" w:firstLine="0" w:firstLineChars="0"/>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F8DA8">
    <w:pPr>
      <w:pStyle w:val="6"/>
      <w:framePr w:wrap="around" w:vAnchor="text" w:hAnchor="margin" w:xAlign="outside" w:y="1"/>
      <w:rPr>
        <w:rStyle w:val="12"/>
        <w:rFonts w:ascii="宋体" w:hAnsi="宋体" w:eastAsia="宋体"/>
        <w:sz w:val="28"/>
        <w:szCs w:val="28"/>
      </w:rPr>
    </w:pPr>
    <w:r>
      <w:rPr>
        <w:rStyle w:val="12"/>
        <w:rFonts w:hint="eastAsia" w:ascii="宋体" w:hAnsi="宋体" w:eastAsia="宋体"/>
        <w:sz w:val="28"/>
        <w:szCs w:val="28"/>
      </w:rPr>
      <w:t>-</w:t>
    </w:r>
    <w:r>
      <w:rPr>
        <w:rStyle w:val="12"/>
        <w:rFonts w:ascii="宋体" w:hAnsi="宋体" w:eastAsia="宋体"/>
        <w:sz w:val="28"/>
        <w:szCs w:val="28"/>
      </w:rPr>
      <w:fldChar w:fldCharType="begin"/>
    </w:r>
    <w:r>
      <w:rPr>
        <w:rStyle w:val="12"/>
        <w:rFonts w:ascii="宋体" w:hAnsi="宋体" w:eastAsia="宋体"/>
        <w:sz w:val="28"/>
        <w:szCs w:val="28"/>
      </w:rPr>
      <w:instrText xml:space="preserve">PAGE  </w:instrText>
    </w:r>
    <w:r>
      <w:rPr>
        <w:rStyle w:val="12"/>
        <w:rFonts w:ascii="宋体" w:hAnsi="宋体" w:eastAsia="宋体"/>
        <w:sz w:val="28"/>
        <w:szCs w:val="28"/>
      </w:rPr>
      <w:fldChar w:fldCharType="separate"/>
    </w:r>
    <w:r>
      <w:rPr>
        <w:rStyle w:val="12"/>
        <w:rFonts w:ascii="宋体" w:hAnsi="宋体" w:eastAsia="宋体"/>
        <w:sz w:val="28"/>
        <w:szCs w:val="28"/>
      </w:rPr>
      <w:t>13</w:t>
    </w:r>
    <w:r>
      <w:rPr>
        <w:rStyle w:val="12"/>
        <w:rFonts w:ascii="宋体" w:hAnsi="宋体" w:eastAsia="宋体"/>
        <w:sz w:val="28"/>
        <w:szCs w:val="28"/>
      </w:rPr>
      <w:fldChar w:fldCharType="end"/>
    </w:r>
    <w:r>
      <w:rPr>
        <w:rStyle w:val="12"/>
        <w:rFonts w:hint="eastAsia" w:ascii="宋体" w:hAnsi="宋体" w:eastAsia="宋体"/>
        <w:sz w:val="28"/>
        <w:szCs w:val="28"/>
      </w:rPr>
      <w:t>-</w:t>
    </w:r>
  </w:p>
  <w:p w14:paraId="74CB04CD">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9EAB0">
    <w:pPr>
      <w:pStyle w:val="6"/>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58394118">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68525F"/>
    <w:multiLevelType w:val="multilevel"/>
    <w:tmpl w:val="1D68525F"/>
    <w:lvl w:ilvl="0" w:tentative="0">
      <w:start w:val="2"/>
      <w:numFmt w:val="japaneseCounting"/>
      <w:lvlText w:val="%1、"/>
      <w:lvlJc w:val="left"/>
      <w:pPr>
        <w:ind w:left="1429" w:hanging="720"/>
      </w:pPr>
      <w:rPr>
        <w:rFonts w:hint="default"/>
      </w:rPr>
    </w:lvl>
    <w:lvl w:ilvl="1" w:tentative="0">
      <w:start w:val="1"/>
      <w:numFmt w:val="lowerLetter"/>
      <w:lvlText w:val="%2)"/>
      <w:lvlJc w:val="left"/>
      <w:pPr>
        <w:ind w:left="1549" w:hanging="420"/>
      </w:pPr>
    </w:lvl>
    <w:lvl w:ilvl="2" w:tentative="0">
      <w:start w:val="1"/>
      <w:numFmt w:val="lowerRoman"/>
      <w:lvlText w:val="%3."/>
      <w:lvlJc w:val="right"/>
      <w:pPr>
        <w:ind w:left="1969" w:hanging="420"/>
      </w:pPr>
    </w:lvl>
    <w:lvl w:ilvl="3" w:tentative="0">
      <w:start w:val="1"/>
      <w:numFmt w:val="decimal"/>
      <w:lvlText w:val="%4."/>
      <w:lvlJc w:val="left"/>
      <w:pPr>
        <w:ind w:left="2389" w:hanging="420"/>
      </w:pPr>
    </w:lvl>
    <w:lvl w:ilvl="4" w:tentative="0">
      <w:start w:val="1"/>
      <w:numFmt w:val="lowerLetter"/>
      <w:lvlText w:val="%5)"/>
      <w:lvlJc w:val="left"/>
      <w:pPr>
        <w:ind w:left="2809" w:hanging="420"/>
      </w:pPr>
    </w:lvl>
    <w:lvl w:ilvl="5" w:tentative="0">
      <w:start w:val="1"/>
      <w:numFmt w:val="lowerRoman"/>
      <w:lvlText w:val="%6."/>
      <w:lvlJc w:val="right"/>
      <w:pPr>
        <w:ind w:left="3229" w:hanging="420"/>
      </w:pPr>
    </w:lvl>
    <w:lvl w:ilvl="6" w:tentative="0">
      <w:start w:val="1"/>
      <w:numFmt w:val="decimal"/>
      <w:lvlText w:val="%7."/>
      <w:lvlJc w:val="left"/>
      <w:pPr>
        <w:ind w:left="3649" w:hanging="420"/>
      </w:pPr>
    </w:lvl>
    <w:lvl w:ilvl="7" w:tentative="0">
      <w:start w:val="1"/>
      <w:numFmt w:val="lowerLetter"/>
      <w:lvlText w:val="%8)"/>
      <w:lvlJc w:val="left"/>
      <w:pPr>
        <w:ind w:left="4069" w:hanging="420"/>
      </w:pPr>
    </w:lvl>
    <w:lvl w:ilvl="8" w:tentative="0">
      <w:start w:val="1"/>
      <w:numFmt w:val="lowerRoman"/>
      <w:lvlText w:val="%9."/>
      <w:lvlJc w:val="right"/>
      <w:pPr>
        <w:ind w:left="448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D5F74"/>
    <w:rsid w:val="000E4A5A"/>
    <w:rsid w:val="00103547"/>
    <w:rsid w:val="00133CB6"/>
    <w:rsid w:val="00136EC7"/>
    <w:rsid w:val="00150B57"/>
    <w:rsid w:val="0017068B"/>
    <w:rsid w:val="00185A3C"/>
    <w:rsid w:val="00192D5A"/>
    <w:rsid w:val="001949A1"/>
    <w:rsid w:val="001C59B3"/>
    <w:rsid w:val="001D49CC"/>
    <w:rsid w:val="001E0886"/>
    <w:rsid w:val="001F7E31"/>
    <w:rsid w:val="002071BC"/>
    <w:rsid w:val="00225AE6"/>
    <w:rsid w:val="002270EB"/>
    <w:rsid w:val="00235F0F"/>
    <w:rsid w:val="00255783"/>
    <w:rsid w:val="002641BD"/>
    <w:rsid w:val="00290BA1"/>
    <w:rsid w:val="002A6AEA"/>
    <w:rsid w:val="002D1E2C"/>
    <w:rsid w:val="002F07DF"/>
    <w:rsid w:val="002F2268"/>
    <w:rsid w:val="003C50C2"/>
    <w:rsid w:val="0041099F"/>
    <w:rsid w:val="00436A1D"/>
    <w:rsid w:val="004379D7"/>
    <w:rsid w:val="00447436"/>
    <w:rsid w:val="004A68B1"/>
    <w:rsid w:val="004B64F3"/>
    <w:rsid w:val="004C0C3B"/>
    <w:rsid w:val="004E3B64"/>
    <w:rsid w:val="005020C5"/>
    <w:rsid w:val="005346BC"/>
    <w:rsid w:val="0053697F"/>
    <w:rsid w:val="00567FE6"/>
    <w:rsid w:val="0058162A"/>
    <w:rsid w:val="005B2327"/>
    <w:rsid w:val="005B3616"/>
    <w:rsid w:val="005E12FA"/>
    <w:rsid w:val="00612CF7"/>
    <w:rsid w:val="006279F4"/>
    <w:rsid w:val="0064414F"/>
    <w:rsid w:val="00683167"/>
    <w:rsid w:val="006A1CCC"/>
    <w:rsid w:val="006A5056"/>
    <w:rsid w:val="006E64C9"/>
    <w:rsid w:val="007048FF"/>
    <w:rsid w:val="00712100"/>
    <w:rsid w:val="0071700D"/>
    <w:rsid w:val="00717181"/>
    <w:rsid w:val="00742652"/>
    <w:rsid w:val="00752E24"/>
    <w:rsid w:val="00756EFC"/>
    <w:rsid w:val="00772600"/>
    <w:rsid w:val="007D5D41"/>
    <w:rsid w:val="007F01F9"/>
    <w:rsid w:val="00856BA1"/>
    <w:rsid w:val="00867620"/>
    <w:rsid w:val="008709E0"/>
    <w:rsid w:val="0087382F"/>
    <w:rsid w:val="008A18EF"/>
    <w:rsid w:val="008A6A10"/>
    <w:rsid w:val="008A6A31"/>
    <w:rsid w:val="008C3EC4"/>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AE4A60"/>
    <w:rsid w:val="00B0681D"/>
    <w:rsid w:val="00B235D3"/>
    <w:rsid w:val="00B55553"/>
    <w:rsid w:val="00B56C08"/>
    <w:rsid w:val="00B66DF1"/>
    <w:rsid w:val="00B9023F"/>
    <w:rsid w:val="00BC1FDC"/>
    <w:rsid w:val="00BC6394"/>
    <w:rsid w:val="00BD0FD8"/>
    <w:rsid w:val="00C44804"/>
    <w:rsid w:val="00C6362A"/>
    <w:rsid w:val="00C70C7B"/>
    <w:rsid w:val="00C81363"/>
    <w:rsid w:val="00CA6437"/>
    <w:rsid w:val="00CB27A5"/>
    <w:rsid w:val="00CB39AC"/>
    <w:rsid w:val="00CD55ED"/>
    <w:rsid w:val="00CD63C0"/>
    <w:rsid w:val="00CE62A0"/>
    <w:rsid w:val="00D022C8"/>
    <w:rsid w:val="00D21F0C"/>
    <w:rsid w:val="00D366C1"/>
    <w:rsid w:val="00D36CB5"/>
    <w:rsid w:val="00D877F7"/>
    <w:rsid w:val="00DA6480"/>
    <w:rsid w:val="00DB2D43"/>
    <w:rsid w:val="00DD2E5C"/>
    <w:rsid w:val="00E266F1"/>
    <w:rsid w:val="00E70AF9"/>
    <w:rsid w:val="00E924C0"/>
    <w:rsid w:val="00EB16A8"/>
    <w:rsid w:val="00EC7904"/>
    <w:rsid w:val="00EF0323"/>
    <w:rsid w:val="00F72E93"/>
    <w:rsid w:val="00F87A11"/>
    <w:rsid w:val="00FB2D24"/>
    <w:rsid w:val="00FB7E01"/>
    <w:rsid w:val="00FE5F4C"/>
    <w:rsid w:val="00FF39F6"/>
    <w:rsid w:val="05374814"/>
    <w:rsid w:val="0C8F0285"/>
    <w:rsid w:val="0F8F6BFC"/>
    <w:rsid w:val="107166F3"/>
    <w:rsid w:val="1B1B722A"/>
    <w:rsid w:val="1C841DE7"/>
    <w:rsid w:val="1F843502"/>
    <w:rsid w:val="27BA3F65"/>
    <w:rsid w:val="3791647A"/>
    <w:rsid w:val="3D1617E6"/>
    <w:rsid w:val="455969D8"/>
    <w:rsid w:val="48725571"/>
    <w:rsid w:val="4BDB04ED"/>
    <w:rsid w:val="526A3656"/>
    <w:rsid w:val="53CD5365"/>
    <w:rsid w:val="549A28A4"/>
    <w:rsid w:val="573243CF"/>
    <w:rsid w:val="5D643D56"/>
    <w:rsid w:val="60DF735D"/>
    <w:rsid w:val="64283056"/>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5"/>
    <w:qFormat/>
    <w:uiPriority w:val="0"/>
    <w:rPr>
      <w:rFonts w:ascii="宋体" w:hAnsi="Courier New" w:eastAsia="宋体" w:cs="Courier New"/>
      <w:szCs w:val="21"/>
    </w:rPr>
  </w:style>
  <w:style w:type="paragraph" w:styleId="5">
    <w:name w:val="Balloon Text"/>
    <w:basedOn w:val="1"/>
    <w:link w:val="20"/>
    <w:semiHidden/>
    <w:unhideWhenUsed/>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1">
    <w:name w:val="Strong"/>
    <w:basedOn w:val="10"/>
    <w:qFormat/>
    <w:uiPriority w:val="22"/>
    <w:rPr>
      <w:b/>
      <w:bCs/>
    </w:rPr>
  </w:style>
  <w:style w:type="character" w:styleId="12">
    <w:name w:val="page number"/>
    <w:basedOn w:val="10"/>
    <w:semiHidden/>
    <w:unhideWhenUsed/>
    <w:qFormat/>
    <w:uiPriority w:val="99"/>
  </w:style>
  <w:style w:type="character" w:customStyle="1" w:styleId="13">
    <w:name w:val="页眉 Char"/>
    <w:basedOn w:val="10"/>
    <w:link w:val="7"/>
    <w:qFormat/>
    <w:uiPriority w:val="99"/>
    <w:rPr>
      <w:sz w:val="18"/>
      <w:szCs w:val="18"/>
    </w:rPr>
  </w:style>
  <w:style w:type="character" w:customStyle="1" w:styleId="14">
    <w:name w:val="页脚 Char"/>
    <w:basedOn w:val="10"/>
    <w:link w:val="6"/>
    <w:qFormat/>
    <w:uiPriority w:val="99"/>
    <w:rPr>
      <w:sz w:val="18"/>
      <w:szCs w:val="18"/>
    </w:rPr>
  </w:style>
  <w:style w:type="character" w:customStyle="1" w:styleId="15">
    <w:name w:val="纯文本 Char"/>
    <w:basedOn w:val="10"/>
    <w:link w:val="4"/>
    <w:qFormat/>
    <w:uiPriority w:val="0"/>
    <w:rPr>
      <w:rFonts w:ascii="宋体" w:hAnsi="Courier New" w:eastAsia="宋体" w:cs="Courier New"/>
      <w:szCs w:val="21"/>
    </w:rPr>
  </w:style>
  <w:style w:type="character" w:customStyle="1" w:styleId="16">
    <w:name w:val="标题 1 Char"/>
    <w:basedOn w:val="10"/>
    <w:link w:val="2"/>
    <w:qFormat/>
    <w:uiPriority w:val="9"/>
    <w:rPr>
      <w:rFonts w:ascii="宋体" w:hAnsi="宋体" w:eastAsia="宋体" w:cs="宋体"/>
      <w:b/>
      <w:kern w:val="44"/>
      <w:sz w:val="48"/>
      <w:szCs w:val="48"/>
    </w:rPr>
  </w:style>
  <w:style w:type="character" w:customStyle="1" w:styleId="17">
    <w:name w:val="font31"/>
    <w:basedOn w:val="10"/>
    <w:qFormat/>
    <w:uiPriority w:val="0"/>
    <w:rPr>
      <w:rFonts w:hint="eastAsia" w:ascii="宋体" w:hAnsi="宋体" w:eastAsia="宋体" w:cs="宋体"/>
      <w:b/>
      <w:color w:val="000000"/>
      <w:sz w:val="36"/>
      <w:szCs w:val="36"/>
      <w:u w:val="none"/>
    </w:rPr>
  </w:style>
  <w:style w:type="paragraph" w:styleId="18">
    <w:name w:val="List Paragraph"/>
    <w:basedOn w:val="1"/>
    <w:unhideWhenUsed/>
    <w:qFormat/>
    <w:uiPriority w:val="99"/>
    <w:pPr>
      <w:ind w:firstLine="420" w:firstLineChars="200"/>
    </w:pPr>
  </w:style>
  <w:style w:type="paragraph" w:customStyle="1" w:styleId="19">
    <w:name w:val="p"/>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20">
    <w:name w:val="批注框文本 Char"/>
    <w:basedOn w:val="10"/>
    <w:link w:val="5"/>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7566</Words>
  <Characters>7971</Characters>
  <Lines>59</Lines>
  <Paragraphs>16</Paragraphs>
  <TotalTime>187</TotalTime>
  <ScaleCrop>false</ScaleCrop>
  <LinksUpToDate>false</LinksUpToDate>
  <CharactersWithSpaces>8045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2022-04-07T08:21:00Z</cp:lastPrinted>
  <dcterms:modified xsi:type="dcterms:W3CDTF">2025-04-30T03:01:46Z</dcterms:modified>
  <cp:revision>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eyJoZGlkIjoiZTc4NzhkZmNhOGE3ZTZiNmViOTAzNDE0N2M0YWUyZGMifQ==</vt:lpwstr>
  </property>
  <property fmtid="{D5CDD505-2E9C-101B-9397-08002B2CF9AE}" pid="4" name="ICV">
    <vt:lpwstr>DE74AD475C35484AA2BB362690ED2CCF_13</vt:lpwstr>
  </property>
</Properties>
</file>